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ategory-outline-category-1"/>
    <w:p>
      <w:pPr>
        <w:pStyle w:val="Heading1"/>
      </w:pPr>
      <w:r>
        <w:t xml:space="preserve">CATEGORY OUTLINE — CATEGORY 1</w:t>
      </w:r>
    </w:p>
    <w:bookmarkStart w:id="20" w:name="capital-and-financial-strategy"/>
    <w:p>
      <w:pPr>
        <w:pStyle w:val="Heading2"/>
      </w:pPr>
      <w:r>
        <w:t xml:space="preserve">Capital and Financial Strategy</w:t>
      </w:r>
    </w:p>
    <w:p>
      <w:pPr>
        <w:pStyle w:val="FirstParagraph"/>
      </w:pPr>
      <w:r>
        <w:rPr>
          <w:bCs/>
          <w:b/>
        </w:rPr>
        <w:t xml:space="preserve">LEAP Consulting · RFP-VA-2026-09-18 · Grand Challenges Canada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Xd91ddb92e519df2c03a4de4d995573c8c546dd7"/>
    <w:p>
      <w:pPr>
        <w:pStyle w:val="Heading1"/>
      </w:pPr>
      <w:r>
        <w:t xml:space="preserve">6. Proposed Approach and Engagement Structure</w:t>
      </w:r>
    </w:p>
    <w:p>
      <w:pPr>
        <w:pStyle w:val="FirstParagraph"/>
      </w:pPr>
      <w:r>
        <w:rPr>
          <w:iCs/>
          <w:i/>
        </w:rPr>
        <w:t xml:space="preserve">(RFP §3.1 item 6 — 3 pages)</w:t>
      </w:r>
    </w:p>
    <w:bookmarkStart w:id="22" w:name="the-problem-we-are-engaged-to-solve"/>
    <w:p>
      <w:pPr>
        <w:pStyle w:val="Heading2"/>
      </w:pPr>
      <w:r>
        <w:t xml:space="preserve">The problem we are engaged to solve</w:t>
      </w:r>
    </w:p>
    <w:p>
      <w:pPr>
        <w:pStyle w:val="FirstParagraph"/>
      </w:pPr>
      <w:r>
        <w:t xml:space="preserve">Innovators rarely fail to raise because their innovation is weak. They fail because the financial</w:t>
      </w:r>
      <w:r>
        <w:t xml:space="preserve"> </w:t>
      </w:r>
      <w:r>
        <w:t xml:space="preserve">case behind it cannot survive an hour of informed questioning: the model breaks under a scenario the</w:t>
      </w:r>
      <w:r>
        <w:t xml:space="preserve"> </w:t>
      </w:r>
      <w:r>
        <w:t xml:space="preserve">funder will certainly test, the cap table has locked in a structure that prices out the next round,</w:t>
      </w:r>
      <w:r>
        <w:t xml:space="preserve"> </w:t>
      </w:r>
      <w:r>
        <w:t xml:space="preserve">the runway assumption rests on a collection cycle nobody has verified, or the ask is for the wrong</w:t>
      </w:r>
      <w:r>
        <w:t xml:space="preserve"> </w:t>
      </w:r>
      <w:r>
        <w:t xml:space="preserve">instrument entirely.</w:t>
      </w:r>
    </w:p>
    <w:p>
      <w:pPr>
        <w:pStyle w:val="BodyText"/>
      </w:pPr>
      <w:r>
        <w:t xml:space="preserve">Our work is to make the financial case true and defensible before it is tested by someone whose</w:t>
      </w:r>
      <w:r>
        <w:t xml:space="preserve"> </w:t>
      </w:r>
      <w:r>
        <w:t xml:space="preserve">decision the innovator cannot influence.</w:t>
      </w:r>
    </w:p>
    <w:bookmarkEnd w:id="22"/>
    <w:bookmarkStart w:id="23" w:name="our-operating-principle"/>
    <w:p>
      <w:pPr>
        <w:pStyle w:val="Heading2"/>
      </w:pPr>
      <w:r>
        <w:t xml:space="preserve">Our operating principle</w:t>
      </w:r>
    </w:p>
    <w:p>
      <w:pPr>
        <w:pStyle w:val="FirstParagraph"/>
      </w:pPr>
      <w:r>
        <w:t xml:space="preserve">We build the analysis to institutional standard — discounted cash flow, scenario architecture, Monte</w:t>
      </w:r>
      <w:r>
        <w:t xml:space="preserve"> </w:t>
      </w:r>
      <w:r>
        <w:t xml:space="preserve">Carlo simulation where uncertainty is material — and then we hand the innovator something they can</w:t>
      </w:r>
      <w:r>
        <w:t xml:space="preserve"> </w:t>
      </w:r>
      <w:r>
        <w:t xml:space="preserve">operate themselves. An innovator who cannot answer a question about their own model has not been</w:t>
      </w:r>
      <w:r>
        <w:t xml:space="preserve"> </w:t>
      </w:r>
      <w:r>
        <w:t xml:space="preserve">helped; they have been given a document. Every engagement ends with the innovator able to run their</w:t>
      </w:r>
      <w:r>
        <w:t xml:space="preserve"> </w:t>
      </w:r>
      <w:r>
        <w:t xml:space="preserve">own numbers.</w:t>
      </w:r>
    </w:p>
    <w:bookmarkEnd w:id="23"/>
    <w:bookmarkStart w:id="24" w:name="how-we-scope-an-engagement"/>
    <w:p>
      <w:pPr>
        <w:pStyle w:val="Heading2"/>
      </w:pPr>
      <w:r>
        <w:t xml:space="preserve">How we scope an engagement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45-minute call with GCC and the innovator. We establish the decision at stake, the deadline driving it, and whether the barrier is genuinely financial — sometimes it is not, and we say 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Verbal recommendation to GCC, including</w:t>
            </w:r>
            <w:r>
              <w:t xml:space="preserve"> </w:t>
            </w:r>
            <w:r>
              <w:t xml:space="preserve">“</w:t>
            </w:r>
            <w:r>
              <w:t xml:space="preserve">this is not a Category 1 problem</w:t>
            </w:r>
            <w:r>
              <w:t xml:space="preserve">”</w:t>
            </w:r>
            <w:r>
              <w:t xml:space="preserve"> </w:t>
            </w:r>
            <w:r>
              <w:t xml:space="preserve">where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business days of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Scoping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page: the decision, the activities, the countable outputs, the hours by grade, the dates, and exactly what we need from the innovator and by when.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Scoping note for GCC and innovator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business days after triage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Evidence 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request: financials, management accounts, cap table, existing model, pipeline, grant and debt terms. We work with what exists; we do not wait for perfect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request and gap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Build and pressure-test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analytical work. We stress the assumptions that matter and tell the innovator which ones break.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Model, analysis,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2–5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Decision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working session, not a presentation. The innovator makes the call in the room, with us stress-testing it live.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recorded, options ranked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5–6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Handover and close-out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Walkthrough so the innovator can operate the model unaided. Close-out note to GCC.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Handover session, close-out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week</w:t>
            </w:r>
          </w:p>
        </w:tc>
      </w:tr>
    </w:tbl>
    <w:bookmarkEnd w:id="24"/>
    <w:bookmarkStart w:id="25" w:name="what-we-deliver-by-barrier"/>
    <w:p>
      <w:pPr>
        <w:pStyle w:val="Heading2"/>
      </w:pPr>
      <w:r>
        <w:t xml:space="preserve">What we deliver, by barrier</w:t>
      </w:r>
    </w:p>
    <w:p>
      <w:pPr>
        <w:pStyle w:val="FirstParagraph"/>
      </w:pPr>
      <w:r>
        <w:rPr>
          <w:bCs/>
          <w:b/>
        </w:rPr>
        <w:t xml:space="preserve">The innovator does not know if the plan is financeable.</w:t>
      </w:r>
      <w:r>
        <w:t xml:space="preserve"> </w:t>
      </w:r>
      <w:r>
        <w:rPr>
          <w:iCs/>
          <w:i/>
        </w:rPr>
        <w:t xml:space="preserve">Investment Readiness Diagnostic</w:t>
      </w:r>
      <w:r>
        <w:t xml:space="preserve"> </w:t>
      </w:r>
      <w:r>
        <w:t xml:space="preserve">— rapid</w:t>
      </w:r>
      <w:r>
        <w:t xml:space="preserve"> </w:t>
      </w:r>
      <w:r>
        <w:t xml:space="preserve">assessment across seven dimensions: financial record quality, model integrity, unit economics, capital</w:t>
      </w:r>
      <w:r>
        <w:t xml:space="preserve"> </w:t>
      </w:r>
      <w:r>
        <w:t xml:space="preserve">structure, governance readiness, evidence base and funder fit. Output is a scored readiness map and a</w:t>
      </w:r>
      <w:r>
        <w:t xml:space="preserve"> </w:t>
      </w:r>
      <w:r>
        <w:t xml:space="preserve">ranked list of what must be fixed before any approach to capital, sequenced by what blocks the round</w:t>
      </w:r>
      <w:r>
        <w:t xml:space="preserve"> </w:t>
      </w:r>
      <w:r>
        <w:t xml:space="preserve">soonest.</w:t>
      </w:r>
    </w:p>
    <w:p>
      <w:pPr>
        <w:pStyle w:val="BodyText"/>
      </w:pPr>
      <w:r>
        <w:rPr>
          <w:bCs/>
          <w:b/>
        </w:rPr>
        <w:t xml:space="preserve">The model will not survive due diligence.</w:t>
      </w:r>
      <w:r>
        <w:t xml:space="preserve"> </w:t>
      </w:r>
      <w:r>
        <w:rPr>
          <w:iCs/>
          <w:i/>
        </w:rPr>
        <w:t xml:space="preserve">Financial Model and Scenario Build</w:t>
      </w:r>
      <w:r>
        <w:t xml:space="preserve"> </w:t>
      </w:r>
      <w:r>
        <w:t xml:space="preserve">— a driver-based</w:t>
      </w:r>
      <w:r>
        <w:t xml:space="preserve"> </w:t>
      </w:r>
      <w:r>
        <w:t xml:space="preserve">model covering revenue build, cost structure, headcount, working capital, grant and contract timing</w:t>
      </w:r>
      <w:r>
        <w:t xml:space="preserve"> </w:t>
      </w:r>
      <w:r>
        <w:t xml:space="preserve">and cash runway; scenario architecture across base, downside and stress, with Monte Carlo simulation</w:t>
      </w:r>
      <w:r>
        <w:t xml:space="preserve"> </w:t>
      </w:r>
      <w:r>
        <w:t xml:space="preserve">on the drivers carrying real uncertainty, expressed as a P10/P50/P90 range rather than a single</w:t>
      </w:r>
      <w:r>
        <w:t xml:space="preserve"> </w:t>
      </w:r>
      <w:r>
        <w:t xml:space="preserve">misleading number. Documented assumptions, change log, and a dashboard the innovator runs.</w:t>
      </w:r>
    </w:p>
    <w:p>
      <w:pPr>
        <w:pStyle w:val="BodyText"/>
      </w:pPr>
      <w:r>
        <w:rPr>
          <w:bCs/>
          <w:b/>
        </w:rPr>
        <w:t xml:space="preserve">The innovator does not know what to raise, from whom, or in what form.</w:t>
      </w:r>
      <w:r>
        <w:t xml:space="preserve"> </w:t>
      </w:r>
      <w:r>
        <w:rPr>
          <w:iCs/>
          <w:i/>
        </w:rPr>
        <w:t xml:space="preserve">Capital Strategy and</w:t>
      </w:r>
      <w:r>
        <w:rPr>
          <w:iCs/>
          <w:i/>
        </w:rPr>
        <w:t xml:space="preserve"> </w:t>
      </w:r>
      <w:r>
        <w:rPr>
          <w:iCs/>
          <w:i/>
        </w:rPr>
        <w:t xml:space="preserve">Structuring</w:t>
      </w:r>
      <w:r>
        <w:t xml:space="preserve"> </w:t>
      </w:r>
      <w:r>
        <w:t xml:space="preserve">— funding requirement and drawdown profile; the right mix across grant, concessional and</w:t>
      </w:r>
      <w:r>
        <w:t xml:space="preserve"> </w:t>
      </w:r>
      <w:r>
        <w:t xml:space="preserve">commercial debt, equity, revenue-based instruments and blended structures; dilution and control</w:t>
      </w:r>
      <w:r>
        <w:t xml:space="preserve"> </w:t>
      </w:r>
      <w:r>
        <w:t xml:space="preserve">consequences modelled to the next two rounds; funder mapping by thesis, stage and cheque size; and an</w:t>
      </w:r>
      <w:r>
        <w:t xml:space="preserve"> </w:t>
      </w:r>
      <w:r>
        <w:t xml:space="preserve">ask that matches the instrument to the use of funds.</w:t>
      </w:r>
    </w:p>
    <w:p>
      <w:pPr>
        <w:pStyle w:val="BodyText"/>
      </w:pPr>
      <w:r>
        <w:rPr>
          <w:bCs/>
          <w:b/>
        </w:rPr>
        <w:t xml:space="preserve">The cap table is a problem the innovator cannot yet see.</w:t>
      </w:r>
      <w:r>
        <w:t xml:space="preserve"> </w:t>
      </w:r>
      <w:r>
        <w:rPr>
          <w:iCs/>
          <w:i/>
        </w:rPr>
        <w:t xml:space="preserve">Cap Table Design and Repair</w:t>
      </w:r>
      <w:r>
        <w:t xml:space="preserve"> </w:t>
      </w:r>
      <w:r>
        <w:t xml:space="preserve">— current</w:t>
      </w:r>
      <w:r>
        <w:t xml:space="preserve"> </w:t>
      </w:r>
      <w:r>
        <w:t xml:space="preserve">structure, dilution across future rounds, option pool sizing, incentive alignment, and identification</w:t>
      </w:r>
      <w:r>
        <w:t xml:space="preserve"> </w:t>
      </w:r>
      <w:r>
        <w:t xml:space="preserve">of terms that will block or price down the next raise. Where damage is done, we model the realistic</w:t>
      </w:r>
      <w:r>
        <w:t xml:space="preserve"> </w:t>
      </w:r>
      <w:r>
        <w:t xml:space="preserve">repair paths and what each costs.</w:t>
      </w:r>
    </w:p>
    <w:p>
      <w:pPr>
        <w:pStyle w:val="BodyText"/>
      </w:pPr>
      <w:r>
        <w:rPr>
          <w:bCs/>
          <w:b/>
        </w:rPr>
        <w:t xml:space="preserve">The funder is coming and the innovator is not ready.</w:t>
      </w:r>
      <w:r>
        <w:t xml:space="preserve"> </w:t>
      </w:r>
      <w:r>
        <w:rPr>
          <w:iCs/>
          <w:i/>
        </w:rPr>
        <w:t xml:space="preserve">Due Diligence Preparation and Data Room</w:t>
      </w:r>
      <w:r>
        <w:t xml:space="preserve"> </w:t>
      </w:r>
      <w:r>
        <w:t xml:space="preserve">—</w:t>
      </w:r>
      <w:r>
        <w:t xml:space="preserve"> </w:t>
      </w:r>
      <w:r>
        <w:t xml:space="preserve">an institutional-standard data room (model and historicals, corporate and legal documents, commercial</w:t>
      </w:r>
      <w:r>
        <w:t xml:space="preserve"> </w:t>
      </w:r>
      <w:r>
        <w:t xml:space="preserve">contracts, growth metrics, cap table, coordinated investment narrative) with the gap list closed</w:t>
      </w:r>
      <w:r>
        <w:t xml:space="preserve"> </w:t>
      </w:r>
      <w:r>
        <w:t xml:space="preserve">before the funder sees it. We run a mock diligence, questioning the innovator the way the funder will,</w:t>
      </w:r>
      <w:r>
        <w:t xml:space="preserve"> </w:t>
      </w:r>
      <w:r>
        <w:t xml:space="preserve">and fix what breaks.</w:t>
      </w:r>
    </w:p>
    <w:p>
      <w:pPr>
        <w:pStyle w:val="BodyText"/>
      </w:pPr>
      <w:r>
        <w:rPr>
          <w:bCs/>
          <w:b/>
        </w:rPr>
        <w:t xml:space="preserve">Valuation framing.</w:t>
      </w:r>
      <w:r>
        <w:t xml:space="preserve"> </w:t>
      </w:r>
      <w:r>
        <w:t xml:space="preserve">We provide a defensible range with methodology for negotiation — discounted</w:t>
      </w:r>
      <w:r>
        <w:t xml:space="preserve"> </w:t>
      </w:r>
      <w:r>
        <w:t xml:space="preserve">cash flow, comparables, precedent transactions. We do not issue formal or regulated valuation</w:t>
      </w:r>
      <w:r>
        <w:t xml:space="preserve"> </w:t>
      </w:r>
      <w:r>
        <w:t xml:space="preserve">opinions, and we tell innovators that plainly so they do not mistake a negotiating range for a</w:t>
      </w:r>
      <w:r>
        <w:t xml:space="preserve"> </w:t>
      </w:r>
      <w:r>
        <w:t xml:space="preserve">certified valuation.</w:t>
      </w:r>
    </w:p>
    <w:bookmarkEnd w:id="25"/>
    <w:bookmarkStart w:id="26" w:name="how-this-fits-gccs-operating-model"/>
    <w:p>
      <w:pPr>
        <w:pStyle w:val="Heading2"/>
      </w:pPr>
      <w:r>
        <w:t xml:space="preserve">How this fits GCC’s operating model</w:t>
      </w:r>
    </w:p>
    <w:p>
      <w:pPr>
        <w:pStyle w:val="FirstParagraph"/>
      </w:pPr>
      <w:r>
        <w:t xml:space="preserve">Engagements are commissioned individually and quoted as a fixed package with an hour ceiling before</w:t>
      </w:r>
      <w:r>
        <w:t xml:space="preserve"> </w:t>
      </w:r>
      <w:r>
        <w:t xml:space="preserve">they start — no open-ended mandates. GCC receives a scoping note at the front, a close-out note at</w:t>
      </w:r>
      <w:r>
        <w:t xml:space="preserve"> </w:t>
      </w:r>
      <w:r>
        <w:t xml:space="preserve">the end, and a monthly invoice itemising hours used against ceiling by innovator and grade, with</w:t>
      </w:r>
      <w:r>
        <w:t xml:space="preserve"> </w:t>
      </w:r>
      <w:r>
        <w:t xml:space="preserve">exception reporting the moment an engagement looks likely to over-run or under-deliver.</w:t>
      </w:r>
    </w:p>
    <w:p>
      <w:pPr>
        <w:pStyle w:val="BodyText"/>
      </w:pPr>
      <w:r>
        <w:t xml:space="preserve">Every close-out note carries a</w:t>
      </w:r>
      <w:r>
        <w:t xml:space="preserve"> </w:t>
      </w:r>
      <w:r>
        <w:t xml:space="preserve">“</w:t>
      </w:r>
      <w:r>
        <w:t xml:space="preserve">what this tells us</w:t>
      </w:r>
      <w:r>
        <w:t xml:space="preserve">”</w:t>
      </w:r>
      <w:r>
        <w:t xml:space="preserve"> </w:t>
      </w:r>
      <w:r>
        <w:t xml:space="preserve">section. Where we see the same barrier across</w:t>
      </w:r>
      <w:r>
        <w:t xml:space="preserve"> </w:t>
      </w:r>
      <w:r>
        <w:t xml:space="preserve">several innovators we flag it as a portfolio pattern worth addressing once rather than five times —</w:t>
      </w:r>
      <w:r>
        <w:t xml:space="preserve"> </w:t>
      </w:r>
      <w:r>
        <w:t xml:space="preserve">which may mean recommending a Category 5 cohort session instead of five separate engagements.</w:t>
      </w:r>
    </w:p>
    <w:p>
      <w:pPr>
        <w:pStyle w:val="BodyText"/>
      </w:pPr>
      <w:r>
        <w:rPr>
          <w:bCs/>
          <w:b/>
        </w:rPr>
        <w:t xml:space="preserve">A conflicts rule that matters here:</w:t>
      </w:r>
      <w:r>
        <w:t xml:space="preserve"> </w:t>
      </w:r>
      <w:r>
        <w:t xml:space="preserve">we advise both companies raising capital and investors</w:t>
      </w:r>
      <w:r>
        <w:t xml:space="preserve"> </w:t>
      </w:r>
      <w:r>
        <w:t xml:space="preserve">conducting diligence. We will not act on both sides of the same transaction, and we disclose any</w:t>
      </w:r>
      <w:r>
        <w:t xml:space="preserve"> </w:t>
      </w:r>
      <w:r>
        <w:t xml:space="preserve">existing relationship with a funder an innovator is approaching before accepting the engagement.</w:t>
      </w:r>
    </w:p>
    <w:bookmarkEnd w:id="26"/>
    <w:bookmarkStart w:id="27" w:name="how-we-track-whether-it-worked"/>
    <w:p>
      <w:pPr>
        <w:pStyle w:val="Heading2"/>
      </w:pPr>
      <w:r>
        <w:t xml:space="preserve">How we track whether it worked</w:t>
      </w:r>
    </w:p>
    <w:p>
      <w:pPr>
        <w:pStyle w:val="FirstParagraph"/>
      </w:pPr>
      <w:r>
        <w:t xml:space="preserve">We report against outcomes, not activity. For every Category 1 engagement we record the decision the</w:t>
      </w:r>
      <w:r>
        <w:t xml:space="preserve"> </w:t>
      </w:r>
      <w:r>
        <w:t xml:space="preserve">innovator took, and at 3 and 6 months post-close whether it held: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made within the engagement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Close-out note, confirmed by innovator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operated by the innovator unaided 90 days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raised, instrument, terms — where a raise followed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Innovator-confirmed, at 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Diligence outcome where preparation was the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Innovator-confirmed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Runway extension achieved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Model-verified against baseline</w:t>
            </w:r>
          </w:p>
        </w:tc>
      </w:tr>
    </w:tbl>
    <w:p>
      <w:pPr>
        <w:pStyle w:val="BodyText"/>
      </w:pPr>
      <w:r>
        <w:t xml:space="preserve">We are careful about attribution. A raise that closes after our engagement is not automatically our</w:t>
      </w:r>
      <w:r>
        <w:t xml:space="preserve"> </w:t>
      </w:r>
      <w:r>
        <w:t xml:space="preserve">result, and we will not claim it as one. We report what we contributed and let GCC and the innovator</w:t>
      </w:r>
      <w:r>
        <w:t xml:space="preserve"> </w:t>
      </w:r>
      <w:r>
        <w:t xml:space="preserve">judge the rest.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revious-success"/>
    <w:p>
      <w:pPr>
        <w:pStyle w:val="Heading1"/>
      </w:pPr>
      <w:r>
        <w:t xml:space="preserve">7. Previous Success</w:t>
      </w:r>
    </w:p>
    <w:p>
      <w:pPr>
        <w:pStyle w:val="FirstParagraph"/>
      </w:pPr>
      <w:r>
        <w:rPr>
          <w:iCs/>
          <w:i/>
        </w:rPr>
        <w:t xml:space="preserve">(RFP §3.1 item 7 — 2–3 pages)</w:t>
      </w:r>
    </w:p>
    <w:p>
      <w:pPr>
        <w:pStyle w:val="BlockText"/>
      </w:pPr>
      <w:r>
        <w:rPr>
          <w:bCs/>
          <w:b/>
        </w:rPr>
        <w:t xml:space="preserve">Complete before submission.</w:t>
      </w:r>
      <w:r>
        <w:t xml:space="preserve"> </w:t>
      </w:r>
      <w:r>
        <w:t xml:space="preserve">The three engagements below are real LEAP work, described honestly.</w:t>
      </w:r>
      <w:r>
        <w:t xml:space="preserve"> </w:t>
      </w:r>
      <w:r>
        <w:t xml:space="preserve">You must add: client name or an agreed anonymised descriptor, the period, and the client’s</w:t>
      </w:r>
      <w:r>
        <w:t xml:space="preserve"> </w:t>
      </w:r>
      <w:r>
        <w:t xml:space="preserve">permission to cite. Where a figure is marked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 </w:t>
      </w:r>
      <w:r>
        <w:t xml:space="preserve">we do not have it in the source material —</w:t>
      </w:r>
      <w:r>
        <w:t xml:space="preserve"> </w:t>
      </w:r>
      <w:r>
        <w:t xml:space="preserve">insert the real number or cut the sentence. Do not let an unverifiable claim into a proposal GCC</w:t>
      </w:r>
      <w:r>
        <w:t xml:space="preserve"> </w:t>
      </w:r>
      <w:r>
        <w:t xml:space="preserve">will check by telephone. Replace any of these with a global-health or LMIC engagement if you have</w:t>
      </w:r>
      <w:r>
        <w:t xml:space="preserve"> </w:t>
      </w:r>
      <w:r>
        <w:t xml:space="preserve">one; it will score higher against Appendix A.</w:t>
      </w:r>
    </w:p>
    <w:bookmarkStart w:id="29" w:name="X96835522cfae7e66be04b9fc332ba39d202411a"/>
    <w:p>
      <w:pPr>
        <w:pStyle w:val="Heading2"/>
      </w:pPr>
      <w:r>
        <w:t xml:space="preserve">Example 1 — Restructuring a capital raise to cut the cost of capital</w:t>
      </w:r>
    </w:p>
    <w:p>
      <w:pPr>
        <w:pStyle w:val="FirstParagraph"/>
      </w:pPr>
      <w:r>
        <w:rPr>
          <w:bCs/>
          <w:b/>
        </w:rPr>
        <w:t xml:space="preserve">Client:</w:t>
      </w:r>
      <w:r>
        <w:t xml:space="preserve"> </w:t>
      </w:r>
      <w:r>
        <w:rPr>
          <w:rStyle w:val="VerbatimChar"/>
        </w:rPr>
        <w:t xml:space="preserve">[[Name or "a MENA real estate developer"]]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Period: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Reference:</w:t>
      </w:r>
      <w:r>
        <w:t xml:space="preserve"> </w:t>
      </w:r>
      <w:r>
        <w:rPr>
          <w:rStyle w:val="VerbatimChar"/>
        </w:rPr>
        <w:t xml:space="preserve">[[#]]</w:t>
      </w:r>
    </w:p>
    <w:p>
      <w:pPr>
        <w:pStyle w:val="BodyText"/>
      </w:pPr>
      <w:r>
        <w:rPr>
          <w:bCs/>
          <w:b/>
        </w:rPr>
        <w:t xml:space="preserve">The problem.</w:t>
      </w:r>
      <w:r>
        <w:t xml:space="preserve"> </w:t>
      </w:r>
      <w:r>
        <w:t xml:space="preserve">The organisation needed institutional capital for a major project and was preparing</w:t>
      </w:r>
      <w:r>
        <w:t xml:space="preserve"> </w:t>
      </w:r>
      <w:r>
        <w:t xml:space="preserve">to raise it in the simplest available form. The structure on the table would have met the funding</w:t>
      </w:r>
      <w:r>
        <w:t xml:space="preserve"> </w:t>
      </w:r>
      <w:r>
        <w:t xml:space="preserve">requirement but at a cost of capital that compressed returns across the life of the project — and</w:t>
      </w:r>
      <w:r>
        <w:t xml:space="preserve"> </w:t>
      </w:r>
      <w:r>
        <w:t xml:space="preserve">the leadership team did not have the analysis to see that before signing.</w:t>
      </w:r>
    </w:p>
    <w:p>
      <w:pPr>
        <w:pStyle w:val="BodyText"/>
      </w:pPr>
      <w:r>
        <w:rPr>
          <w:bCs/>
          <w:b/>
        </w:rPr>
        <w:t xml:space="preserve">What we did.</w:t>
      </w:r>
      <w:r>
        <w:t xml:space="preserve"> </w:t>
      </w:r>
      <w:r>
        <w:t xml:space="preserve">We modelled the full funding requirement against the drawdown profile, then built</w:t>
      </w:r>
      <w:r>
        <w:t xml:space="preserve"> </w:t>
      </w:r>
      <w:r>
        <w:t xml:space="preserve">and compared alternative capital structures across senior debt, mezzanine finance and founder</w:t>
      </w:r>
      <w:r>
        <w:t xml:space="preserve"> </w:t>
      </w:r>
      <w:r>
        <w:t xml:space="preserve">equity. Each structure was tested for its effect on weighted average cost of capital, on control and</w:t>
      </w:r>
      <w:r>
        <w:t xml:space="preserve"> </w:t>
      </w:r>
      <w:r>
        <w:t xml:space="preserve">on the organisation’s ability to raise again. We took the leadership team through the comparison as</w:t>
      </w:r>
      <w:r>
        <w:t xml:space="preserve"> </w:t>
      </w:r>
      <w:r>
        <w:t xml:space="preserve">a decision session, not a presentation, and stress-tested their preferred option against downside</w:t>
      </w:r>
      <w:r>
        <w:t xml:space="preserve"> </w:t>
      </w:r>
      <w:r>
        <w:t xml:space="preserve">scenarios before they committed.</w:t>
      </w:r>
    </w:p>
    <w:p>
      <w:pPr>
        <w:pStyle w:val="BodyText"/>
      </w:pPr>
      <w:r>
        <w:rPr>
          <w:bCs/>
          <w:b/>
        </w:rPr>
        <w:t xml:space="preserve">What changed.</w:t>
      </w:r>
      <w:r>
        <w:t xml:space="preserve"> </w:t>
      </w:r>
      <w:r>
        <w:t xml:space="preserve">The organisation raised against a restructured, layered capital stack rather than</w:t>
      </w:r>
      <w:r>
        <w:t xml:space="preserve"> </w:t>
      </w:r>
      <w:r>
        <w:t xml:space="preserve">the single-instrument route it had planned. The weighted average cost of capital was reduced</w:t>
      </w:r>
      <w:r>
        <w:t xml:space="preserve"> </w:t>
      </w:r>
      <w:r>
        <w:rPr>
          <w:rStyle w:val="VerbatimChar"/>
        </w:rPr>
        <w:t xml:space="preserve">[[by X basis points / from X% to Y% — insert the real figure or delete this clause]]</w:t>
      </w:r>
      <w:r>
        <w:t xml:space="preserve">, and the</w:t>
      </w:r>
      <w:r>
        <w:t xml:space="preserve"> </w:t>
      </w:r>
      <w:r>
        <w:t xml:space="preserve">structure preserved</w:t>
      </w:r>
      <w:r>
        <w:t xml:space="preserve"> </w:t>
      </w:r>
      <w:r>
        <w:rPr>
          <w:rStyle w:val="VerbatimChar"/>
        </w:rPr>
        <w:t xml:space="preserve">[[founder equity / control position — specify]]</w:t>
      </w:r>
      <w:r>
        <w:t xml:space="preserve">.</w:t>
      </w:r>
      <w:r>
        <w:t xml:space="preserve"> </w:t>
      </w:r>
      <w:r>
        <w:rPr>
          <w:bCs/>
          <w:b/>
        </w:rPr>
        <w:t xml:space="preserve">Attribution:</w:t>
      </w:r>
      <w:r>
        <w:t xml:space="preserve"> </w:t>
      </w:r>
      <w:r>
        <w:t xml:space="preserve">the analysis</w:t>
      </w:r>
      <w:r>
        <w:t xml:space="preserve"> </w:t>
      </w:r>
      <w:r>
        <w:t xml:space="preserve">and the structure were ours; the decision and the negotiation were the client’s.</w:t>
      </w:r>
    </w:p>
    <w:bookmarkEnd w:id="29"/>
    <w:bookmarkStart w:id="30" w:name="Xf447a496445dee887bb430eb667bfa7c67c575b"/>
    <w:p>
      <w:pPr>
        <w:pStyle w:val="Heading2"/>
      </w:pPr>
      <w:r>
        <w:t xml:space="preserve">Example 2 — Fifteen scenarios that changed what got built</w:t>
      </w:r>
    </w:p>
    <w:p>
      <w:pPr>
        <w:pStyle w:val="FirstParagraph"/>
      </w:pPr>
      <w:r>
        <w:rPr>
          <w:bCs/>
          <w:b/>
        </w:rPr>
        <w:t xml:space="preserve">Client:</w:t>
      </w:r>
      <w:r>
        <w:t xml:space="preserve"> </w:t>
      </w:r>
      <w:r>
        <w:rPr>
          <w:rStyle w:val="VerbatimChar"/>
        </w:rPr>
        <w:t xml:space="preserve">[[Name or descriptor]]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Period: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Reference:</w:t>
      </w:r>
      <w:r>
        <w:t xml:space="preserve"> </w:t>
      </w:r>
      <w:r>
        <w:rPr>
          <w:rStyle w:val="VerbatimChar"/>
        </w:rPr>
        <w:t xml:space="preserve">[[#]]</w:t>
      </w:r>
    </w:p>
    <w:p>
      <w:pPr>
        <w:pStyle w:val="BodyText"/>
      </w:pPr>
      <w:r>
        <w:rPr>
          <w:bCs/>
          <w:b/>
        </w:rPr>
        <w:t xml:space="preserve">The problem.</w:t>
      </w:r>
      <w:r>
        <w:t xml:space="preserve"> </w:t>
      </w:r>
      <w:r>
        <w:t xml:space="preserve">A development was proceeding on a product mix set by convention rather than</w:t>
      </w:r>
      <w:r>
        <w:t xml:space="preserve"> </w:t>
      </w:r>
      <w:r>
        <w:t xml:space="preserve">analysis. The projected internal rate of return was acceptable but unremarkable, and nobody had</w:t>
      </w:r>
      <w:r>
        <w:t xml:space="preserve"> </w:t>
      </w:r>
      <w:r>
        <w:t xml:space="preserve">tested whether a different configuration of the same asset would perform materially better. The</w:t>
      </w:r>
      <w:r>
        <w:t xml:space="preserve"> </w:t>
      </w:r>
      <w:r>
        <w:t xml:space="preserve">decision window was closing — past a certain point the mix would be locked by construction.</w:t>
      </w:r>
    </w:p>
    <w:p>
      <w:pPr>
        <w:pStyle w:val="BodyText"/>
      </w:pPr>
      <w:r>
        <w:rPr>
          <w:bCs/>
          <w:b/>
        </w:rPr>
        <w:t xml:space="preserve">What we did.</w:t>
      </w:r>
      <w:r>
        <w:t xml:space="preserve"> </w:t>
      </w:r>
      <w:r>
        <w:t xml:space="preserve">We built fifteen full scenarios for the product mix, each modelled end to end</w:t>
      </w:r>
      <w:r>
        <w:t xml:space="preserve"> </w:t>
      </w:r>
      <w:r>
        <w:t xml:space="preserve">against price per square metre achievable by type, absorption capacity in the actual local market,</w:t>
      </w:r>
      <w:r>
        <w:t xml:space="preserve"> </w:t>
      </w:r>
      <w:r>
        <w:t xml:space="preserve">cost structure by typology, and the resulting return profile. Rather than presenting a</w:t>
      </w:r>
      <w:r>
        <w:t xml:space="preserve"> </w:t>
      </w:r>
      <w:r>
        <w:t xml:space="preserve">recommendation, we presented the frontier — showing the client exactly what each configuration cost</w:t>
      </w:r>
      <w:r>
        <w:t xml:space="preserve"> </w:t>
      </w:r>
      <w:r>
        <w:t xml:space="preserve">and returned, and where the supply-constrained segment sat.</w:t>
      </w:r>
    </w:p>
    <w:p>
      <w:pPr>
        <w:pStyle w:val="BodyText"/>
      </w:pPr>
      <w:r>
        <w:rPr>
          <w:bCs/>
          <w:b/>
        </w:rPr>
        <w:t xml:space="preserve">What changed.</w:t>
      </w:r>
      <w:r>
        <w:t xml:space="preserve"> </w:t>
      </w:r>
      <w:r>
        <w:t xml:space="preserve">The client shifted the mix toward the segment the analysis identified as</w:t>
      </w:r>
      <w:r>
        <w:t xml:space="preserve"> </w:t>
      </w:r>
      <w:r>
        <w:t xml:space="preserve">supply-constrained, capturing a materially higher price per square metre than the original</w:t>
      </w:r>
      <w:r>
        <w:t xml:space="preserve"> </w:t>
      </w:r>
      <w:r>
        <w:t xml:space="preserve">configuration would have achieved, and improving the projected internal rate of return</w:t>
      </w:r>
      <w:r>
        <w:t xml:space="preserve"> </w:t>
      </w:r>
      <w:r>
        <w:rPr>
          <w:rStyle w:val="VerbatimChar"/>
        </w:rPr>
        <w:t xml:space="preserve">[[from X% to Y% — insert or delete]]</w:t>
      </w:r>
      <w:r>
        <w:t xml:space="preserve">. The decision was taken inside the window, before the mix was</w:t>
      </w:r>
      <w:r>
        <w:t xml:space="preserve"> </w:t>
      </w:r>
      <w:r>
        <w:t xml:space="preserve">locked.</w:t>
      </w:r>
      <w:r>
        <w:t xml:space="preserve"> </w:t>
      </w:r>
      <w:r>
        <w:rPr>
          <w:bCs/>
          <w:b/>
        </w:rPr>
        <w:t xml:space="preserve">Attribution:</w:t>
      </w:r>
      <w:r>
        <w:t xml:space="preserve"> </w:t>
      </w:r>
      <w:r>
        <w:t xml:space="preserve">the scenario analysis is directly attributable to us; the client made and</w:t>
      </w:r>
      <w:r>
        <w:t xml:space="preserve"> </w:t>
      </w:r>
      <w:r>
        <w:t xml:space="preserve">executed the decision.</w:t>
      </w:r>
    </w:p>
    <w:bookmarkEnd w:id="30"/>
    <w:bookmarkStart w:id="31" w:name="X81f3afd27bef6a4d1e34cd122f97d474d2490dc"/>
    <w:p>
      <w:pPr>
        <w:pStyle w:val="Heading2"/>
      </w:pPr>
      <w:r>
        <w:t xml:space="preserve">Example 3 — Timing an exit against the valuation cycle</w:t>
      </w:r>
    </w:p>
    <w:p>
      <w:pPr>
        <w:pStyle w:val="FirstParagraph"/>
      </w:pPr>
      <w:r>
        <w:rPr>
          <w:bCs/>
          <w:b/>
        </w:rPr>
        <w:t xml:space="preserve">Client:</w:t>
      </w:r>
      <w:r>
        <w:t xml:space="preserve"> </w:t>
      </w:r>
      <w:r>
        <w:rPr>
          <w:rStyle w:val="VerbatimChar"/>
        </w:rPr>
        <w:t xml:space="preserve">[[Name or descriptor]]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Period: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Reference:</w:t>
      </w:r>
      <w:r>
        <w:t xml:space="preserve"> </w:t>
      </w:r>
      <w:r>
        <w:rPr>
          <w:rStyle w:val="VerbatimChar"/>
        </w:rPr>
        <w:t xml:space="preserve">[[#]]</w:t>
      </w:r>
    </w:p>
    <w:p>
      <w:pPr>
        <w:pStyle w:val="BodyText"/>
      </w:pPr>
      <w:r>
        <w:rPr>
          <w:bCs/>
          <w:b/>
        </w:rPr>
        <w:t xml:space="preserve">The problem.</w:t>
      </w:r>
      <w:r>
        <w:t xml:space="preserve"> </w:t>
      </w:r>
      <w:r>
        <w:t xml:space="preserve">An owner held a hospitality asset and was considering divestment, working from a</w:t>
      </w:r>
      <w:r>
        <w:t xml:space="preserve"> </w:t>
      </w:r>
      <w:r>
        <w:t xml:space="preserve">single indicative valuation and a single interested buyer. There was no analysis of where the asset</w:t>
      </w:r>
      <w:r>
        <w:t xml:space="preserve"> </w:t>
      </w:r>
      <w:r>
        <w:t xml:space="preserve">sat in its valuation cycle and no competitive tension in the process.</w:t>
      </w:r>
    </w:p>
    <w:p>
      <w:pPr>
        <w:pStyle w:val="BodyText"/>
      </w:pPr>
      <w:r>
        <w:rPr>
          <w:bCs/>
          <w:b/>
        </w:rPr>
        <w:t xml:space="preserve">What we did.</w:t>
      </w:r>
      <w:r>
        <w:t xml:space="preserve"> </w:t>
      </w:r>
      <w:r>
        <w:t xml:space="preserve">We analysed the valuation cycle for the asset class and market to identify the</w:t>
      </w:r>
      <w:r>
        <w:t xml:space="preserve"> </w:t>
      </w:r>
      <w:r>
        <w:t xml:space="preserve">window, built the financial case supporting a higher valuation than the indicative figure, and ran a</w:t>
      </w:r>
      <w:r>
        <w:t xml:space="preserve"> </w:t>
      </w:r>
      <w:r>
        <w:t xml:space="preserve">targeted outreach process to a mapped set of buyers whose investment thesis fit the asset — rather</w:t>
      </w:r>
      <w:r>
        <w:t xml:space="preserve"> </w:t>
      </w:r>
      <w:r>
        <w:t xml:space="preserve">than waiting on the one buyer already at the table.</w:t>
      </w:r>
    </w:p>
    <w:p>
      <w:pPr>
        <w:pStyle w:val="BodyText"/>
      </w:pPr>
      <w:r>
        <w:rPr>
          <w:bCs/>
          <w:b/>
        </w:rPr>
        <w:t xml:space="preserve">What changed.</w:t>
      </w:r>
      <w:r>
        <w:t xml:space="preserve"> </w:t>
      </w:r>
      <w:r>
        <w:t xml:space="preserve">The process produced competing offers above the initial indicative valuation, and</w:t>
      </w:r>
      <w:r>
        <w:t xml:space="preserve"> </w:t>
      </w:r>
      <w:r>
        <w:t xml:space="preserve">the exit was executed within the identified window.</w:t>
      </w:r>
      <w:r>
        <w:t xml:space="preserve"> </w:t>
      </w:r>
      <w:r>
        <w:rPr>
          <w:bCs/>
          <w:b/>
        </w:rPr>
        <w:t xml:space="preserve">Attribution:</w:t>
      </w:r>
      <w:r>
        <w:t xml:space="preserve"> </w:t>
      </w:r>
      <w:r>
        <w:t xml:space="preserve">the cycle analysis, the</w:t>
      </w:r>
      <w:r>
        <w:t xml:space="preserve"> </w:t>
      </w:r>
      <w:r>
        <w:t xml:space="preserve">valuation case and the buyer mapping were ours; the transaction was the client’s.</w:t>
      </w:r>
    </w:p>
    <w:bookmarkEnd w:id="31"/>
    <w:bookmarkStart w:id="32" w:name="what-these-have-in-common"/>
    <w:p>
      <w:pPr>
        <w:pStyle w:val="Heading2"/>
      </w:pPr>
      <w:r>
        <w:t xml:space="preserve">What these have in common</w:t>
      </w:r>
    </w:p>
    <w:p>
      <w:pPr>
        <w:pStyle w:val="FirstParagraph"/>
      </w:pPr>
      <w:r>
        <w:t xml:space="preserve">Three different asset classes, one method: build the analysis the decision actually requires, put the</w:t>
      </w:r>
      <w:r>
        <w:t xml:space="preserve"> </w:t>
      </w:r>
      <w:r>
        <w:t xml:space="preserve">real options in front of the decision-maker with their consequences quantified, and let them decide</w:t>
      </w:r>
      <w:r>
        <w:t xml:space="preserve"> </w:t>
      </w:r>
      <w:r>
        <w:t xml:space="preserve">with the downside tested. That is the same method we would bring to a GCC innovator deciding whether</w:t>
      </w:r>
      <w:r>
        <w:t xml:space="preserve"> </w:t>
      </w:r>
      <w:r>
        <w:t xml:space="preserve">to raise, what to raise, and from whom.</w:t>
      </w:r>
    </w:p>
    <w:p>
      <w:pPr>
        <w:pStyle w:val="BodyText"/>
      </w:pPr>
      <w:r>
        <w:rPr>
          <w:bCs/>
          <w:b/>
        </w:rPr>
        <w:t xml:space="preserve">Portfolio-level track record relevant to this category:</w:t>
      </w:r>
      <w:r>
        <w:t xml:space="preserve"> </w:t>
      </w:r>
      <w:r>
        <w:t xml:space="preserve">over 100 early-stage ventures advised</w:t>
      </w:r>
      <w:r>
        <w:t xml:space="preserve"> </w:t>
      </w:r>
      <w:r>
        <w:t xml:space="preserve">from idea stage to first round; more than 50 financial models built and independently reviewed</w:t>
      </w:r>
      <w:r>
        <w:t xml:space="preserve"> </w:t>
      </w:r>
      <w:r>
        <w:t xml:space="preserve">across software-as-a-service, e-commerce, financial technology, climate technology and real estate;</w:t>
      </w:r>
      <w:r>
        <w:t xml:space="preserve"> </w:t>
      </w:r>
      <w:r>
        <w:t xml:space="preserve">more than USD 10 million in capital raised or supported; independent due diligence delivered on</w:t>
      </w:r>
      <w:r>
        <w:t xml:space="preserve"> </w:t>
      </w:r>
      <w:r>
        <w:t xml:space="preserve">behalf of investors, which is the discipline that tells us precisely what an innovator’s model will</w:t>
      </w:r>
      <w:r>
        <w:t xml:space="preserve"> </w:t>
      </w:r>
      <w:r>
        <w:t xml:space="preserve">be asked on the other side of the table.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roposed-fee-structure-category-1"/>
    <w:p>
      <w:pPr>
        <w:pStyle w:val="Heading1"/>
      </w:pPr>
      <w:r>
        <w:t xml:space="preserve">8. Proposed Fee Structure — Category 1</w:t>
      </w:r>
    </w:p>
    <w:p>
      <w:pPr>
        <w:pStyle w:val="FirstParagraph"/>
      </w:pPr>
      <w:r>
        <w:rPr>
          <w:iCs/>
          <w:i/>
        </w:rPr>
        <w:t xml:space="preserve">(RFP §3.1 item 8 — all figures in CAD)</w:t>
      </w:r>
    </w:p>
    <w:p>
      <w:pPr>
        <w:pStyle w:val="BlockText"/>
      </w:pPr>
      <w:r>
        <w:rPr>
          <w:bCs/>
          <w:b/>
        </w:rPr>
        <w:t xml:space="preserve">Confirm before submission.</w:t>
      </w:r>
      <w:r>
        <w:t xml:space="preserve"> </w:t>
      </w:r>
      <w:r>
        <w:t xml:space="preserve">These rates are a recommendation built from our effort model, not a</w:t>
      </w:r>
      <w:r>
        <w:t xml:space="preserve"> </w:t>
      </w:r>
      <w:r>
        <w:t xml:space="preserve">published LEAP rate card. Approve or amend every number. See the internal delivery plan for the</w:t>
      </w:r>
      <w:r>
        <w:t xml:space="preserve"> </w:t>
      </w:r>
      <w:r>
        <w:t xml:space="preserve">cost-and-margin basis.</w:t>
      </w:r>
    </w:p>
    <w:bookmarkStart w:id="34" w:name="hourly-rates-by-grade"/>
    <w:p>
      <w:pPr>
        <w:pStyle w:val="Heading2"/>
      </w:pPr>
      <w:r>
        <w:t xml:space="preserve">Hourly rates by grade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 rate (CAD, excl. tax)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 Soliman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Ahmed Ashraf, senior associates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Specialist Associate (where 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associate, by engagement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[[145]]</w:t>
            </w:r>
          </w:p>
        </w:tc>
      </w:tr>
    </w:tbl>
    <w:p>
      <w:pPr>
        <w:pStyle w:val="BodyText"/>
      </w:pPr>
      <w:r>
        <w:t xml:space="preserve">Typical engagement blend: Principal 25%, Senior Advisor 45%, Analyst 30% — a</w:t>
      </w:r>
      <w:r>
        <w:t xml:space="preserve"> </w:t>
      </w:r>
      <w:r>
        <w:rPr>
          <w:bCs/>
          <w:b/>
        </w:rPr>
        <w:t xml:space="preserve">blended rate of</w:t>
      </w:r>
      <w:r>
        <w:rPr>
          <w:bCs/>
          <w:b/>
        </w:rPr>
        <w:t xml:space="preserve"> </w:t>
      </w:r>
      <w:r>
        <w:rPr>
          <w:bCs/>
          <w:b/>
        </w:rPr>
        <w:t xml:space="preserve">CAD 123 per hour</w:t>
      </w:r>
      <w:r>
        <w:t xml:space="preserve">. We staff deliberately: principal time on judgement and client decisions, analyst</w:t>
      </w:r>
      <w:r>
        <w:t xml:space="preserve"> </w:t>
      </w:r>
      <w:r>
        <w:t xml:space="preserve">time on build and data work. We do not bill principal rates for analyst work.</w:t>
      </w:r>
    </w:p>
    <w:bookmarkEnd w:id="34"/>
    <w:bookmarkStart w:id="35" w:name="engagement-packages"/>
    <w:p>
      <w:pPr>
        <w:pStyle w:val="Heading2"/>
      </w:pPr>
      <w:r>
        <w:t xml:space="preserve">Engagement packages</w:t>
      </w:r>
    </w:p>
    <w:p>
      <w:pPr>
        <w:pStyle w:val="FirstParagraph"/>
      </w:pPr>
      <w:r>
        <w:t xml:space="preserve">Fixed-fee, with the hour ceiling stated up front. If an engagement completes under the ceiling, we</w:t>
      </w:r>
      <w:r>
        <w:t xml:space="preserve"> </w:t>
      </w:r>
      <w:r>
        <w:t xml:space="preserve">invoice the hours used, not the package price.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(CAD, excl. tax)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 Readiness Diagnostic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Model and Scenario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5–7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Strategy and Structuring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70–90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 Table Design and 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 Diligence Preparation and Data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55–70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5–7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Follow-on advisory (post-engagement support)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the rates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required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Combined pathway.</w:t>
      </w:r>
      <w:r>
        <w:t xml:space="preserve"> </w:t>
      </w:r>
      <w:r>
        <w:t xml:space="preserve">Where an innovator needs the full sequence — diagnostic through to funder-ready</w:t>
      </w:r>
      <w:r>
        <w:t xml:space="preserve"> </w:t>
      </w:r>
      <w:r>
        <w:t xml:space="preserve">— we deliver Readiness Diagnostic, Model Build, Capital Strategy and Due Diligence Preparation as one</w:t>
      </w:r>
      <w:r>
        <w:t xml:space="preserve"> </w:t>
      </w:r>
      <w:r>
        <w:t xml:space="preserve">mandate at</w:t>
      </w:r>
      <w:r>
        <w:t xml:space="preserve"> </w:t>
      </w:r>
      <w:r>
        <w:rPr>
          <w:bCs/>
          <w:b/>
        </w:rPr>
        <w:t xml:space="preserve">CAD 26,500</w:t>
      </w:r>
      <w:r>
        <w:t xml:space="preserve"> </w:t>
      </w:r>
      <w:r>
        <w:t xml:space="preserve">(approximately 210–250 hours), a 10% reduction against the sum of the</w:t>
      </w:r>
      <w:r>
        <w:t xml:space="preserve"> </w:t>
      </w:r>
      <w:r>
        <w:t xml:space="preserve">separate packages.</w:t>
      </w:r>
    </w:p>
    <w:bookmarkEnd w:id="35"/>
    <w:bookmarkStart w:id="36" w:name="terms"/>
    <w:p>
      <w:pPr>
        <w:pStyle w:val="Heading2"/>
      </w:pPr>
      <w:r>
        <w:t xml:space="preserve">Terms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Basis.</w:t>
      </w:r>
      <w:r>
        <w:t xml:space="preserve"> </w:t>
      </w:r>
      <w:r>
        <w:t xml:space="preserve">Fixed fee per engagement against a stated hour ceiling; hourly rates apply to</w:t>
      </w:r>
      <w:r>
        <w:t xml:space="preserve"> </w:t>
      </w:r>
      <w:r>
        <w:t xml:space="preserve">out-of-scope work agreed in advance in writing with GCC.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Invoicing.</w:t>
      </w:r>
      <w:r>
        <w:t xml:space="preserve"> </w:t>
      </w:r>
      <w:r>
        <w:t xml:space="preserve">Monthly in arrears against the maximum contract amount, itemised by innovator,</w:t>
      </w:r>
      <w:r>
        <w:t xml:space="preserve"> </w:t>
      </w:r>
      <w:r>
        <w:t xml:space="preserve">engagement and grade, with hours used against ceiling.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Currency.</w:t>
      </w:r>
      <w:r>
        <w:t xml:space="preserve"> </w:t>
      </w:r>
      <w:r>
        <w:t xml:space="preserve">CAD.</w:t>
      </w:r>
      <w:r>
        <w:t xml:space="preserve"> </w:t>
      </w:r>
      <w:r>
        <w:rPr>
          <w:rStyle w:val="VerbatimChar"/>
        </w:rPr>
        <w:t xml:space="preserve">[[Confirm whether GCC pays in CAD to an Egyptian account and who bears the FX   and transfer cost — resolve at contract negotiation.]]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Travel and expenses.</w:t>
      </w:r>
      <w:r>
        <w:t xml:space="preserve"> </w:t>
      </w:r>
      <w:r>
        <w:t xml:space="preserve">None proposed; all delivery is remote. Any travel requested by GCC would</w:t>
      </w:r>
      <w:r>
        <w:t xml:space="preserve"> </w:t>
      </w:r>
      <w:r>
        <w:t xml:space="preserve">be quoted separately for prior written approval.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Taxes.</w:t>
      </w:r>
      <w:r>
        <w:t xml:space="preserve"> </w:t>
      </w:r>
      <w:r>
        <w:t xml:space="preserve">Shown separately as required. LEAP is registered in</w:t>
      </w:r>
      <w:r>
        <w:t xml:space="preserve"> </w:t>
      </w:r>
      <w:r>
        <w:rPr>
          <w:rStyle w:val="VerbatimChar"/>
        </w:rPr>
        <w:t xml:space="preserve">[[Egypt]]</w:t>
      </w:r>
      <w:r>
        <w:t xml:space="preserve"> </w:t>
      </w:r>
      <w:r>
        <w:t xml:space="preserve">with no permanent</w:t>
      </w:r>
      <w:r>
        <w:t xml:space="preserve"> </w:t>
      </w:r>
      <w:r>
        <w:t xml:space="preserve">establishment in Canada, and on our understanding Canadian GST/HST does not apply to these services</w:t>
      </w:r>
      <w:r>
        <w:t xml:space="preserve"> </w:t>
      </w:r>
      <w:r>
        <w:t xml:space="preserve">supplied from outside Canada.</w:t>
      </w:r>
      <w:r>
        <w:t xml:space="preserve"> </w:t>
      </w:r>
      <w:r>
        <w:rPr>
          <w:bCs/>
          <w:b/>
        </w:rPr>
        <w:t xml:space="preserve">Applicable taxes: CAD 0.00.</w:t>
      </w:r>
      <w:r>
        <w:t xml:space="preserve"> </w:t>
      </w:r>
      <w:r>
        <w:t xml:space="preserve">If GCC’s determination differs, we</w:t>
      </w:r>
      <w:r>
        <w:t xml:space="preserve"> </w:t>
      </w:r>
      <w:r>
        <w:t xml:space="preserve">will register and invoice as directed at no change to the fees above.</w:t>
      </w:r>
      <w:r>
        <w:t xml:space="preserve"> </w:t>
      </w:r>
      <w:r>
        <w:rPr>
          <w:rStyle w:val="VerbatimChar"/>
        </w:rPr>
        <w:t xml:space="preserve">[[Confirm with your accountant before submission.]]</w:t>
      </w:r>
    </w:p>
    <w:bookmarkEnd w:id="36"/>
    <w:bookmarkEnd w:id="37"/>
    <w:sectPr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4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2026-09-15T07:14:46Z</dcterms:created>
  <dcterms:modified xsi:type="dcterms:W3CDTF">2026-09-15T07:14:46Z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