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spacing w:before="0" w:after="0" w:line="322" w:lineRule="auto"/>
      </w:pPr>
    </w:p>
    <w:p>
      <w:pPr>
        <w:widowControl w:val="true"/>
        <w:spacing w:before="0" w:after="0" w:line="322" w:lineRule="auto"/>
      </w:pPr>
    </w:p>
    <w:p>
      <w:pPr>
        <w:widowControl w:val="true"/>
        <w:spacing w:before="0" w:after="200" w:line="322" w:lineRule="auto"/>
        <w:jc w:val="left"/>
      </w:pPr>
      <w:r>
        <w:rPr>
          <w:rFonts w:ascii="Plus Jakarta Sans" w:hAnsi="Plus Jakarta Sans" w:cs="Segoe UI"/>
          <w:b/>
          <w:i w:val="0"/>
          <w:color w:val="3418E0"/>
          <w:spacing w:val="36"/>
          <w:sz w:val="17"/>
          <w:szCs w:val="17"/>
        </w:rPr>
        <w:t>SPONSORSHIP FRAMEWORK</w:t>
      </w:r>
    </w:p>
    <w:p>
      <w:pPr>
        <w:widowControl w:val="true"/>
        <w:spacing w:before="0" w:after="40" w:line="254" w:lineRule="auto"/>
      </w:pPr>
      <w:r>
        <w:rPr>
          <w:rFonts w:ascii="Plus Jakarta Sans" w:hAnsi="Plus Jakarta Sans" w:cs="Segoe UI"/>
          <w:b/>
          <w:i w:val="0"/>
          <w:color w:val="0B0E14"/>
          <w:sz w:val="68"/>
          <w:szCs w:val="68"/>
        </w:rPr>
        <w:t>One Million First-Time Founders</w:t>
      </w:r>
    </w:p>
    <w:p>
      <w:pPr>
        <w:widowControl w:val="true"/>
        <w:spacing w:before="0" w:after="280" w:line="288" w:lineRule="auto"/>
        <w:jc w:val="right"/>
      </w:pPr>
      <w:r>
        <w:rPr>
          <w:rFonts w:ascii="Plus Jakarta Sans" w:hAnsi="Plus Jakarta Sans" w:cs="Segoe UI"/>
          <w:b/>
          <w:i w:val="0"/>
          <w:color w:val="3418E0"/>
          <w:sz w:val="38"/>
          <w:szCs w:val="38"/>
        </w:rPr>
        <w:t>مليون رائد أعمال لأول مرة</w:t>
      </w:r>
    </w:p>
    <w:p>
      <w:pPr>
        <w:pBdr>
          <w:bottom w:val="single" w:sz="12" w:color="3418E0"/>
        </w:pBdr>
        <w:spacing w:before="0" w:after="280"/>
      </w:pPr>
    </w:p>
    <w:p>
      <w:pPr>
        <w:widowControl w:val="true"/>
        <w:spacing w:before="0" w:after="360" w:line="322" w:lineRule="auto"/>
      </w:pPr>
      <w:r>
        <w:rPr>
          <w:rFonts w:ascii="Plus Jakarta Sans" w:hAnsi="Plus Jakarta Sans" w:cs="Segoe UI"/>
          <w:b w:val="0"/>
          <w:i w:val="0"/>
          <w:color w:val="3A4050"/>
          <w:sz w:val="27"/>
          <w:szCs w:val="27"/>
        </w:rPr>
        <w:t>Every first-time founder in Egypt gets a method, not a motivational speech.</w:t>
      </w:r>
    </w:p>
    <w:tbl>
      <w:tblPr>
        <w:tblW w:type="dxa" w:w="9412"/>
        <w:jc w:val="left"/>
        <w:tblBorders>
          <w:top w:val="single" w:sz="2" w:color="FFFFFF"/>
          <w:left w:val="single" w:sz="2" w:color="FFFFFF"/>
          <w:bottom w:val="single" w:sz="2" w:color="FFFFFF"/>
          <w:right w:val="single" w:sz="2" w:color="FFFFFF"/>
          <w:insideH w:val="single" w:sz="2" w:color="FFFFFF"/>
          <w:insideV w:val="single" w:sz="2" w:color="FFFFFF"/>
        </w:tblBorders>
        <w:tblLayout w:type="fixed"/>
        <w:tblLook w:firstColumn="1" w:firstRow="1" w:lastColumn="0" w:lastRow="0" w:noHBand="0" w:noVBand="1" w:val="04A0"/>
      </w:tblPr>
      <w:tblGrid>
        <w:gridCol w:w="2353"/>
        <w:gridCol w:w="2353"/>
        <w:gridCol w:w="2353"/>
        <w:gridCol w:w="2353"/>
      </w:tblGrid>
      <w:tr>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1,000,000</w:t>
            </w:r>
          </w:p>
          <w:p>
            <w:pPr>
              <w:spacing w:after="0" w:line="293" w:lineRule="auto"/>
            </w:pPr>
            <w:r>
              <w:rPr>
                <w:rFonts w:ascii="Plus Jakarta Sans" w:hAnsi="Plus Jakarta Sans" w:cs="Segoe UI"/>
                <w:b w:val="0"/>
                <w:i w:val="0"/>
                <w:color w:val="3A4050"/>
                <w:sz w:val="15"/>
                <w:szCs w:val="15"/>
              </w:rPr>
              <w:t>entrepreneurs, in six months</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$200,000</w:t>
            </w:r>
          </w:p>
          <w:p>
            <w:pPr>
              <w:spacing w:after="0" w:line="293" w:lineRule="auto"/>
            </w:pPr>
            <w:r>
              <w:rPr>
                <w:rFonts w:ascii="Plus Jakarta Sans" w:hAnsi="Plus Jakarta Sans" w:cs="Segoe UI"/>
                <w:b w:val="0"/>
                <w:i w:val="0"/>
                <w:color w:val="3A4050"/>
                <w:sz w:val="15"/>
                <w:szCs w:val="15"/>
              </w:rPr>
              <w:t>total cost</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$0.20</w:t>
            </w:r>
          </w:p>
          <w:p>
            <w:pPr>
              <w:spacing w:after="0" w:line="293" w:lineRule="auto"/>
            </w:pPr>
            <w:r>
              <w:rPr>
                <w:rFonts w:ascii="Plus Jakarta Sans" w:hAnsi="Plus Jakarta Sans" w:cs="Segoe UI"/>
                <w:b w:val="0"/>
                <w:i w:val="0"/>
                <w:color w:val="3A4050"/>
                <w:sz w:val="15"/>
                <w:szCs w:val="15"/>
              </w:rPr>
              <w:t>per entrepreneur</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$0</w:t>
            </w:r>
          </w:p>
          <w:p>
            <w:pPr>
              <w:spacing w:after="0" w:line="293" w:lineRule="auto"/>
            </w:pPr>
            <w:r>
              <w:rPr>
                <w:rFonts w:ascii="Plus Jakarta Sans" w:hAnsi="Plus Jakarta Sans" w:cs="Segoe UI"/>
                <w:b w:val="0"/>
                <w:i w:val="0"/>
                <w:color w:val="3A4050"/>
                <w:sz w:val="15"/>
                <w:szCs w:val="15"/>
              </w:rPr>
              <w:t>of StartPad's own cash</w:t>
            </w:r>
          </w:p>
        </w:tc>
      </w:tr>
    </w:tbl>
    <w:p>
      <w:pPr>
        <w:widowControl w:val="true"/>
        <w:spacing w:before="0" w:after="160" w:line="322" w:lineRule="auto"/>
      </w:pPr>
    </w:p>
    <w:p>
      <w:pPr>
        <w:widowControl w:val="true"/>
        <w:spacing w:before="0" w:after="200" w:line="322" w:lineRule="auto"/>
      </w:pP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For CSR sponsors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Cash and in-kind. Named association with a national initiative, a reporting pack that survives audit, a pre-qualified venture pipeline, and the quarterly read on what young Egyptians are actually trying to build.</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For NGOs and development partners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In-kind, reach and co-funding. The method for their own beneficiaries, their staff trained to host sessions, a measured evidence base for their next donor proposal, and access to the sponsor coalition.</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For youth foundations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Community reach, no cash. The full programme free for every member, a credential their leadership keeps after their term ends, a national stage at the showcase, better-prepared teams for their own competitions, and their own chapter's data.</w:t>
      </w:r>
    </w:p>
    <w:p>
      <w:pPr>
        <w:widowControl w:val="true"/>
        <w:spacing w:before="0" w:after="240" w:line="322" w:lineRule="auto"/>
      </w:pPr>
    </w:p>
    <w:p>
      <w:pPr>
        <w:widowControl w:val="true"/>
        <w:spacing w:before="0" w:after="20" w:line="322" w:lineRule="auto"/>
      </w:pPr>
      <w:r>
        <w:rPr>
          <w:rFonts w:ascii="Plus Jakarta Sans" w:hAnsi="Plus Jakarta Sans" w:cs="Segoe UI"/>
          <w:b/>
          <w:i w:val="0"/>
          <w:color w:val="0B0E14"/>
          <w:sz w:val="20"/>
          <w:szCs w:val="20"/>
        </w:rPr>
        <w:t>StartPad</w:t>
      </w:r>
    </w:p>
    <w:p>
      <w:pPr>
        <w:widowControl w:val="true"/>
        <w:spacing w:before="0" w:after="0" w:line="322" w:lineRule="auto"/>
      </w:pPr>
      <w:r>
        <w:rPr>
          <w:rFonts w:ascii="Plus Jakarta Sans" w:hAnsi="Plus Jakarta Sans" w:cs="Segoe UI"/>
          <w:b w:val="0"/>
          <w:i w:val="0"/>
          <w:color w:val="6B7285"/>
          <w:sz w:val="18"/>
          <w:szCs w:val="18"/>
        </w:rPr>
        <w:t>Cairo, Egypt</w:t>
      </w:r>
    </w:p>
    <w:p>
      <w:r>
        <w:br w:type="page"/>
      </w:r>
    </w:p>
    <w:p>
      <w:pPr>
        <w:widowControl w:val="true"/>
        <w:spacing w:before="0" w:after="160" w:line="322" w:lineRule="auto"/>
      </w:pPr>
      <w:r>
        <w:rPr>
          <w:rFonts w:ascii="Plus Jakarta Sans" w:hAnsi="Plus Jakarta Sans" w:cs="Segoe UI"/>
          <w:b/>
          <w:i w:val="0"/>
          <w:color w:val="3418E0"/>
          <w:spacing w:val="36"/>
          <w:sz w:val="17"/>
          <w:szCs w:val="17"/>
        </w:rPr>
        <w:t>CONTENTS</w:t>
      </w:r>
    </w:p>
    <w:p>
      <w:pPr>
        <w:pBdr>
          <w:bottom w:val="single" w:sz="6" w:color="E2E4EA"/>
        </w:pBdr>
        <w:spacing w:before="0" w:after="200"/>
      </w:pPr>
    </w:p>
    <w:p>
      <w:pPr>
        <w:spacing w:after="100" w:line="288" w:lineRule="auto"/>
      </w:pPr>
      <w:r>
        <w:rPr>
          <w:rFonts w:ascii="Plus Jakarta Sans" w:hAnsi="Plus Jakarta Sans" w:cs="Segoe UI"/>
          <w:b/>
          <w:i w:val="0"/>
          <w:color w:val="3418E0"/>
          <w:sz w:val="18"/>
          <w:szCs w:val="18"/>
        </w:rPr>
        <w:t>01</w:t>
      </w:r>
      <w:r>
        <w:rPr>
          <w:rFonts w:ascii="Plus Jakarta Sans" w:hAnsi="Plus Jakarta Sans" w:cs="Segoe UI"/>
          <w:b/>
          <w:i w:val="0"/>
          <w:color w:val="0B0E14"/>
          <w:sz w:val="21"/>
          <w:szCs w:val="21"/>
        </w:rPr>
        <w:t xml:space="preserve">      The initiative</w:t>
      </w:r>
    </w:p>
    <w:p>
      <w:pPr>
        <w:spacing w:after="100" w:line="288" w:lineRule="auto"/>
      </w:pPr>
      <w:r>
        <w:rPr>
          <w:rFonts w:ascii="Plus Jakarta Sans" w:hAnsi="Plus Jakarta Sans" w:cs="Segoe UI"/>
          <w:b/>
          <w:i w:val="0"/>
          <w:color w:val="3418E0"/>
          <w:sz w:val="18"/>
          <w:szCs w:val="18"/>
        </w:rPr>
        <w:t>02</w:t>
      </w:r>
      <w:r>
        <w:rPr>
          <w:rFonts w:ascii="Plus Jakarta Sans" w:hAnsi="Plus Jakarta Sans" w:cs="Segoe UI"/>
          <w:b/>
          <w:i w:val="0"/>
          <w:color w:val="0B0E14"/>
          <w:sz w:val="21"/>
          <w:szCs w:val="21"/>
        </w:rPr>
        <w:t xml:space="preserve">      What a first-time founder actually gets</w:t>
      </w:r>
    </w:p>
    <w:p>
      <w:pPr>
        <w:spacing w:after="100" w:line="288" w:lineRule="auto"/>
      </w:pPr>
      <w:r>
        <w:rPr>
          <w:rFonts w:ascii="Plus Jakarta Sans" w:hAnsi="Plus Jakarta Sans" w:cs="Segoe UI"/>
          <w:b/>
          <w:i w:val="0"/>
          <w:color w:val="3418E0"/>
          <w:sz w:val="18"/>
          <w:szCs w:val="18"/>
        </w:rPr>
        <w:t>03</w:t>
      </w:r>
      <w:r>
        <w:rPr>
          <w:rFonts w:ascii="Plus Jakarta Sans" w:hAnsi="Plus Jakarta Sans" w:cs="Segoe UI"/>
          <w:b/>
          <w:i w:val="0"/>
          <w:color w:val="0B0E14"/>
          <w:sz w:val="21"/>
          <w:szCs w:val="21"/>
        </w:rPr>
        <w:t xml:space="preserve">      The three roles</w:t>
      </w:r>
    </w:p>
    <w:p>
      <w:pPr>
        <w:spacing w:after="100" w:line="288" w:lineRule="auto"/>
      </w:pPr>
      <w:r>
        <w:rPr>
          <w:rFonts w:ascii="Plus Jakarta Sans" w:hAnsi="Plus Jakarta Sans" w:cs="Segoe UI"/>
          <w:b/>
          <w:i w:val="0"/>
          <w:color w:val="3418E0"/>
          <w:sz w:val="18"/>
          <w:szCs w:val="18"/>
        </w:rPr>
        <w:t>04</w:t>
      </w:r>
      <w:r>
        <w:rPr>
          <w:rFonts w:ascii="Plus Jakarta Sans" w:hAnsi="Plus Jakarta Sans" w:cs="Segoe UI"/>
          <w:b/>
          <w:i w:val="0"/>
          <w:color w:val="0B0E14"/>
          <w:sz w:val="21"/>
          <w:szCs w:val="21"/>
        </w:rPr>
        <w:t xml:space="preserve">      Why a CSR sponsor joins</w:t>
      </w:r>
    </w:p>
    <w:p>
      <w:pPr>
        <w:spacing w:after="100" w:line="288" w:lineRule="auto"/>
      </w:pPr>
      <w:r>
        <w:rPr>
          <w:rFonts w:ascii="Plus Jakarta Sans" w:hAnsi="Plus Jakarta Sans" w:cs="Segoe UI"/>
          <w:b/>
          <w:i w:val="0"/>
          <w:color w:val="3418E0"/>
          <w:sz w:val="18"/>
          <w:szCs w:val="18"/>
        </w:rPr>
        <w:t>05</w:t>
      </w:r>
      <w:r>
        <w:rPr>
          <w:rFonts w:ascii="Plus Jakarta Sans" w:hAnsi="Plus Jakarta Sans" w:cs="Segoe UI"/>
          <w:b/>
          <w:i w:val="0"/>
          <w:color w:val="0B0E14"/>
          <w:sz w:val="21"/>
          <w:szCs w:val="21"/>
        </w:rPr>
        <w:t xml:space="preserve">      Why an NGO or development partner joins</w:t>
      </w:r>
    </w:p>
    <w:p>
      <w:pPr>
        <w:spacing w:after="100" w:line="288" w:lineRule="auto"/>
      </w:pPr>
      <w:r>
        <w:rPr>
          <w:rFonts w:ascii="Plus Jakarta Sans" w:hAnsi="Plus Jakarta Sans" w:cs="Segoe UI"/>
          <w:b/>
          <w:i w:val="0"/>
          <w:color w:val="3418E0"/>
          <w:sz w:val="18"/>
          <w:szCs w:val="18"/>
        </w:rPr>
        <w:t>06</w:t>
      </w:r>
      <w:r>
        <w:rPr>
          <w:rFonts w:ascii="Plus Jakarta Sans" w:hAnsi="Plus Jakarta Sans" w:cs="Segoe UI"/>
          <w:b/>
          <w:i w:val="0"/>
          <w:color w:val="0B0E14"/>
          <w:sz w:val="21"/>
          <w:szCs w:val="21"/>
        </w:rPr>
        <w:t xml:space="preserve">      Why a youth foundation joins</w:t>
      </w:r>
    </w:p>
    <w:p>
      <w:pPr>
        <w:spacing w:after="100" w:line="288" w:lineRule="auto"/>
      </w:pPr>
      <w:r>
        <w:rPr>
          <w:rFonts w:ascii="Plus Jakarta Sans" w:hAnsi="Plus Jakarta Sans" w:cs="Segoe UI"/>
          <w:b/>
          <w:i w:val="0"/>
          <w:color w:val="3418E0"/>
          <w:sz w:val="18"/>
          <w:szCs w:val="18"/>
        </w:rPr>
        <w:t>07</w:t>
      </w:r>
      <w:r>
        <w:rPr>
          <w:rFonts w:ascii="Plus Jakarta Sans" w:hAnsi="Plus Jakarta Sans" w:cs="Segoe UI"/>
          <w:b/>
          <w:i w:val="0"/>
          <w:color w:val="0B0E14"/>
          <w:sz w:val="21"/>
          <w:szCs w:val="21"/>
        </w:rPr>
        <w:t xml:space="preserve">      The ideas bank, and the rules that govern it</w:t>
      </w:r>
    </w:p>
    <w:p>
      <w:pPr>
        <w:spacing w:after="100" w:line="288" w:lineRule="auto"/>
      </w:pPr>
      <w:r>
        <w:rPr>
          <w:rFonts w:ascii="Plus Jakarta Sans" w:hAnsi="Plus Jakarta Sans" w:cs="Segoe UI"/>
          <w:b/>
          <w:i w:val="0"/>
          <w:color w:val="3418E0"/>
          <w:sz w:val="18"/>
          <w:szCs w:val="18"/>
        </w:rPr>
        <w:t>08</w:t>
      </w:r>
      <w:r>
        <w:rPr>
          <w:rFonts w:ascii="Plus Jakarta Sans" w:hAnsi="Plus Jakarta Sans" w:cs="Segoe UI"/>
          <w:b/>
          <w:i w:val="0"/>
          <w:color w:val="0B0E14"/>
          <w:sz w:val="21"/>
          <w:szCs w:val="21"/>
        </w:rPr>
        <w:t xml:space="preserve">      Sponsorship packages</w:t>
      </w:r>
    </w:p>
    <w:p>
      <w:pPr>
        <w:spacing w:after="100" w:line="288" w:lineRule="auto"/>
      </w:pPr>
      <w:r>
        <w:rPr>
          <w:rFonts w:ascii="Plus Jakarta Sans" w:hAnsi="Plus Jakarta Sans" w:cs="Segoe UI"/>
          <w:b/>
          <w:i w:val="0"/>
          <w:color w:val="3418E0"/>
          <w:sz w:val="18"/>
          <w:szCs w:val="18"/>
        </w:rPr>
        <w:t>09</w:t>
      </w:r>
      <w:r>
        <w:rPr>
          <w:rFonts w:ascii="Plus Jakarta Sans" w:hAnsi="Plus Jakarta Sans" w:cs="Segoe UI"/>
          <w:b/>
          <w:i w:val="0"/>
          <w:color w:val="0B0E14"/>
          <w:sz w:val="21"/>
          <w:szCs w:val="21"/>
        </w:rPr>
        <w:t xml:space="preserve">      In-kind support</w:t>
      </w:r>
    </w:p>
    <w:p>
      <w:pPr>
        <w:spacing w:after="100" w:line="288" w:lineRule="auto"/>
      </w:pPr>
      <w:r>
        <w:rPr>
          <w:rFonts w:ascii="Plus Jakarta Sans" w:hAnsi="Plus Jakarta Sans" w:cs="Segoe UI"/>
          <w:b/>
          <w:i w:val="0"/>
          <w:color w:val="3418E0"/>
          <w:sz w:val="18"/>
          <w:szCs w:val="18"/>
        </w:rPr>
        <w:t>10</w:t>
      </w:r>
      <w:r>
        <w:rPr>
          <w:rFonts w:ascii="Plus Jakarta Sans" w:hAnsi="Plus Jakarta Sans" w:cs="Segoe UI"/>
          <w:b/>
          <w:i w:val="0"/>
          <w:color w:val="0B0E14"/>
          <w:sz w:val="21"/>
          <w:szCs w:val="21"/>
        </w:rPr>
        <w:t xml:space="preserve">      The six months, and why this window</w:t>
      </w:r>
    </w:p>
    <w:p>
      <w:pPr>
        <w:spacing w:after="100" w:line="288" w:lineRule="auto"/>
      </w:pPr>
      <w:r>
        <w:rPr>
          <w:rFonts w:ascii="Plus Jakarta Sans" w:hAnsi="Plus Jakarta Sans" w:cs="Segoe UI"/>
          <w:b/>
          <w:i w:val="0"/>
          <w:color w:val="3418E0"/>
          <w:sz w:val="18"/>
          <w:szCs w:val="18"/>
        </w:rPr>
        <w:t>11</w:t>
      </w:r>
      <w:r>
        <w:rPr>
          <w:rFonts w:ascii="Plus Jakarta Sans" w:hAnsi="Plus Jakarta Sans" w:cs="Segoe UI"/>
          <w:b/>
          <w:i w:val="0"/>
          <w:color w:val="0B0E14"/>
          <w:sz w:val="21"/>
          <w:szCs w:val="21"/>
        </w:rPr>
        <w:t xml:space="preserve">      The arithmetic</w:t>
      </w:r>
    </w:p>
    <w:p>
      <w:pPr>
        <w:spacing w:after="100" w:line="288" w:lineRule="auto"/>
      </w:pPr>
      <w:r>
        <w:rPr>
          <w:rFonts w:ascii="Plus Jakarta Sans" w:hAnsi="Plus Jakarta Sans" w:cs="Segoe UI"/>
          <w:b/>
          <w:i w:val="0"/>
          <w:color w:val="3418E0"/>
          <w:sz w:val="18"/>
          <w:szCs w:val="18"/>
        </w:rPr>
        <w:t>12</w:t>
      </w:r>
      <w:r>
        <w:rPr>
          <w:rFonts w:ascii="Plus Jakarta Sans" w:hAnsi="Plus Jakarta Sans" w:cs="Segoe UI"/>
          <w:b/>
          <w:i w:val="0"/>
          <w:color w:val="0B0E14"/>
          <w:sz w:val="21"/>
          <w:szCs w:val="21"/>
        </w:rPr>
        <w:t xml:space="preserve">      How it goes viral</w:t>
      </w:r>
    </w:p>
    <w:p>
      <w:pPr>
        <w:spacing w:after="100" w:line="288" w:lineRule="auto"/>
      </w:pPr>
      <w:r>
        <w:rPr>
          <w:rFonts w:ascii="Plus Jakarta Sans" w:hAnsi="Plus Jakarta Sans" w:cs="Segoe UI"/>
          <w:b/>
          <w:i w:val="0"/>
          <w:color w:val="3418E0"/>
          <w:sz w:val="18"/>
          <w:szCs w:val="18"/>
        </w:rPr>
        <w:t>13</w:t>
      </w:r>
      <w:r>
        <w:rPr>
          <w:rFonts w:ascii="Plus Jakarta Sans" w:hAnsi="Plus Jakarta Sans" w:cs="Segoe UI"/>
          <w:b/>
          <w:i w:val="0"/>
          <w:color w:val="0B0E14"/>
          <w:sz w:val="21"/>
          <w:szCs w:val="21"/>
        </w:rPr>
        <w:t xml:space="preserve">      Everything that happens live</w:t>
      </w:r>
    </w:p>
    <w:p>
      <w:pPr>
        <w:spacing w:after="100" w:line="288" w:lineRule="auto"/>
      </w:pPr>
      <w:r>
        <w:rPr>
          <w:rFonts w:ascii="Plus Jakarta Sans" w:hAnsi="Plus Jakarta Sans" w:cs="Segoe UI"/>
          <w:b/>
          <w:i w:val="0"/>
          <w:color w:val="3418E0"/>
          <w:sz w:val="18"/>
          <w:szCs w:val="18"/>
        </w:rPr>
        <w:t>14</w:t>
      </w:r>
      <w:r>
        <w:rPr>
          <w:rFonts w:ascii="Plus Jakarta Sans" w:hAnsi="Plus Jakarta Sans" w:cs="Segoe UI"/>
          <w:b/>
          <w:i w:val="0"/>
          <w:color w:val="0B0E14"/>
          <w:sz w:val="21"/>
          <w:szCs w:val="21"/>
        </w:rPr>
        <w:t xml:space="preserve">      What StartPad gets back</w:t>
      </w:r>
    </w:p>
    <w:p>
      <w:pPr>
        <w:spacing w:after="100" w:line="288" w:lineRule="auto"/>
      </w:pPr>
      <w:r>
        <w:rPr>
          <w:rFonts w:ascii="Plus Jakarta Sans" w:hAnsi="Plus Jakarta Sans" w:cs="Segoe UI"/>
          <w:b/>
          <w:i w:val="0"/>
          <w:color w:val="3418E0"/>
          <w:sz w:val="18"/>
          <w:szCs w:val="18"/>
        </w:rPr>
        <w:t>15</w:t>
      </w:r>
      <w:r>
        <w:rPr>
          <w:rFonts w:ascii="Plus Jakarta Sans" w:hAnsi="Plus Jakarta Sans" w:cs="Segoe UI"/>
          <w:b/>
          <w:i w:val="0"/>
          <w:color w:val="0B0E14"/>
          <w:sz w:val="21"/>
          <w:szCs w:val="21"/>
        </w:rPr>
        <w:t xml:space="preserve">      Governance, measurement and risk</w:t>
      </w:r>
    </w:p>
    <w:p>
      <w:pPr>
        <w:spacing w:after="100" w:line="288" w:lineRule="auto"/>
      </w:pPr>
      <w:r>
        <w:rPr>
          <w:rFonts w:ascii="Plus Jakarta Sans" w:hAnsi="Plus Jakarta Sans" w:cs="Segoe UI"/>
          <w:b/>
          <w:i w:val="0"/>
          <w:color w:val="3418E0"/>
          <w:sz w:val="18"/>
          <w:szCs w:val="18"/>
        </w:rPr>
        <w:t>16</w:t>
      </w:r>
      <w:r>
        <w:rPr>
          <w:rFonts w:ascii="Plus Jakarta Sans" w:hAnsi="Plus Jakarta Sans" w:cs="Segoe UI"/>
          <w:b/>
          <w:i w:val="0"/>
          <w:color w:val="0B0E14"/>
          <w:sz w:val="21"/>
          <w:szCs w:val="21"/>
        </w:rPr>
        <w:t xml:space="preserve">      How to join</w:t>
      </w:r>
    </w:p>
    <w:p>
      <w:pPr>
        <w:spacing w:after="100" w:line="288" w:lineRule="auto"/>
      </w:pPr>
      <w:r>
        <w:rPr>
          <w:rFonts w:ascii="Plus Jakarta Sans" w:hAnsi="Plus Jakarta Sans" w:cs="Segoe UI"/>
          <w:b/>
          <w:i w:val="0"/>
          <w:color w:val="3418E0"/>
          <w:sz w:val="18"/>
          <w:szCs w:val="18"/>
        </w:rPr>
        <w:t>17</w:t>
      </w:r>
      <w:r>
        <w:rPr>
          <w:rFonts w:ascii="Plus Jakarta Sans" w:hAnsi="Plus Jakarta Sans" w:cs="Segoe UI"/>
          <w:b/>
          <w:i w:val="0"/>
          <w:color w:val="0B0E14"/>
          <w:sz w:val="21"/>
          <w:szCs w:val="21"/>
        </w:rPr>
        <w:t xml:space="preserve">      Appendix: the fifteen missions</w:t>
      </w:r>
    </w:p>
    <w:p>
      <w:r>
        <w:br w:type="page"/>
      </w:r>
    </w:p>
    <w:p>
      <w:pPr>
        <w:keepNext/>
        <w:spacing w:before="0" w:after="20"/>
      </w:pPr>
      <w:r>
        <w:rPr>
          <w:rFonts w:ascii="Plus Jakarta Sans" w:hAnsi="Plus Jakarta Sans" w:cs="Segoe UI"/>
          <w:b/>
          <w:i w:val="0"/>
          <w:color w:val="3418E0"/>
          <w:spacing w:val="28"/>
          <w:sz w:val="16"/>
          <w:szCs w:val="16"/>
        </w:rPr>
        <w:t>SECTION 01</w:t>
      </w:r>
    </w:p>
    <w:p>
      <w:pPr>
        <w:keepNext/>
        <w:spacing w:before="40" w:after="120"/>
      </w:pPr>
      <w:r>
        <w:rPr>
          <w:rFonts w:ascii="Plus Jakarta Sans" w:hAnsi="Plus Jakarta Sans" w:cs="Segoe UI"/>
          <w:b/>
          <w:i w:val="0"/>
          <w:color w:val="0B0E14"/>
          <w:sz w:val="40"/>
          <w:szCs w:val="40"/>
        </w:rPr>
        <w:t>The initiative</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One Million First-Time Founders invites Egyptian corporates with a CSR budget, NGOs and development partners, and the youth foundations whose members fill the country's campuses, to fund one thing together: a method, free, in Arabic, in the hands of a million young Egyptians inside six months.</w:t>
      </w:r>
    </w:p>
    <w:p>
      <w:pPr>
        <w:widowControl w:val="true"/>
        <w:spacing w:before="0" w:after="100" w:line="322" w:lineRule="auto"/>
      </w:pPr>
      <w:r>
        <w:rPr>
          <w:rFonts w:ascii="Plus Jakarta Sans" w:hAnsi="Plus Jakarta Sans" w:cs="Segoe UI"/>
          <w:b w:val="0"/>
          <w:i w:val="0"/>
          <w:color w:val="0B0E14"/>
          <w:sz w:val="19"/>
          <w:szCs w:val="19"/>
        </w:rPr>
        <w:t>A young Egyptian with an idea today has two options. They can read, watch and guess, which is what almost all of them do, or they can win a place in an accelerator, which almost none of them will. Between those two there is nothing: no structured path from a problem worth solving to a first customer that an ordinary student in Minya or Assiut can start on a Tuesday evening.</w:t>
      </w:r>
    </w:p>
    <w:p>
      <w:pPr>
        <w:widowControl w:val="true"/>
        <w:spacing w:before="0" w:after="100" w:line="322" w:lineRule="auto"/>
      </w:pPr>
      <w:r>
        <w:rPr>
          <w:rFonts w:ascii="Plus Jakarta Sans" w:hAnsi="Plus Jakarta Sans" w:cs="Segoe UI"/>
          <w:b w:val="0"/>
          <w:i w:val="0"/>
          <w:color w:val="0B0E14"/>
          <w:sz w:val="19"/>
          <w:szCs w:val="19"/>
        </w:rPr>
        <w:t>StartPad is that path. Fifteen missions take a founder from a problem they have observed to a tested model, a prototype and a launch plan, with every submission reviewed. For this wave the whole thing is free to every participant, and the coalition pays for it.</w:t>
      </w:r>
    </w:p>
    <w:p>
      <w:pPr>
        <w:keepNext/>
        <w:widowControl w:val="true"/>
        <w:spacing w:before="280" w:after="100" w:line="288" w:lineRule="auto"/>
      </w:pPr>
      <w:r>
        <w:rPr>
          <w:rFonts w:ascii="Plus Jakarta Sans" w:hAnsi="Plus Jakarta Sans" w:cs="Segoe UI"/>
          <w:b/>
          <w:i w:val="0"/>
          <w:color w:val="0B0E14"/>
          <w:sz w:val="24"/>
          <w:szCs w:val="24"/>
        </w:rPr>
        <w:t>What this document is</w:t>
      </w:r>
    </w:p>
    <w:p>
      <w:pPr>
        <w:widowControl w:val="true"/>
        <w:spacing w:before="0" w:after="100" w:line="322" w:lineRule="auto"/>
      </w:pPr>
      <w:r>
        <w:rPr>
          <w:rFonts w:ascii="Plus Jakarta Sans" w:hAnsi="Plus Jakarta Sans" w:cs="Segoe UI"/>
          <w:b w:val="0"/>
          <w:i w:val="0"/>
          <w:color w:val="0B0E14"/>
          <w:sz w:val="19"/>
          <w:szCs w:val="19"/>
        </w:rPr>
        <w:t>A framework, not a brochure. It sets out the three partner roles and what each gives and gets, three sponsorship tiers, how a million is actually reached, the budget in six lines, the six-month plan for 2027 and why that window, the rules that govern the ideas bank, and the governance a partner is signing into.</w:t>
      </w:r>
    </w:p>
    <w:p>
      <w:pPr>
        <w:widowControl w:val="true"/>
        <w:spacing w:before="0" w:after="100" w:line="322" w:lineRule="auto"/>
      </w:pPr>
      <w:r>
        <w:rPr>
          <w:rFonts w:ascii="Plus Jakarta Sans" w:hAnsi="Plus Jakarta Sans" w:cs="Segoe UI"/>
          <w:b w:val="0"/>
          <w:i w:val="0"/>
          <w:color w:val="0B0E14"/>
          <w:sz w:val="19"/>
          <w:szCs w:val="19"/>
        </w:rPr>
        <w:t>It is written to be checked. Every figure is derived from a stated assumption with its driver written next to it, and none of them is a measured result, because the initiative has not run yet.</w:t>
      </w:r>
    </w:p>
    <w:p>
      <w:pPr>
        <w:keepNext/>
        <w:widowControl w:val="true"/>
        <w:spacing w:before="280" w:after="100" w:line="288" w:lineRule="auto"/>
      </w:pPr>
      <w:r>
        <w:rPr>
          <w:rFonts w:ascii="Plus Jakarta Sans" w:hAnsi="Plus Jakarta Sans" w:cs="Segoe UI"/>
          <w:b/>
          <w:i w:val="0"/>
          <w:color w:val="0B0E14"/>
          <w:sz w:val="24"/>
          <w:szCs w:val="24"/>
        </w:rPr>
        <w:t>Wave 1 at a glance</w:t>
      </w:r>
    </w:p>
    <w:tbl>
      <w:tblPr>
        <w:tblW w:type="dxa" w:w="9412"/>
        <w:jc w:val="left"/>
        <w:tblBorders>
          <w:top w:val="single" w:sz="2" w:color="FFFFFF"/>
          <w:left w:val="single" w:sz="2" w:color="FFFFFF"/>
          <w:bottom w:val="single" w:sz="2" w:color="FFFFFF"/>
          <w:right w:val="single" w:sz="2" w:color="FFFFFF"/>
          <w:insideH w:val="single" w:sz="2" w:color="FFFFFF"/>
          <w:insideV w:val="single" w:sz="2" w:color="FFFFFF"/>
        </w:tblBorders>
        <w:tblLayout w:type="fixed"/>
        <w:tblLook w:firstColumn="1" w:firstRow="1" w:lastColumn="0" w:lastRow="0" w:noHBand="0" w:noVBand="1" w:val="04A0"/>
      </w:tblPr>
      <w:tblGrid>
        <w:gridCol w:w="2353"/>
        <w:gridCol w:w="2353"/>
        <w:gridCol w:w="2353"/>
        <w:gridCol w:w="2353"/>
      </w:tblGrid>
      <w:tr>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1,000,000</w:t>
            </w:r>
          </w:p>
          <w:p>
            <w:pPr>
              <w:spacing w:after="0" w:line="293" w:lineRule="auto"/>
            </w:pPr>
            <w:r>
              <w:rPr>
                <w:rFonts w:ascii="Plus Jakarta Sans" w:hAnsi="Plus Jakarta Sans" w:cs="Segoe UI"/>
                <w:b w:val="0"/>
                <w:i w:val="0"/>
                <w:color w:val="3A4050"/>
                <w:sz w:val="15"/>
                <w:szCs w:val="15"/>
              </w:rPr>
              <w:t>entrepreneurs registered</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$200,000</w:t>
            </w:r>
          </w:p>
          <w:p>
            <w:pPr>
              <w:spacing w:after="0" w:line="293" w:lineRule="auto"/>
            </w:pPr>
            <w:r>
              <w:rPr>
                <w:rFonts w:ascii="Plus Jakarta Sans" w:hAnsi="Plus Jakarta Sans" w:cs="Segoe UI"/>
                <w:b w:val="0"/>
                <w:i w:val="0"/>
                <w:color w:val="3A4050"/>
                <w:sz w:val="15"/>
                <w:szCs w:val="15"/>
              </w:rPr>
              <w:t>total cost of the wave</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$0.20</w:t>
            </w:r>
          </w:p>
          <w:p>
            <w:pPr>
              <w:spacing w:after="0" w:line="293" w:lineRule="auto"/>
            </w:pPr>
            <w:r>
              <w:rPr>
                <w:rFonts w:ascii="Plus Jakarta Sans" w:hAnsi="Plus Jakarta Sans" w:cs="Segoe UI"/>
                <w:b w:val="0"/>
                <w:i w:val="0"/>
                <w:color w:val="3A4050"/>
                <w:sz w:val="15"/>
                <w:szCs w:val="15"/>
              </w:rPr>
              <w:t>per entrepreneur</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6</w:t>
            </w:r>
          </w:p>
          <w:p>
            <w:pPr>
              <w:spacing w:after="0" w:line="293" w:lineRule="auto"/>
            </w:pPr>
            <w:r>
              <w:rPr>
                <w:rFonts w:ascii="Plus Jakarta Sans" w:hAnsi="Plus Jakarta Sans" w:cs="Segoe UI"/>
                <w:b w:val="0"/>
                <w:i w:val="0"/>
                <w:color w:val="3A4050"/>
                <w:sz w:val="15"/>
                <w:szCs w:val="15"/>
              </w:rPr>
              <w:t>months, March to August 2027</w:t>
            </w:r>
          </w:p>
        </w:tc>
      </w:tr>
    </w:tbl>
    <w:p>
      <w:pPr>
        <w:widowControl w:val="true"/>
        <w:spacing w:before="0" w:after="160" w:line="322" w:lineRule="auto"/>
      </w:pPr>
    </w:p>
    <w:tbl>
      <w:tblPr>
        <w:tblW w:type="dxa" w:w="9412"/>
        <w:jc w:val="left"/>
        <w:tblBorders>
          <w:top w:val="single" w:sz="2" w:color="FFFFFF"/>
          <w:left w:val="single" w:sz="2" w:color="FFFFFF"/>
          <w:bottom w:val="single" w:sz="2" w:color="FFFFFF"/>
          <w:right w:val="single" w:sz="2" w:color="FFFFFF"/>
          <w:insideH w:val="single" w:sz="2" w:color="FFFFFF"/>
          <w:insideV w:val="single" w:sz="2" w:color="FFFFFF"/>
        </w:tblBorders>
        <w:tblLayout w:type="fixed"/>
        <w:tblLook w:firstColumn="1" w:firstRow="1" w:lastColumn="0" w:lastRow="0" w:noHBand="0" w:noVBand="1" w:val="04A0"/>
      </w:tblPr>
      <w:tblGrid>
        <w:gridCol w:w="2353"/>
        <w:gridCol w:w="2353"/>
        <w:gridCol w:w="2353"/>
        <w:gridCol w:w="2353"/>
      </w:tblGrid>
      <w:tr>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27,000</w:t>
            </w:r>
          </w:p>
          <w:p>
            <w:pPr>
              <w:spacing w:after="0" w:line="293" w:lineRule="auto"/>
            </w:pPr>
            <w:r>
              <w:rPr>
                <w:rFonts w:ascii="Plus Jakarta Sans" w:hAnsi="Plus Jakarta Sans" w:cs="Segoe UI"/>
                <w:b w:val="0"/>
                <w:i w:val="0"/>
                <w:color w:val="3A4050"/>
                <w:sz w:val="15"/>
                <w:szCs w:val="15"/>
              </w:rPr>
              <w:t>finish all fifteen missions</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306,000</w:t>
            </w:r>
          </w:p>
          <w:p>
            <w:pPr>
              <w:spacing w:after="0" w:line="293" w:lineRule="auto"/>
            </w:pPr>
            <w:r>
              <w:rPr>
                <w:rFonts w:ascii="Plus Jakarta Sans" w:hAnsi="Plus Jakarta Sans" w:cs="Segoe UI"/>
                <w:b w:val="0"/>
                <w:i w:val="0"/>
                <w:color w:val="3A4050"/>
                <w:sz w:val="15"/>
                <w:szCs w:val="15"/>
              </w:rPr>
              <w:t>ideas in the bank</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$0</w:t>
            </w:r>
          </w:p>
          <w:p>
            <w:pPr>
              <w:spacing w:after="0" w:line="293" w:lineRule="auto"/>
            </w:pPr>
            <w:r>
              <w:rPr>
                <w:rFonts w:ascii="Plus Jakarta Sans" w:hAnsi="Plus Jakarta Sans" w:cs="Segoe UI"/>
                <w:b w:val="0"/>
                <w:i w:val="0"/>
                <w:color w:val="3A4050"/>
                <w:sz w:val="15"/>
                <w:szCs w:val="15"/>
              </w:rPr>
              <w:t>of StartPad's own cash</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0</w:t>
            </w:r>
          </w:p>
          <w:p>
            <w:pPr>
              <w:spacing w:after="0" w:line="293" w:lineRule="auto"/>
            </w:pPr>
            <w:r>
              <w:rPr>
                <w:rFonts w:ascii="Plus Jakarta Sans" w:hAnsi="Plus Jakarta Sans" w:cs="Segoe UI"/>
                <w:b w:val="0"/>
                <w:i w:val="0"/>
                <w:color w:val="3A4050"/>
                <w:sz w:val="15"/>
                <w:szCs w:val="15"/>
              </w:rPr>
              <w:t>paid in-person cohorts</w:t>
            </w:r>
          </w:p>
        </w:tc>
      </w:tr>
    </w:tbl>
    <w:p>
      <w:pPr>
        <w:widowControl w:val="true"/>
        <w:spacing w:before="0" w:after="160" w:line="322" w:lineRule="auto"/>
      </w:pPr>
    </w:p>
    <w:p>
      <w:pPr>
        <w:keepNext/>
        <w:widowControl w:val="true"/>
        <w:spacing w:before="280" w:after="100" w:line="288" w:lineRule="auto"/>
      </w:pPr>
      <w:r>
        <w:rPr>
          <w:rFonts w:ascii="Plus Jakarta Sans" w:hAnsi="Plus Jakarta Sans" w:cs="Segoe UI"/>
          <w:b/>
          <w:i w:val="0"/>
          <w:color w:val="0B0E14"/>
          <w:sz w:val="24"/>
          <w:szCs w:val="24"/>
        </w:rPr>
        <w:t>The three things that make this possible</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It is free, and it is online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participant gets all fifteen missions for nothing. There are no paid cohorts in this wave. A cohort serves twenty-five people for three thousand dollars; a webinar serves twenty thousand for five hundred, and the platform serves everybody for the cost of the review.</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It spreads rather than being bought</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500,000 registrations come from the partners' own channels, the chapters and the ambassadors. The rest comes from the referral loop built into the product. Section 12 is that loop, and the viral coefficient of 0.50 is the riskiest number in this document.</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It is funded entirely by the coalition</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StartPad contributes the platform, the curriculum and its team's time, all of which it already pays for. It puts in no cash and takes no margin. Section 14 says what it gets instead, because a partner should not have to guess.</w:t>
      </w:r>
    </w:p>
    <w:p>
      <w:pPr>
        <w:widowControl w:val="true"/>
        <w:pBdr>
          <w:left w:val="single" w:sz="24" w:space="8" w:color="CBF24A"/>
        </w:pBdr>
        <w:shd w:val="clear" w:fill="F5F6F8"/>
        <w:spacing w:before="180" w:after="200" w:line="322" w:lineRule="auto"/>
        <w:ind w:left="159"/>
      </w:pPr>
      <w:r>
        <w:rPr>
          <w:rFonts w:ascii="Plus Jakarta Sans" w:hAnsi="Plus Jakarta Sans" w:cs="Segoe UI"/>
          <w:b/>
          <w:i w:val="0"/>
          <w:color w:val="3A4050"/>
          <w:sz w:val="18"/>
          <w:szCs w:val="18"/>
        </w:rPr>
        <w:t>Offline happens where a partner wants it.</w:t>
      </w:r>
      <w:r>
        <w:rPr>
          <w:rFonts w:ascii="Plus Jakarta Sans" w:hAnsi="Plus Jakarta Sans" w:cs="Segoe UI"/>
          <w:b w:val="0"/>
          <w:i w:val="0"/>
          <w:color w:val="3A4050"/>
          <w:sz w:val="18"/>
          <w:szCs w:val="18"/>
        </w:rPr>
        <w:t xml:space="preserve"> This wave runs no bootcamps of its own. It runs 24 live webinars in Arabic, and info sessions wherever a partner asks for one and hosts it in their own venue with their own people. The initiative supplies the kit and trains the host. Where those sessions happen, and how many, is a partner's recommendation rather than our plan.</w:t>
      </w:r>
    </w:p>
    <w:p>
      <w:pPr>
        <w:keepNext/>
        <w:pageBreakBefore w:val="true"/>
        <w:spacing w:before="0" w:after="20"/>
      </w:pPr>
      <w:r>
        <w:rPr>
          <w:rFonts w:ascii="Plus Jakarta Sans" w:hAnsi="Plus Jakarta Sans" w:cs="Segoe UI"/>
          <w:b/>
          <w:i w:val="0"/>
          <w:color w:val="3418E0"/>
          <w:spacing w:val="28"/>
          <w:sz w:val="16"/>
          <w:szCs w:val="16"/>
        </w:rPr>
        <w:t>SECTION 02</w:t>
      </w:r>
    </w:p>
    <w:p>
      <w:pPr>
        <w:keepNext/>
        <w:spacing w:before="40" w:after="120"/>
      </w:pPr>
      <w:r>
        <w:rPr>
          <w:rFonts w:ascii="Plus Jakarta Sans" w:hAnsi="Plus Jakarta Sans" w:cs="Segoe UI"/>
          <w:b/>
          <w:i w:val="0"/>
          <w:color w:val="0B0E14"/>
          <w:sz w:val="40"/>
          <w:szCs w:val="40"/>
        </w:rPr>
        <w:t>What a first-time founder actually gets</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The thing being sponsored is a method, not an event. This section is what a participant does, because every partner will be asked by somebody inside their own organisation what the money bought.</w:t>
      </w:r>
    </w:p>
    <w:p>
      <w:pPr>
        <w:keepNext/>
        <w:widowControl w:val="true"/>
        <w:spacing w:before="280" w:after="100" w:line="288" w:lineRule="auto"/>
      </w:pPr>
      <w:r>
        <w:rPr>
          <w:rFonts w:ascii="Plus Jakarta Sans" w:hAnsi="Plus Jakarta Sans" w:cs="Segoe UI"/>
          <w:b/>
          <w:i w:val="0"/>
          <w:color w:val="0B0E14"/>
          <w:sz w:val="24"/>
          <w:szCs w:val="24"/>
        </w:rPr>
        <w:t>Fifteen missions</w:t>
      </w:r>
    </w:p>
    <w:p>
      <w:pPr>
        <w:widowControl w:val="true"/>
        <w:spacing w:before="0" w:after="100" w:line="322" w:lineRule="auto"/>
      </w:pPr>
      <w:r>
        <w:rPr>
          <w:rFonts w:ascii="Plus Jakarta Sans" w:hAnsi="Plus Jakarta Sans" w:cs="Segoe UI"/>
          <w:b w:val="0"/>
          <w:i w:val="0"/>
          <w:color w:val="0B0E14"/>
          <w:sz w:val="19"/>
          <w:szCs w:val="19"/>
        </w:rPr>
        <w:t>A founder moves through fifteen missions in five phases: discovery, analysis, model, build and launch. Each mission asks a small number of hard questions, each one is submitted, and each submission is reviewed against a rubric rather than ticked off. A founder who finishes has a tested problem, a defined user, a business model, a prototype and a launch plan, and the evidence trail that produced each one.</w:t>
      </w:r>
    </w:p>
    <w:p>
      <w:pPr>
        <w:widowControl w:val="true"/>
        <w:spacing w:before="0" w:after="100" w:line="322" w:lineRule="auto"/>
      </w:pPr>
      <w:r>
        <w:rPr>
          <w:rFonts w:ascii="Plus Jakarta Sans" w:hAnsi="Plus Jakarta Sans" w:cs="Segoe UI"/>
          <w:b w:val="0"/>
          <w:i w:val="0"/>
          <w:color w:val="0B0E14"/>
          <w:sz w:val="19"/>
          <w:szCs w:val="19"/>
        </w:rPr>
        <w:t>Missions 01 to 03 are free to everybody in Egypt forever, with or without this initiative. For the six months of the wave the other twelve are free too. That is what makes a million possible: nothing that asks for a payment on the first screen has ever spread in this market.</w:t>
      </w:r>
    </w:p>
    <w:p>
      <w:pPr>
        <w:keepNext/>
        <w:widowControl w:val="true"/>
        <w:spacing w:before="280" w:after="100" w:line="288" w:lineRule="auto"/>
      </w:pPr>
      <w:r>
        <w:rPr>
          <w:rFonts w:ascii="Plus Jakarta Sans" w:hAnsi="Plus Jakarta Sans" w:cs="Segoe UI"/>
          <w:b/>
          <w:i w:val="0"/>
          <w:color w:val="0B0E14"/>
          <w:sz w:val="24"/>
          <w:szCs w:val="24"/>
        </w:rPr>
        <w:t>The three layers, all of them free</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The platform, for everyone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fifteen missions, the tool library, the review and the progress record. Arabic first. Works on a phone, because that is what the participant has.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Live webinars, for everyone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24 across the wave, one a week, in Arabic, recorded and left on the platform. A partner's name sits on the ones they fund. This is the layer that replaces the bootcamp, and it reaches a thousand times as many people for the same money.</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Info sessions, where a partner hosts one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An evening in a room, run by a trained host from the partner's own team or a chapter's leadership, using a kit we supply. We pay for the kit, not for the room. Where they happen and how many is the partner's call.</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The community, for everyone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Chapters on campuses, 1,000 ambassadors in the governorates, and Mission Zero, the founder podcast, which is how a student in a city with no startup scene finds out that any of this exists.</w:t>
      </w:r>
    </w:p>
    <w:p>
      <w:pPr>
        <w:keepNext/>
        <w:widowControl w:val="true"/>
        <w:spacing w:before="280" w:after="100" w:line="288" w:lineRule="auto"/>
      </w:pPr>
      <w:r>
        <w:rPr>
          <w:rFonts w:ascii="Plus Jakarta Sans" w:hAnsi="Plus Jakarta Sans" w:cs="Segoe UI"/>
          <w:b/>
          <w:i w:val="0"/>
          <w:color w:val="0B0E14"/>
          <w:sz w:val="24"/>
          <w:szCs w:val="24"/>
        </w:rPr>
        <w:t>What a partner receives</w:t>
      </w:r>
    </w:p>
    <w:p>
      <w:pPr>
        <w:widowControl w:val="true"/>
        <w:spacing w:before="0" w:after="100" w:line="322" w:lineRule="auto"/>
      </w:pPr>
      <w:r>
        <w:rPr>
          <w:rFonts w:ascii="Plus Jakarta Sans" w:hAnsi="Plus Jakarta Sans" w:cs="Segoe UI"/>
          <w:b w:val="0"/>
          <w:i w:val="0"/>
          <w:color w:val="0B0E14"/>
          <w:sz w:val="19"/>
          <w:szCs w:val="19"/>
        </w:rPr>
        <w:t>A dashboard they can see weekly with their own line in it, the quarterly direction report on what young Egyptians are building, and a closing report with completion rates, governorate and gender disaggregation and SDG mapping, written to go straight into their own annual report.</w:t>
      </w:r>
    </w:p>
    <w:p>
      <w:pPr>
        <w:keepNext/>
        <w:pageBreakBefore w:val="true"/>
        <w:spacing w:before="0" w:after="20"/>
      </w:pPr>
      <w:r>
        <w:rPr>
          <w:rFonts w:ascii="Plus Jakarta Sans" w:hAnsi="Plus Jakarta Sans" w:cs="Segoe UI"/>
          <w:b/>
          <w:i w:val="0"/>
          <w:color w:val="3418E0"/>
          <w:spacing w:val="28"/>
          <w:sz w:val="16"/>
          <w:szCs w:val="16"/>
        </w:rPr>
        <w:t>SECTION 03</w:t>
      </w:r>
    </w:p>
    <w:p>
      <w:pPr>
        <w:keepNext/>
        <w:spacing w:before="40" w:after="120"/>
      </w:pPr>
      <w:r>
        <w:rPr>
          <w:rFonts w:ascii="Plus Jakarta Sans" w:hAnsi="Plus Jakarta Sans" w:cs="Segoe UI"/>
          <w:b/>
          <w:i w:val="0"/>
          <w:color w:val="0B0E14"/>
          <w:sz w:val="40"/>
          <w:szCs w:val="40"/>
        </w:rPr>
        <w:t>The three roles</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Three kinds of organisation carry this initiative, and they are asked for three different things. Conflating them is the commonest way a coalition fails: a student organisation asked for sponsorship goes quiet, and a corporate asked only for reach never commits a budget.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360"/>
        <w:gridCol w:w="2494"/>
        <w:gridCol w:w="2608"/>
        <w:gridCol w:w="2948"/>
      </w:tblGrid>
      <w:tr>
        <w:trPr>
          <w:tblHeader w:val="true"/>
        </w:trPr>
        <w:tc>
          <w:tcPr>
            <w:tcW w:type="dxa" w:w="136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Role</w:t>
            </w:r>
          </w:p>
        </w:tc>
        <w:tc>
          <w:tcPr>
            <w:tcW w:type="dxa" w:w="249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w:t>
            </w:r>
          </w:p>
        </w:tc>
        <w:tc>
          <w:tcPr>
            <w:tcW w:type="dxa" w:w="260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they give</w:t>
            </w:r>
          </w:p>
        </w:tc>
        <w:tc>
          <w:tcPr>
            <w:tcW w:type="dxa" w:w="294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they get</w:t>
            </w:r>
          </w:p>
        </w:tc>
      </w:tr>
      <w:tr>
        <w:trPr>
          <w:cantSplit w:val="true"/>
        </w:trPr>
        <w:tc>
          <w:tcPr>
            <w:tcW w:type="dxa" w:w="136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CSR sponsor</w:t>
            </w:r>
          </w:p>
        </w:tc>
        <w:tc>
          <w:tcPr>
            <w:tcW w:type="dxa" w:w="249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Corporates with a CSR, sustainability or community investment budget, and the corporate and family foundations attached to them.</w:t>
            </w:r>
          </w:p>
        </w:tc>
        <w:tc>
          <w:tcPr>
            <w:tcW w:type="dxa" w:w="260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Cash sponsorship at one of the tiers, in-kind support from the menu, and employee mentors and judges.</w:t>
            </w:r>
          </w:p>
        </w:tc>
        <w:tc>
          <w:tcPr>
            <w:tcW w:type="dxa" w:w="294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Named association with a national initiative, a reporting pack that survives audit, a pre-qualified venture pipeline, and the quarterly read on what young Egyptians are actually trying to build.</w:t>
            </w:r>
          </w:p>
        </w:tc>
      </w:tr>
      <w:tr>
        <w:trPr>
          <w:cantSplit w:val="true"/>
        </w:trPr>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 and development partner</w:t>
            </w:r>
          </w:p>
        </w:tc>
        <w:tc>
          <w:tcPr>
            <w:tcW w:type="dxa" w:w="249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Egyptian and international NGOs, philanthropic foundations, development agencies and UN agencies working on youth, livelihoods, employment or education.</w:t>
            </w:r>
          </w:p>
        </w:tc>
        <w:tc>
          <w:tcPr>
            <w:tcW w:type="dxa" w:w="260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Reach into their own beneficiary networks and governorates, staff time, venues, co-funding where they hold a relevant budget, and co-applicant status on joint proposals.</w:t>
            </w:r>
          </w:p>
        </w:tc>
        <w:tc>
          <w:tcPr>
            <w:tcW w:type="dxa" w:w="294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method for their own beneficiaries, their staff trained to host sessions, a measured evidence base for their next donor proposal, and access to the sponsor coalition.</w:t>
            </w:r>
          </w:p>
        </w:tc>
      </w:tr>
      <w:tr>
        <w:trPr>
          <w:cantSplit w:val="true"/>
        </w:trPr>
        <w:tc>
          <w:tcPr>
            <w:tcW w:type="dxa" w:w="136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Community supporter</w:t>
            </w:r>
          </w:p>
        </w:tc>
        <w:tc>
          <w:tcPr>
            <w:tcW w:type="dxa" w:w="249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Youth foundations and student organisations with members on campuses: Enactus, INJAZ, AIESEC, JCI, Hult Prize chapters, technical student branches and the youth volunteer networks.</w:t>
            </w:r>
          </w:p>
        </w:tc>
        <w:tc>
          <w:tcPr>
            <w:tcW w:type="dxa" w:w="260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Their students and members, their chapters as hosts for info sessions, and their leadership trained to run them.</w:t>
            </w:r>
          </w:p>
        </w:tc>
        <w:tc>
          <w:tcPr>
            <w:tcW w:type="dxa" w:w="294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full programme free for every member, a credential their leadership keeps after their term ends, a national stage at the showcase, better-prepared teams for their own competitions, and their own chapter's data.</w:t>
            </w:r>
          </w:p>
        </w:tc>
      </w:tr>
    </w:tbl>
    <w:p>
      <w:pPr>
        <w:widowControl w:val="true"/>
        <w:spacing w:before="0" w:after="140" w:line="322" w:lineRule="auto"/>
      </w:pPr>
    </w:p>
    <w:p>
      <w:pPr>
        <w:keepNext/>
        <w:widowControl w:val="true"/>
        <w:spacing w:before="280" w:after="100" w:line="288" w:lineRule="auto"/>
      </w:pPr>
      <w:r>
        <w:rPr>
          <w:rFonts w:ascii="Plus Jakarta Sans" w:hAnsi="Plus Jakarta Sans" w:cs="Segoe UI"/>
          <w:b/>
          <w:i w:val="0"/>
          <w:color w:val="0B0E14"/>
          <w:sz w:val="24"/>
          <w:szCs w:val="24"/>
        </w:rPr>
        <w:t>Community supporters are never asked for money</w:t>
      </w:r>
    </w:p>
    <w:p>
      <w:pPr>
        <w:widowControl w:val="true"/>
        <w:spacing w:before="0" w:after="100" w:line="322" w:lineRule="auto"/>
      </w:pPr>
      <w:r>
        <w:rPr>
          <w:rFonts w:ascii="Plus Jakarta Sans" w:hAnsi="Plus Jakarta Sans" w:cs="Segoe UI"/>
          <w:b w:val="0"/>
          <w:i w:val="0"/>
          <w:color w:val="0B0E14"/>
          <w:sz w:val="19"/>
          <w:szCs w:val="19"/>
        </w:rPr>
        <w:t>This is written into the charter and it is not a courtesy. A student organisation's currency is its members, its chapters and its leadership's time, and all three are worth more to this initiative than any cheque it could write. Enactus Egypt, INJAZ, AIESEC, the Hult Prize chapters and the technical student branches bring the single highest converting channel in the whole plan, because the invitation arrives from somebody the student already knows.</w:t>
      </w:r>
    </w:p>
    <w:p>
      <w:pPr>
        <w:keepNext/>
        <w:widowControl w:val="true"/>
        <w:spacing w:before="280" w:after="100" w:line="288" w:lineRule="auto"/>
      </w:pPr>
      <w:r>
        <w:rPr>
          <w:rFonts w:ascii="Plus Jakarta Sans" w:hAnsi="Plus Jakarta Sans" w:cs="Segoe UI"/>
          <w:b/>
          <w:i w:val="0"/>
          <w:color w:val="0B0E14"/>
          <w:sz w:val="24"/>
          <w:szCs w:val="24"/>
        </w:rPr>
        <w:t>Who is not asked to sponsor, and why</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Government initiative and public agency</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Patron and endorsement layer. A ministry or national initiative that lends its name, opens its institutions and counts the participants towards its own target is worth more than its budget, and asking it for money slows everything down.</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Chamber, business association and network</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Channel, not sponsor. One CSR committee meeting reaches thirty of the organisations on the invitation list.</w:t>
      </w:r>
    </w:p>
    <w:p>
      <w:pPr>
        <w:widowControl w:val="true"/>
        <w:spacing w:before="0" w:after="100" w:line="322" w:lineRule="auto"/>
      </w:pPr>
      <w:r>
        <w:rPr>
          <w:rFonts w:ascii="Plus Jakarta Sans" w:hAnsi="Plus Jakarta Sans" w:cs="Segoe UI"/>
          <w:b w:val="0"/>
          <w:i w:val="0"/>
          <w:color w:val="0B0E14"/>
          <w:sz w:val="19"/>
          <w:szCs w:val="19"/>
        </w:rPr>
        <w:t>A ministry that lends its name, opens its institutions and counts the participants towards its own national target is worth considerably more than its budget, and asking it for money slows everything else down. The patron relationships are secured before the coalition is announced, in the pre-wave months set out in Section 10.</w:t>
      </w:r>
    </w:p>
    <w:p>
      <w:pPr>
        <w:keepNext/>
        <w:pageBreakBefore w:val="true"/>
        <w:spacing w:before="0" w:after="20"/>
      </w:pPr>
      <w:r>
        <w:rPr>
          <w:rFonts w:ascii="Plus Jakarta Sans" w:hAnsi="Plus Jakarta Sans" w:cs="Segoe UI"/>
          <w:b/>
          <w:i w:val="0"/>
          <w:color w:val="3418E0"/>
          <w:spacing w:val="28"/>
          <w:sz w:val="16"/>
          <w:szCs w:val="16"/>
        </w:rPr>
        <w:t>SECTION 04</w:t>
      </w:r>
    </w:p>
    <w:p>
      <w:pPr>
        <w:keepNext/>
        <w:spacing w:before="40" w:after="120"/>
      </w:pPr>
      <w:r>
        <w:rPr>
          <w:rFonts w:ascii="Plus Jakarta Sans" w:hAnsi="Plus Jakarta Sans" w:cs="Segoe UI"/>
          <w:b/>
          <w:i w:val="0"/>
          <w:color w:val="0B0E14"/>
          <w:sz w:val="40"/>
          <w:szCs w:val="40"/>
        </w:rPr>
        <w:t>Why a CSR sponsor joins</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A corporate CSR team is not short of good causes. It is short of programmes that produce a number it can report, an asset it still has afterwards, and a reason for its own business to care. This section is the case, and the first three items are the ones that are not available anywhere else in Egypt.</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See the direction of youth thinking before anyone else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participant states a problem before they state an idea. Across hundreds of thousands of them that becomes the first national read on what young Egyptians actually want to build: by sector, by governorate, by gender, by age, and by whether they are students, graduates or already trading. Nobody in Egypt publishes this today because nobody has the sample. A partner gets it quarterly, before it is published.</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Model your incubation and accelerator programmes on real demand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Most corporate accelerators are designed around what the sponsor finds interesting and then struggle to fill their cohorts. The direction report lets a sponsor design the opposite way round: open the track the applicants already exist for, in the governorate they are already in, at the stage they are actually at. For a partner who already runs an accelerator, this is the most valuable single thing in the package.</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Reach into the ideas bank</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idea developed on the platform, with the founder's consent, enters a searchable bank: the problem, the sector, the stage, the governorate, the team shape. Partners see the distribution by default and can run a themed call into it, which puts their own question to every participant in their sector and returns the consented answers. It is market research that pays for itself, and it is a recruitment and deal pipeline at the same time.</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A pre-qualified pipeline, not an application pile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ventures that reach the showcase have been through fifteen missions and an AI review on every one of them. A sponsor's accelerator, prize or procurement team gets a shortlist that has already been filtered by work rather than by a form.</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A generation that knows how a startup is actually built</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awareness outcome is the one that outlives the wave. A million young people who understand how an idea becomes a customer, a cost structure and a company is a larger future market, a better talent pool and a healthier economy. It is also the single clearest thing a sponsor can say it paid for.</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Reporting that survives an audit</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Named participants, completion rates, governorate and gender disaggregation, cost per participant and cost per venture formed, mapped to SDG 4, 5, 8, 9 and 10, and written so it can go into an annual or GRI report without being rewritten.</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Cost per outcome far below running it yourself</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corporate that builds this alone pays for curriculum, platform, content and measurement before it reaches its first participant, and then reaches a few thousand people. Twenty cents a head is not a number a corporate programme can reach on its own.</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Employee engagement that is measured, not photographed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Staff serve as mentors and judges, hours are logged, and the hours come back in the closing report. CSR teams are asked for this number every year and usually have to estimate it.</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Name recognition tied to something real</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governorate, a sector or one of the fifteen missions carried under the partner's name, in Arabic and English, in front of every participant in the country.</w:t>
      </w:r>
    </w:p>
    <w:p>
      <w:pPr>
        <w:widowControl w:val="true"/>
        <w:pBdr>
          <w:left w:val="single" w:sz="24" w:space="8" w:color="CBF24A"/>
        </w:pBdr>
        <w:shd w:val="clear" w:fill="F5F6F8"/>
        <w:spacing w:before="180" w:after="200" w:line="322" w:lineRule="auto"/>
        <w:ind w:left="159"/>
      </w:pPr>
      <w:r>
        <w:rPr>
          <w:rFonts w:ascii="Plus Jakarta Sans" w:hAnsi="Plus Jakarta Sans" w:cs="Segoe UI"/>
          <w:b/>
          <w:i w:val="0"/>
          <w:color w:val="3A4050"/>
          <w:sz w:val="18"/>
          <w:szCs w:val="18"/>
        </w:rPr>
        <w:t>The direction report and the ideas bank are the differentiator.</w:t>
      </w:r>
      <w:r>
        <w:rPr>
          <w:rFonts w:ascii="Plus Jakarta Sans" w:hAnsi="Plus Jakarta Sans" w:cs="Segoe UI"/>
          <w:b w:val="0"/>
          <w:i w:val="0"/>
          <w:color w:val="3A4050"/>
          <w:sz w:val="18"/>
          <w:szCs w:val="18"/>
        </w:rPr>
        <w:t xml:space="preserve"> Any organisation can sponsor training. Nobody in Egypt can currently tell a partner what hundreds of thousands of young people are trying to build, by sector and by governorate, because nobody has the sample. A partner that has it can design its accelerator around demand that already exists instead of guessing, which is why that single benefit is usually worth more than the sponsorship costs.</w:t>
      </w:r>
    </w:p>
    <w:p>
      <w:pPr>
        <w:keepNext/>
        <w:pageBreakBefore w:val="true"/>
        <w:spacing w:before="0" w:after="20"/>
      </w:pPr>
      <w:r>
        <w:rPr>
          <w:rFonts w:ascii="Plus Jakarta Sans" w:hAnsi="Plus Jakarta Sans" w:cs="Segoe UI"/>
          <w:b/>
          <w:i w:val="0"/>
          <w:color w:val="3418E0"/>
          <w:spacing w:val="28"/>
          <w:sz w:val="16"/>
          <w:szCs w:val="16"/>
        </w:rPr>
        <w:t>SECTION 05</w:t>
      </w:r>
    </w:p>
    <w:p>
      <w:pPr>
        <w:keepNext/>
        <w:spacing w:before="40" w:after="120"/>
      </w:pPr>
      <w:r>
        <w:rPr>
          <w:rFonts w:ascii="Plus Jakarta Sans" w:hAnsi="Plus Jakarta Sans" w:cs="Segoe UI"/>
          <w:b/>
          <w:i w:val="0"/>
          <w:color w:val="0B0E14"/>
          <w:sz w:val="40"/>
          <w:szCs w:val="40"/>
        </w:rPr>
        <w:t>Why an NGO or development partner joins</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An NGO is being asked for reach, staff time, venues and beneficiary networks, and in most cases for no money at all. What it gets back is capability it keeps, evidence it can use with its own donors, and access to a room full of corporate budgets.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Keep the method after the programme ends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Partner staff are trained to run info sessions and to use the curriculum with their own beneficiaries. When the wave closes the organisation still has the capability and the access, which is the opposite of how most funded projects leave their implementers.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An evidence base for the next proposal</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measured programme with baselines, disaggregation and an independent evaluation is the hardest thing for an NGO to fund on its own and the first thing its next donor asks for. The initiative produces it and shares it.</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Move beneficiaries from relief to income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Productive families grants, savings groups and vocational training all stop at the point where a business has to be designed. That is exactly where the fifteen missions start. This is the transition every social programme is asked to evidence and almost none can.</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Reach the corporates you cannot reach alone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sponsor coalition is in the room every month. For an Egyptian NGO, the partner council is access to twenty corporate CSR decision makers that would otherwise take two years to build.</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See where ambition actually is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direction report, broken down by governorate, tells a development organisation where young people are trying to build and in what sectors. That shapes their own programme design, their site selection and their own funding case.</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No cash is required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partner's contribution can be entirely reach, staff time, venues and beneficiary networks. Co-funding is welcome where a relevant budget exists, and is never the price of entry.</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Joint proposals, with the platform cost already carried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On a shared bid the NGO is the implementer with the community relationships and the registration; the initiative supplies the method, the technology and the measurement. Neither side has to fund the other's half.</w:t>
      </w:r>
    </w:p>
    <w:p>
      <w:pPr>
        <w:widowControl w:val="true"/>
        <w:pBdr>
          <w:left w:val="single" w:sz="24" w:space="8" w:color="CBF24A"/>
        </w:pBdr>
        <w:shd w:val="clear" w:fill="F5F6F8"/>
        <w:spacing w:before="180" w:after="200" w:line="322" w:lineRule="auto"/>
        <w:ind w:left="159"/>
      </w:pPr>
      <w:r>
        <w:rPr>
          <w:rFonts w:ascii="Plus Jakarta Sans" w:hAnsi="Plus Jakarta Sans" w:cs="Segoe UI"/>
          <w:b/>
          <w:i w:val="0"/>
          <w:color w:val="3A4050"/>
          <w:sz w:val="18"/>
          <w:szCs w:val="18"/>
        </w:rPr>
        <w:t>The transition nobody can evidence.</w:t>
      </w:r>
      <w:r>
        <w:rPr>
          <w:rFonts w:ascii="Plus Jakarta Sans" w:hAnsi="Plus Jakarta Sans" w:cs="Segoe UI"/>
          <w:b w:val="0"/>
          <w:i w:val="0"/>
          <w:color w:val="3A4050"/>
          <w:sz w:val="18"/>
          <w:szCs w:val="18"/>
        </w:rPr>
        <w:t xml:space="preserve"> Productive families grants, savings groups and vocational training all stop at exactly the point where a business has to be designed, and that is where the fifteen missions start. An organisation that can show beneficiaries moving from a grant to a trading business has the strongest sentence available in its next proposal, and almost none of them can write it today.</w:t>
      </w:r>
    </w:p>
    <w:p>
      <w:pPr>
        <w:keepNext/>
        <w:pageBreakBefore w:val="true"/>
        <w:spacing w:before="0" w:after="20"/>
      </w:pPr>
      <w:r>
        <w:rPr>
          <w:rFonts w:ascii="Plus Jakarta Sans" w:hAnsi="Plus Jakarta Sans" w:cs="Segoe UI"/>
          <w:b/>
          <w:i w:val="0"/>
          <w:color w:val="3418E0"/>
          <w:spacing w:val="28"/>
          <w:sz w:val="16"/>
          <w:szCs w:val="16"/>
        </w:rPr>
        <w:t>SECTION 06</w:t>
      </w:r>
    </w:p>
    <w:p>
      <w:pPr>
        <w:keepNext/>
        <w:spacing w:before="40" w:after="120"/>
      </w:pPr>
      <w:r>
        <w:rPr>
          <w:rFonts w:ascii="Plus Jakarta Sans" w:hAnsi="Plus Jakarta Sans" w:cs="Segoe UI"/>
          <w:b/>
          <w:i w:val="0"/>
          <w:color w:val="0B0E14"/>
          <w:sz w:val="40"/>
          <w:szCs w:val="40"/>
        </w:rPr>
        <w:t>Why a youth foundation joins</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A youth foundation or student organisation is asked for its members, its chapters and ten of its leadership. It is never asked for money. What it gets is a member benefit it can name, a credential its leadership keeps, and a national stage.</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Your members get the whole thing free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member of a community supporter gets the full fifteen-mission programme for the wave, not the free first three. That is a concrete, nameable member benefit, which is the currency every student organisation is short of.</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Your leadership leaves with a credential</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Up to ten of a chapter's leadership are trained to host info sessions and webinars on the national standard. They keep it after their term ends, and it is the first line on a CV that is otherwise all committee titles.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Better teams in your own competition</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An Enactus, Hult or Social Venture Prize team that has been through fifteen missions arrives at its own national round with a tested problem, a model and a prototype rather than a deck. The chapters that do this will place higher, and placing higher is what their own sponsors pay for.</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A national stage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Chapters host, chapters are named, and the best teams from every chapter reach the national showcase in front of the sponsor coalition and the patron ministries.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Your own chapter's data</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Each chapter gets its own read: what its members are building, how it compares to the national picture, and how its completion rates track. It is the first evidence a chapter has ever been able to show its faculty or its own sponsors.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Help raising your own sponsorship</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Co-branding with a national initiative and a named sponsor coalition makes a chapter's own sponsorship request materially easier, and the initiative will say so in writing to their prospects.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Nobody asks you for money</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Community supporters are never asked to sponsor. The relationship is members and chapters in, programme and certification out, and it is written that way in the charter.</w:t>
      </w:r>
    </w:p>
    <w:p>
      <w:pPr>
        <w:keepNext/>
        <w:widowControl w:val="true"/>
        <w:spacing w:before="280" w:after="100" w:line="288" w:lineRule="auto"/>
      </w:pPr>
      <w:r>
        <w:rPr>
          <w:rFonts w:ascii="Plus Jakarta Sans" w:hAnsi="Plus Jakarta Sans" w:cs="Segoe UI"/>
          <w:b/>
          <w:i w:val="0"/>
          <w:color w:val="0B0E14"/>
          <w:sz w:val="24"/>
          <w:szCs w:val="24"/>
        </w:rPr>
        <w:t>The chapter charter</w:t>
      </w:r>
    </w:p>
    <w:p>
      <w:pPr>
        <w:widowControl w:val="true"/>
        <w:spacing w:before="0" w:after="100" w:line="322" w:lineRule="auto"/>
      </w:pPr>
      <w:r>
        <w:rPr>
          <w:rFonts w:ascii="Plus Jakarta Sans" w:hAnsi="Plus Jakarta Sans" w:cs="Segoe UI"/>
          <w:b w:val="0"/>
          <w:i w:val="0"/>
          <w:color w:val="0B0E14"/>
          <w:sz w:val="19"/>
          <w:szCs w:val="19"/>
        </w:rPr>
        <w:t>Each community supporter signs a one-page charter rather than a sponsorship agreement. It says what the chapter does, what it receives, that no money is asked for in either direction, and that it renews annually, because student leadership turns over every summer and a relationship that is not re-signed each year quietly stops existing.</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The chapter provides</w:t>
      </w:r>
      <w:r>
        <w:rPr>
          <w:rFonts w:ascii="Plus Jakarta Sans" w:hAnsi="Plus Jakarta Sans" w:cs="Segoe UI"/>
          <w:b w:val="0"/>
          <w:i w:val="0"/>
          <w:color w:val="0B0E14"/>
          <w:sz w:val="19"/>
          <w:szCs w:val="19"/>
        </w:rPr>
        <w:t xml:space="preserve"> a named lead, a host venue for at least two sessions in the wave, and the invitation to its own members.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The chapter receives</w:t>
      </w:r>
      <w:r>
        <w:rPr>
          <w:rFonts w:ascii="Plus Jakarta Sans" w:hAnsi="Plus Jakarta Sans" w:cs="Segoe UI"/>
          <w:b w:val="0"/>
          <w:i w:val="0"/>
          <w:color w:val="0B0E14"/>
          <w:sz w:val="19"/>
          <w:szCs w:val="19"/>
        </w:rPr>
        <w:t xml:space="preserve"> the full programme free for every member, up to ten of its leadership trained as hosts, its own data, its place on the national leaderboard, and places at the demo day.</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Neither side pays the other.</w:t>
      </w:r>
      <w:r>
        <w:rPr>
          <w:rFonts w:ascii="Plus Jakarta Sans" w:hAnsi="Plus Jakarta Sans" w:cs="Segoe UI"/>
          <w:b w:val="0"/>
          <w:i w:val="0"/>
          <w:color w:val="0B0E14"/>
          <w:sz w:val="19"/>
          <w:szCs w:val="19"/>
        </w:rPr>
        <w:t xml:space="preserve"> If a chapter wants to raise its own sponsorship, the initiative will write to its prospects in support.</w:t>
      </w:r>
    </w:p>
    <w:p>
      <w:pPr>
        <w:keepNext/>
        <w:pageBreakBefore w:val="true"/>
        <w:spacing w:before="0" w:after="20"/>
      </w:pPr>
      <w:r>
        <w:rPr>
          <w:rFonts w:ascii="Plus Jakarta Sans" w:hAnsi="Plus Jakarta Sans" w:cs="Segoe UI"/>
          <w:b/>
          <w:i w:val="0"/>
          <w:color w:val="3418E0"/>
          <w:spacing w:val="28"/>
          <w:sz w:val="16"/>
          <w:szCs w:val="16"/>
        </w:rPr>
        <w:t>SECTION 07</w:t>
      </w:r>
    </w:p>
    <w:p>
      <w:pPr>
        <w:keepNext/>
        <w:spacing w:before="40" w:after="120"/>
      </w:pPr>
      <w:r>
        <w:rPr>
          <w:rFonts w:ascii="Plus Jakarta Sans" w:hAnsi="Plus Jakarta Sans" w:cs="Segoe UI"/>
          <w:b/>
          <w:i w:val="0"/>
          <w:color w:val="0B0E14"/>
          <w:sz w:val="40"/>
          <w:szCs w:val="40"/>
        </w:rPr>
        <w:t>The ideas bank, and the rules that govern it</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The ideas bank is the asset the initiative leaves behind, and it is the part that would be most damaging to get wrong. A programme that harvests young people's ideas for its sponsors is not a programme, it is an extraction, and it would deserve to fail. These rules are published to participants and written into every sponsorship agreement.</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What it is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participant states a problem before they state an idea, and works it through fifteen missions. The bank is the structured record of that: problem, sector, stage, governorate, team shape, and what the venture became.</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What partners see by default</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Distribution and direction only. Counts, shares, trends, and breakdowns by sector, governorate, gender, age and stage. No individual idea, no individual founder, no contact details.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What a themed call is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partner may put one question to every participant in a sector or governorate. Participants choose whether to answer and whether to be identified. Only the answers of those who opt in are returned, and they are told who is asking and why before they answer.</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Consent</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Consent is asked for at registration, in Arabic, in plain language, separately for the anonymous aggregate and for any identified sharing. It can be withdrawn at any time from the account, and withdrawal removes the record from future reports.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Who owns the idea</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founder. Nothing in the initiative transfers, licenses or encumbers a participant's intellectual property, and no partner acquires any right of first refusal over a venture by sponsoring. Any partner who wants a commercial relationship with a venture negotiates it with the venture, directly, afterwards.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Under-18s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Participants under eighteen are in the aggregate only. No identified sharing, no themed calls, no contact, under any tier, with guardian consent recorded at registration and safeguarding rules above it.</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What is never sold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bank is not a lead list and is not sold. Access is a benefit of partnership for the wave, it ends when the partnership ends, and it carries a written undertaking not to re-identify or re-sell.</w:t>
      </w:r>
    </w:p>
    <w:p>
      <w:pPr>
        <w:widowControl w:val="true"/>
        <w:spacing w:before="240" w:after="240" w:line="302" w:lineRule="auto"/>
        <w:ind w:left="227"/>
      </w:pPr>
      <w:r>
        <w:rPr>
          <w:rFonts w:ascii="Plus Jakarta Sans" w:hAnsi="Plus Jakarta Sans" w:cs="Segoe UI"/>
          <w:b/>
          <w:i w:val="0"/>
          <w:color w:val="3418E0"/>
          <w:sz w:val="26"/>
          <w:szCs w:val="26"/>
        </w:rPr>
        <w:t>The founder owns the idea. Sponsorship buys direction and distribution, never ownership and never a right of first refusal.</w:t>
      </w:r>
    </w:p>
    <w:p>
      <w:pPr>
        <w:keepNext/>
        <w:pageBreakBefore w:val="true"/>
        <w:spacing w:before="0" w:after="20"/>
      </w:pPr>
      <w:r>
        <w:rPr>
          <w:rFonts w:ascii="Plus Jakarta Sans" w:hAnsi="Plus Jakarta Sans" w:cs="Segoe UI"/>
          <w:b/>
          <w:i w:val="0"/>
          <w:color w:val="3418E0"/>
          <w:spacing w:val="28"/>
          <w:sz w:val="16"/>
          <w:szCs w:val="16"/>
        </w:rPr>
        <w:t>SECTION 08</w:t>
      </w:r>
    </w:p>
    <w:p>
      <w:pPr>
        <w:keepNext/>
        <w:spacing w:before="40" w:after="120"/>
      </w:pPr>
      <w:r>
        <w:rPr>
          <w:rFonts w:ascii="Plus Jakarta Sans" w:hAnsi="Plus Jakarta Sans" w:cs="Segoe UI"/>
          <w:b/>
          <w:i w:val="0"/>
          <w:color w:val="0B0E14"/>
          <w:sz w:val="40"/>
          <w:szCs w:val="40"/>
        </w:rPr>
        <w:t>Sponsorship packages</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Three cash tiers, an in-kind route into any of them, and a charter for community supporters. Slots are capped, because a tier anybody can buy is not worth buying, and because a coalition of forty equal logos gives nobody a reason to be first.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587"/>
        <w:gridCol w:w="1020"/>
        <w:gridCol w:w="1360"/>
        <w:gridCol w:w="737"/>
        <w:gridCol w:w="4706"/>
      </w:tblGrid>
      <w:tr>
        <w:trPr>
          <w:tblHeader w:val="true"/>
        </w:trPr>
        <w:tc>
          <w:tcPr>
            <w:tcW w:type="dxa" w:w="158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Tier</w:t>
            </w:r>
          </w:p>
        </w:tc>
        <w:tc>
          <w:tcPr>
            <w:tcW w:type="dxa" w:w="10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USD</w:t>
            </w:r>
          </w:p>
        </w:tc>
        <w:tc>
          <w:tcPr>
            <w:tcW w:type="dxa" w:w="136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EGP</w:t>
            </w:r>
          </w:p>
        </w:tc>
        <w:tc>
          <w:tcPr>
            <w:tcW w:type="dxa" w:w="73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Slots</w:t>
            </w:r>
          </w:p>
        </w:tc>
        <w:tc>
          <w:tcPr>
            <w:tcW w:type="dxa" w:w="470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 it is for</w:t>
            </w:r>
          </w:p>
        </w:tc>
      </w:tr>
      <w:tr>
        <w:trPr>
          <w:cantSplit w:val="true"/>
        </w:trPr>
        <w:tc>
          <w:tcPr>
            <w:tcW w:type="dxa" w:w="158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Founding Partner</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$50,000</w:t>
            </w:r>
          </w:p>
        </w:tc>
        <w:tc>
          <w:tcPr>
            <w:tcW w:type="dxa" w:w="13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EGP 2,661,000</w:t>
            </w:r>
          </w:p>
        </w:tc>
        <w:tc>
          <w:tcPr>
            <w:tcW w:type="dxa" w:w="7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w:t>
            </w:r>
          </w:p>
        </w:tc>
        <w:tc>
          <w:tcPr>
            <w:tcW w:type="dxa" w:w="470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Cash, plus a seat on the steering committee.</w:t>
            </w:r>
          </w:p>
        </w:tc>
      </w:tr>
      <w:tr>
        <w:trPr>
          <w:cantSplit w:val="true"/>
        </w:trPr>
        <w:tc>
          <w:tcPr>
            <w:tcW w:type="dxa" w:w="158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Partner</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$20,000</w:t>
            </w:r>
          </w:p>
        </w:tc>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EGP 1,064,400</w:t>
            </w:r>
          </w:p>
        </w:tc>
        <w:tc>
          <w:tcPr>
            <w:tcW w:type="dxa" w:w="7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w:t>
            </w:r>
          </w:p>
        </w:tc>
        <w:tc>
          <w:tcPr>
            <w:tcW w:type="dxa" w:w="470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Cash.</w:t>
            </w:r>
          </w:p>
        </w:tc>
      </w:tr>
      <w:tr>
        <w:trPr>
          <w:cantSplit w:val="true"/>
        </w:trPr>
        <w:tc>
          <w:tcPr>
            <w:tcW w:type="dxa" w:w="158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Supporting Partner</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$5,000</w:t>
            </w:r>
          </w:p>
        </w:tc>
        <w:tc>
          <w:tcPr>
            <w:tcW w:type="dxa" w:w="13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EGP 266,100</w:t>
            </w:r>
          </w:p>
        </w:tc>
        <w:tc>
          <w:tcPr>
            <w:tcW w:type="dxa" w:w="7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w:t>
            </w:r>
          </w:p>
        </w:tc>
        <w:tc>
          <w:tcPr>
            <w:tcW w:type="dxa" w:w="470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Cash. The entry tier, and the one a mid-sized Egyptian company or a second-tier foundation can sign inside a month.</w:t>
            </w:r>
          </w:p>
        </w:tc>
      </w:tr>
      <w:tr>
        <w:trPr>
          <w:cantSplit w:val="true"/>
        </w:trPr>
        <w:tc>
          <w:tcPr>
            <w:tcW w:type="dxa" w:w="158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In-kind Partner</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 cash</w:t>
            </w:r>
          </w:p>
        </w:tc>
        <w:tc>
          <w:tcPr>
            <w:tcW w:type="dxa" w:w="1361"/>
            <w:shd w:val="clear" w:fill="F5F6F8"/>
            <w:tcMar>
              <w:top w:w="73" w:type="dxa"/>
              <w:start w:w="90" w:type="dxa"/>
              <w:bottom w:w="73" w:type="dxa"/>
              <w:end w:w="79" w:type="dxa"/>
            </w:tcMar>
          </w:tcPr>
          <w:p>
            <w:pPr>
              <w:spacing w:after="0" w:line="288" w:lineRule="auto"/>
            </w:pPr>
          </w:p>
        </w:tc>
        <w:tc>
          <w:tcPr>
            <w:tcW w:type="dxa" w:w="7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Uncapped</w:t>
            </w:r>
          </w:p>
        </w:tc>
        <w:tc>
          <w:tcPr>
            <w:tcW w:type="dxa" w:w="470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Reach, airtime, venues or services, valued at market rate and credited at the cash tier it matches.</w:t>
            </w:r>
          </w:p>
        </w:tc>
      </w:tr>
      <w:tr>
        <w:trPr>
          <w:cantSplit w:val="true"/>
        </w:trPr>
        <w:tc>
          <w:tcPr>
            <w:tcW w:type="dxa" w:w="158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Community Supporter</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 cash</w:t>
            </w:r>
          </w:p>
        </w:tc>
        <w:tc>
          <w:tcPr>
            <w:tcW w:type="dxa" w:w="1361"/>
            <w:tcMar>
              <w:top w:w="73" w:type="dxa"/>
              <w:start w:w="90" w:type="dxa"/>
              <w:bottom w:w="73" w:type="dxa"/>
              <w:end w:w="79" w:type="dxa"/>
            </w:tcMar>
          </w:tcPr>
          <w:p>
            <w:pPr>
              <w:spacing w:after="0" w:line="288" w:lineRule="auto"/>
            </w:pPr>
          </w:p>
        </w:tc>
        <w:tc>
          <w:tcPr>
            <w:tcW w:type="dxa" w:w="7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Uncapped</w:t>
            </w:r>
          </w:p>
        </w:tc>
        <w:tc>
          <w:tcPr>
            <w:tcW w:type="dxa" w:w="470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Members, chapters and leadership time. No cash is asked for, ever.</w:t>
            </w:r>
          </w:p>
        </w:tc>
      </w:tr>
    </w:tbl>
    <w:p>
      <w:pPr>
        <w:widowControl w:val="true"/>
        <w:spacing w:before="0" w:after="140" w:line="322" w:lineRule="auto"/>
      </w:pPr>
    </w:p>
    <w:p>
      <w:pPr>
        <w:widowControl w:val="true"/>
        <w:spacing w:before="0" w:after="100" w:line="322" w:lineRule="auto"/>
      </w:pPr>
      <w:r>
        <w:rPr>
          <w:rFonts w:ascii="Plus Jakarta Sans" w:hAnsi="Plus Jakarta Sans" w:cs="Segoe UI"/>
          <w:b w:val="0"/>
          <w:i w:val="0"/>
          <w:color w:val="0B0E14"/>
          <w:sz w:val="19"/>
          <w:szCs w:val="19"/>
        </w:rPr>
        <w:t>The wave costs $200,000, which is EGP 10,644,000. The three cash tiers raise $250,000 if every slot sells, so the coalition can lose four or five conversations and still fund everything in Section 11. There is no surplus at any fill: anything above the budget goes to ambassadors and to reach, not to a margin.</w:t>
      </w:r>
    </w:p>
    <w:p>
      <w:pPr>
        <w:widowControl w:val="true"/>
        <w:pBdr>
          <w:left w:val="single" w:sz="24" w:space="8" w:color="CBF24A"/>
        </w:pBdr>
        <w:shd w:val="clear" w:fill="F5F6F8"/>
        <w:spacing w:before="180" w:after="200" w:line="322" w:lineRule="auto"/>
        <w:ind w:left="159"/>
      </w:pPr>
      <w:r>
        <w:rPr>
          <w:rFonts w:ascii="Plus Jakarta Sans" w:hAnsi="Plus Jakarta Sans" w:cs="Segoe UI"/>
          <w:b/>
          <w:i w:val="0"/>
          <w:color w:val="3A4050"/>
          <w:sz w:val="18"/>
          <w:szCs w:val="18"/>
        </w:rPr>
        <w:t>Nobody buys a number of participants.</w:t>
      </w:r>
      <w:r>
        <w:rPr>
          <w:rFonts w:ascii="Plus Jakarta Sans" w:hAnsi="Plus Jakarta Sans" w:cs="Segoe UI"/>
          <w:b w:val="0"/>
          <w:i w:val="0"/>
          <w:color w:val="3A4050"/>
          <w:sz w:val="18"/>
          <w:szCs w:val="18"/>
        </w:rPr>
        <w:t xml:space="preserve"> Every participant is free, so a tier is not a quantity of people. It is a position in a national coalition, a set of webinars under a partner's name, and first sight of what a million young Egyptians are trying to build.</w:t>
      </w:r>
    </w:p>
    <w:p>
      <w:pPr>
        <w:keepNext/>
        <w:widowControl w:val="true"/>
        <w:spacing w:before="280" w:after="100" w:line="288" w:lineRule="auto"/>
      </w:pPr>
      <w:r>
        <w:rPr>
          <w:rFonts w:ascii="Plus Jakarta Sans" w:hAnsi="Plus Jakarta Sans" w:cs="Segoe UI"/>
          <w:b/>
          <w:i w:val="0"/>
          <w:color w:val="0B0E14"/>
          <w:sz w:val="24"/>
          <w:szCs w:val="24"/>
        </w:rPr>
        <w:t>Founding Partner</w:t>
      </w:r>
    </w:p>
    <w:p>
      <w:pPr>
        <w:widowControl w:val="true"/>
        <w:spacing w:before="0" w:after="100" w:line="322" w:lineRule="auto"/>
      </w:pPr>
      <w:r>
        <w:rPr>
          <w:rFonts w:ascii="Plus Jakarta Sans" w:hAnsi="Plus Jakarta Sans" w:cs="Segoe UI"/>
          <w:b/>
          <w:i w:val="0"/>
          <w:color w:val="0B0E14"/>
          <w:sz w:val="19"/>
          <w:szCs w:val="19"/>
        </w:rPr>
        <w:t>$50,000</w:t>
      </w:r>
      <w:r>
        <w:rPr>
          <w:rFonts w:ascii="Plus Jakarta Sans" w:hAnsi="Plus Jakarta Sans" w:cs="Segoe UI"/>
          <w:b w:val="0"/>
          <w:i w:val="0"/>
          <w:color w:val="0B0E14"/>
          <w:sz w:val="19"/>
          <w:szCs w:val="19"/>
        </w:rPr>
        <w:t xml:space="preserve">  |  EGP 2,661,000  |  2 slots  |  CSR sponsor</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Named as a Founding Partner of a national initiative, in Arabic and English, in front of a million young Egyptians.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A seat on the steering committee, which sets the plan and signs off the national report.</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A sector or a governorate group carried under their name for the whole wave.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 quarterly direction report on what young Egyptians are building, by sector, governorate, gender and age, before it is published.</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A themed call into the ideas bank: a question put to every participant in their sector, with consented responses returned to them.</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Four live webinars under their name, to an audience in the tens of thousands.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First look at the ventures from the national showcase.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A closing report with completion rates, governorate and gender disaggregation and SDG mapping, written to go straight into their own annual report.</w:t>
      </w:r>
    </w:p>
    <w:p>
      <w:pPr>
        <w:keepNext/>
        <w:widowControl w:val="true"/>
        <w:spacing w:before="280" w:after="100" w:line="288" w:lineRule="auto"/>
      </w:pPr>
      <w:r>
        <w:rPr>
          <w:rFonts w:ascii="Plus Jakarta Sans" w:hAnsi="Plus Jakarta Sans" w:cs="Segoe UI"/>
          <w:b/>
          <w:i w:val="0"/>
          <w:color w:val="0B0E14"/>
          <w:sz w:val="24"/>
          <w:szCs w:val="24"/>
        </w:rPr>
        <w:t>Partner</w:t>
      </w:r>
    </w:p>
    <w:p>
      <w:pPr>
        <w:widowControl w:val="true"/>
        <w:spacing w:before="0" w:after="100" w:line="322" w:lineRule="auto"/>
      </w:pPr>
      <w:r>
        <w:rPr>
          <w:rFonts w:ascii="Plus Jakarta Sans" w:hAnsi="Plus Jakarta Sans" w:cs="Segoe UI"/>
          <w:b/>
          <w:i w:val="0"/>
          <w:color w:val="0B0E14"/>
          <w:sz w:val="19"/>
          <w:szCs w:val="19"/>
        </w:rPr>
        <w:t>$20,000</w:t>
      </w:r>
      <w:r>
        <w:rPr>
          <w:rFonts w:ascii="Plus Jakarta Sans" w:hAnsi="Plus Jakarta Sans" w:cs="Segoe UI"/>
          <w:b w:val="0"/>
          <w:i w:val="0"/>
          <w:color w:val="0B0E14"/>
          <w:sz w:val="19"/>
          <w:szCs w:val="19"/>
        </w:rPr>
        <w:t xml:space="preserve">  |  EGP 1,064,400  |  5 slots  |  CSR sponsor</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Named as a Partner across the initiative's surfaces.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A seat on the partner council, which meets monthly.</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Two live webinars under their name.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 quarterly direction report.</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 closing report, disaggregated and SDG mapped.</w:t>
      </w:r>
    </w:p>
    <w:p>
      <w:pPr>
        <w:keepNext/>
        <w:widowControl w:val="true"/>
        <w:spacing w:before="280" w:after="100" w:line="288" w:lineRule="auto"/>
      </w:pPr>
      <w:r>
        <w:rPr>
          <w:rFonts w:ascii="Plus Jakarta Sans" w:hAnsi="Plus Jakarta Sans" w:cs="Segoe UI"/>
          <w:b/>
          <w:i w:val="0"/>
          <w:color w:val="0B0E14"/>
          <w:sz w:val="24"/>
          <w:szCs w:val="24"/>
        </w:rPr>
        <w:t>Supporting Partner</w:t>
      </w:r>
    </w:p>
    <w:p>
      <w:pPr>
        <w:widowControl w:val="true"/>
        <w:spacing w:before="0" w:after="100" w:line="322" w:lineRule="auto"/>
      </w:pPr>
      <w:r>
        <w:rPr>
          <w:rFonts w:ascii="Plus Jakarta Sans" w:hAnsi="Plus Jakarta Sans" w:cs="Segoe UI"/>
          <w:b/>
          <w:i w:val="0"/>
          <w:color w:val="0B0E14"/>
          <w:sz w:val="19"/>
          <w:szCs w:val="19"/>
        </w:rPr>
        <w:t>$5,000</w:t>
      </w:r>
      <w:r>
        <w:rPr>
          <w:rFonts w:ascii="Plus Jakarta Sans" w:hAnsi="Plus Jakarta Sans" w:cs="Segoe UI"/>
          <w:b w:val="0"/>
          <w:i w:val="0"/>
          <w:color w:val="0B0E14"/>
          <w:sz w:val="19"/>
          <w:szCs w:val="19"/>
        </w:rPr>
        <w:t xml:space="preserve">  |  EGP 266,100  |  10 slots  |  CSR sponsor</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One of the fifteen missions carried under their name, which every participant in the country passes through.</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One live webinar under their name.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Their sector's slice of the direction report.</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Named on the platform and in the closing report.</w:t>
      </w:r>
    </w:p>
    <w:p>
      <w:pPr>
        <w:keepNext/>
        <w:widowControl w:val="true"/>
        <w:spacing w:before="280" w:after="100" w:line="288" w:lineRule="auto"/>
      </w:pPr>
      <w:r>
        <w:rPr>
          <w:rFonts w:ascii="Plus Jakarta Sans" w:hAnsi="Plus Jakarta Sans" w:cs="Segoe UI"/>
          <w:b/>
          <w:i w:val="0"/>
          <w:color w:val="0B0E14"/>
          <w:sz w:val="24"/>
          <w:szCs w:val="24"/>
        </w:rPr>
        <w:t>In-kind Partner</w:t>
      </w:r>
    </w:p>
    <w:p>
      <w:pPr>
        <w:widowControl w:val="true"/>
        <w:spacing w:before="0" w:after="100" w:line="322" w:lineRule="auto"/>
      </w:pPr>
      <w:r>
        <w:rPr>
          <w:rFonts w:ascii="Plus Jakarta Sans" w:hAnsi="Plus Jakarta Sans" w:cs="Segoe UI"/>
          <w:b/>
          <w:i w:val="0"/>
          <w:color w:val="0B0E14"/>
          <w:sz w:val="19"/>
          <w:szCs w:val="19"/>
        </w:rPr>
        <w:t>No cash</w:t>
      </w:r>
      <w:r>
        <w:rPr>
          <w:rFonts w:ascii="Plus Jakarta Sans" w:hAnsi="Plus Jakarta Sans" w:cs="Segoe UI"/>
          <w:b w:val="0"/>
          <w:i w:val="0"/>
          <w:color w:val="0B0E14"/>
          <w:sz w:val="19"/>
          <w:szCs w:val="19"/>
        </w:rPr>
        <w:t xml:space="preserve">  |  CSR sponsor or NGO and development partner</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Credited at the tier their contribution values at, with the same benefits.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For a telecom or a broadcaster this is the most valuable thing anyone can give this initiative, because reach is what the whole model runs on, and it is usually faster to approve than cash.</w:t>
      </w:r>
    </w:p>
    <w:p>
      <w:pPr>
        <w:keepNext/>
        <w:widowControl w:val="true"/>
        <w:spacing w:before="280" w:after="100" w:line="288" w:lineRule="auto"/>
      </w:pPr>
      <w:r>
        <w:rPr>
          <w:rFonts w:ascii="Plus Jakarta Sans" w:hAnsi="Plus Jakarta Sans" w:cs="Segoe UI"/>
          <w:b/>
          <w:i w:val="0"/>
          <w:color w:val="0B0E14"/>
          <w:sz w:val="24"/>
          <w:szCs w:val="24"/>
        </w:rPr>
        <w:t>Community Supporter</w:t>
      </w:r>
    </w:p>
    <w:p>
      <w:pPr>
        <w:widowControl w:val="true"/>
        <w:spacing w:before="0" w:after="100" w:line="322" w:lineRule="auto"/>
      </w:pPr>
      <w:r>
        <w:rPr>
          <w:rFonts w:ascii="Plus Jakarta Sans" w:hAnsi="Plus Jakarta Sans" w:cs="Segoe UI"/>
          <w:b/>
          <w:i w:val="0"/>
          <w:color w:val="0B0E14"/>
          <w:sz w:val="19"/>
          <w:szCs w:val="19"/>
        </w:rPr>
        <w:t>No cash</w:t>
      </w:r>
      <w:r>
        <w:rPr>
          <w:rFonts w:ascii="Plus Jakarta Sans" w:hAnsi="Plus Jakarta Sans" w:cs="Segoe UI"/>
          <w:b w:val="0"/>
          <w:i w:val="0"/>
          <w:color w:val="0B0E14"/>
          <w:sz w:val="19"/>
          <w:szCs w:val="19"/>
        </w:rPr>
        <w:t xml:space="preserve">  |  Community supporter</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Every member gets the full fifteen-mission programme free, which everybody gets, because the whole thing is free.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Up to 10 of their leadership trained to host info sessions and webinars, a credential they keep after their term ends.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Their chapter on the national leaderboard, by registrations and by completions.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Their own chapter's data: what their members are building.</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Teams going into their own competition season already through fifteen missions.</w:t>
      </w:r>
    </w:p>
    <w:p>
      <w:pPr>
        <w:keepNext/>
        <w:pageBreakBefore w:val="true"/>
        <w:spacing w:before="0" w:after="20"/>
      </w:pPr>
      <w:r>
        <w:rPr>
          <w:rFonts w:ascii="Plus Jakarta Sans" w:hAnsi="Plus Jakarta Sans" w:cs="Segoe UI"/>
          <w:b/>
          <w:i w:val="0"/>
          <w:color w:val="3418E0"/>
          <w:spacing w:val="28"/>
          <w:sz w:val="16"/>
          <w:szCs w:val="16"/>
        </w:rPr>
        <w:t>SECTION 09</w:t>
      </w:r>
    </w:p>
    <w:p>
      <w:pPr>
        <w:keepNext/>
        <w:spacing w:before="40" w:after="120"/>
      </w:pPr>
      <w:r>
        <w:rPr>
          <w:rFonts w:ascii="Plus Jakarta Sans" w:hAnsi="Plus Jakarta Sans" w:cs="Segoe UI"/>
          <w:b/>
          <w:i w:val="0"/>
          <w:color w:val="0B0E14"/>
          <w:sz w:val="40"/>
          <w:szCs w:val="40"/>
        </w:rPr>
        <w:t>In-kind support</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In-kind is valued at its market or rate card value and credited at the cash tier it matches, with every benefit of that tier. A broadcaster giving airtime worth $75,000 is a Lead Partner. For a media owner, a venue owner or a telco this is usually faster than a cash approval, and for several of them it is the only realistic route.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814"/>
        <w:gridCol w:w="1927"/>
        <w:gridCol w:w="4536"/>
        <w:gridCol w:w="1134"/>
      </w:tblGrid>
      <w:tr>
        <w:trPr>
          <w:tblHeader w:val="true"/>
        </w:trPr>
        <w:tc>
          <w:tcPr>
            <w:tcW w:type="dxa" w:w="181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we accept</w:t>
            </w:r>
          </w:p>
        </w:tc>
        <w:tc>
          <w:tcPr>
            <w:tcW w:type="dxa" w:w="192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 has it</w:t>
            </w:r>
          </w:p>
        </w:tc>
        <w:tc>
          <w:tcPr>
            <w:tcW w:type="dxa" w:w="453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Why it matters</w:t>
            </w:r>
          </w:p>
        </w:tc>
        <w:tc>
          <w:tcPr>
            <w:tcW w:type="dxa" w:w="113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Value</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Media and airtime</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Telecom, broadcast, outdoor</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Reach is the initiative's scarcest input and the cheapest thing a media owner can give. Valued at rate card.</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High</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Venues and halls</w:t>
            </w:r>
          </w:p>
        </w:tc>
        <w:tc>
          <w:tcPr>
            <w:tcW w:type="dxa" w:w="19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Universities, corporates, hotels, youth centres</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 info session needs a room for an evening. A sponsor with branches in nine governorates can host sessions in nine governorates, and that is the whole offline footprint of this wave.</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High</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Connectivity and devices</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Telecom, technology</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Data bundles and loan devices are the difference between a registered account and a completed mission in low-income governorates.</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High</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Cloud and AI credits</w:t>
            </w:r>
          </w:p>
        </w:tc>
        <w:tc>
          <w:tcPr>
            <w:tcW w:type="dxa" w:w="19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Technology, hyperscalers</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Directly reduces the cost per review, which is the one cost that scales with participants.</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High</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Mentor and judge hours</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Every sponsor</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Logged, reported back, and the cheapest employee engagement a CSR team will ever buy.</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Medium</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Prizes and seed grants</w:t>
            </w:r>
          </w:p>
        </w:tc>
        <w:tc>
          <w:tcPr>
            <w:tcW w:type="dxa" w:w="19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Banks, foundations, corporates</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What turns a showcase into a reason to finish. Small amounts, large effect on completion.</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Medium</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Company formation and legal</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Law firms, accountants</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Registration, tax card and a first set of accounts for the ventures that make it. The step most first-time founders stall on.</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High</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Bank accounts and payments</w:t>
            </w:r>
          </w:p>
        </w:tc>
        <w:tc>
          <w:tcPr>
            <w:tcW w:type="dxa" w:w="19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Banks, fintech</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business account opened for a new venture is worth more to it than a certificate, and it makes the sponsor the venture's first bank.</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High</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Internships and first contracts</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Corporates</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For participants whose idea does not become a business, which is most of them. This is the honest second outcome.</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Medium</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Transport and logistics</w:t>
            </w:r>
          </w:p>
        </w:tc>
        <w:tc>
          <w:tcPr>
            <w:tcW w:type="dxa" w:w="19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Logistics, automotive</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Gets the team to the regional showcases and the winners to the demo day.</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Low</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Printing and materials</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Printing, paper, FMCG</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Workbooks and showcase materials.</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Low</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Catering</w:t>
            </w:r>
          </w:p>
        </w:tc>
        <w:tc>
          <w:tcPr>
            <w:tcW w:type="dxa" w:w="19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FMCG, food and beverage</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Info sessions and showcases feed people. Easy for a food company to approve.</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Low</w:t>
            </w:r>
          </w:p>
        </w:tc>
      </w:tr>
    </w:tbl>
    <w:p>
      <w:pPr>
        <w:widowControl w:val="true"/>
        <w:spacing w:before="0" w:after="140" w:line="322" w:lineRule="auto"/>
      </w:pPr>
    </w:p>
    <w:p>
      <w:pPr>
        <w:widowControl w:val="true"/>
        <w:pBdr>
          <w:left w:val="single" w:sz="24" w:space="8" w:color="CBF24A"/>
        </w:pBdr>
        <w:shd w:val="clear" w:fill="F5F6F8"/>
        <w:spacing w:before="180" w:after="200" w:line="322" w:lineRule="auto"/>
        <w:ind w:left="159"/>
      </w:pPr>
      <w:r>
        <w:rPr>
          <w:rFonts w:ascii="Plus Jakarta Sans" w:hAnsi="Plus Jakarta Sans" w:cs="Segoe UI"/>
          <w:b/>
          <w:i w:val="0"/>
          <w:color w:val="3A4050"/>
          <w:sz w:val="18"/>
          <w:szCs w:val="18"/>
        </w:rPr>
        <w:t>Reach is the one that decides whether this works.</w:t>
      </w:r>
      <w:r>
        <w:rPr>
          <w:rFonts w:ascii="Plus Jakarta Sans" w:hAnsi="Plus Jakarta Sans" w:cs="Segoe UI"/>
          <w:b w:val="0"/>
          <w:i w:val="0"/>
          <w:color w:val="3A4050"/>
          <w:sz w:val="18"/>
          <w:szCs w:val="18"/>
        </w:rPr>
        <w:t xml:space="preserve"> A telecom partner messaging its own subscriber base, a bank putting a banner in its app, a retailer mailing its customers: that is where the first half of the million comes from, it costs the partner almost nothing, and no amount of cash buys an equivalent audience in Egypt. After reach, the three that matter are connectivity, because a data bundle is the difference between a registered account and a completed mission in a low-income governorate; venues, because an info session needs a room for an evening and a sponsor with branches in nine governorates can host in nine governorates; and company formation, because registration is the step most first-time founders stall on after everything else has gone right.</w:t>
      </w:r>
    </w:p>
    <w:p>
      <w:pPr>
        <w:keepNext/>
        <w:pageBreakBefore w:val="true"/>
        <w:spacing w:before="0" w:after="20"/>
      </w:pPr>
      <w:r>
        <w:rPr>
          <w:rFonts w:ascii="Plus Jakarta Sans" w:hAnsi="Plus Jakarta Sans" w:cs="Segoe UI"/>
          <w:b/>
          <w:i w:val="0"/>
          <w:color w:val="3418E0"/>
          <w:spacing w:val="28"/>
          <w:sz w:val="16"/>
          <w:szCs w:val="16"/>
        </w:rPr>
        <w:t>SECTION 10</w:t>
      </w:r>
    </w:p>
    <w:p>
      <w:pPr>
        <w:keepNext/>
        <w:spacing w:before="40" w:after="120"/>
      </w:pPr>
      <w:r>
        <w:rPr>
          <w:rFonts w:ascii="Plus Jakarta Sans" w:hAnsi="Plus Jakarta Sans" w:cs="Segoe UI"/>
          <w:b/>
          <w:i w:val="0"/>
          <w:color w:val="0B0E14"/>
          <w:sz w:val="40"/>
          <w:szCs w:val="40"/>
        </w:rPr>
        <w:t>The six months, and why this window</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Wave 1, March to August 2027. The window is chosen around the Egyptian year rather than around a financial one, because the participants are students and the calendar decides what is possible.</w:t>
      </w:r>
    </w:p>
    <w:p>
      <w:pPr>
        <w:keepNext/>
        <w:widowControl w:val="true"/>
        <w:spacing w:before="280" w:after="100" w:line="288" w:lineRule="auto"/>
      </w:pPr>
      <w:r>
        <w:rPr>
          <w:rFonts w:ascii="Plus Jakarta Sans" w:hAnsi="Plus Jakarta Sans" w:cs="Segoe UI"/>
          <w:b/>
          <w:i w:val="0"/>
          <w:color w:val="0B0E14"/>
          <w:sz w:val="24"/>
          <w:szCs w:val="24"/>
        </w:rPr>
        <w:t>Why not January</w:t>
      </w:r>
    </w:p>
    <w:p>
      <w:pPr>
        <w:widowControl w:val="true"/>
        <w:spacing w:before="0" w:after="100" w:line="322" w:lineRule="auto"/>
      </w:pPr>
      <w:r>
        <w:rPr>
          <w:rFonts w:ascii="Plus Jakarta Sans" w:hAnsi="Plus Jakarta Sans" w:cs="Segoe UI"/>
          <w:b w:val="0"/>
          <w:i w:val="0"/>
          <w:color w:val="0B0E14"/>
          <w:sz w:val="19"/>
          <w:szCs w:val="19"/>
        </w:rPr>
        <w:t>Ramadan falls in February and the first days of March 2027, with Eid al-Fitr in the first half of March. A wave launched in January loses its second month to a season in which no campus activity happens and no corporate approval moves. Launching immediately after Eid puts the first month into the strongest part of the spring term instead. Religious dates here are approximate and should be confirmed nearer the time.</w:t>
      </w:r>
    </w:p>
    <w:p>
      <w:pPr>
        <w:keepNext/>
        <w:widowControl w:val="true"/>
        <w:spacing w:before="280" w:after="100" w:line="288" w:lineRule="auto"/>
      </w:pPr>
      <w:r>
        <w:rPr>
          <w:rFonts w:ascii="Plus Jakarta Sans" w:hAnsi="Plus Jakarta Sans" w:cs="Segoe UI"/>
          <w:b/>
          <w:i w:val="0"/>
          <w:color w:val="0B0E14"/>
          <w:sz w:val="24"/>
          <w:szCs w:val="24"/>
        </w:rPr>
        <w:t>Why six months and not twelve</w:t>
      </w:r>
    </w:p>
    <w:p>
      <w:pPr>
        <w:widowControl w:val="true"/>
        <w:spacing w:before="0" w:after="100" w:line="322" w:lineRule="auto"/>
      </w:pPr>
      <w:r>
        <w:rPr>
          <w:rFonts w:ascii="Plus Jakarta Sans" w:hAnsi="Plus Jakarta Sans" w:cs="Segoe UI"/>
          <w:b w:val="0"/>
          <w:i w:val="0"/>
          <w:color w:val="0B0E14"/>
          <w:sz w:val="19"/>
          <w:szCs w:val="19"/>
        </w:rPr>
        <w:t>Because a viral wave either fires in its first eight weeks or it does not, and twelve months of a loop that is not firing is twelve months of spending. Six months ends while the coalition still remembers why it joined, produces a closing report inside one reporting year, and lets a partner decide what comes next on evidence rather than on faith.</w:t>
      </w:r>
    </w:p>
    <w:p>
      <w:pPr>
        <w:keepNext/>
        <w:widowControl w:val="true"/>
        <w:spacing w:before="280" w:after="100" w:line="288" w:lineRule="auto"/>
      </w:pPr>
      <w:r>
        <w:rPr>
          <w:rFonts w:ascii="Plus Jakarta Sans" w:hAnsi="Plus Jakarta Sans" w:cs="Segoe UI"/>
          <w:b/>
          <w:i w:val="0"/>
          <w:color w:val="0B0E14"/>
          <w:sz w:val="24"/>
          <w:szCs w:val="24"/>
        </w:rPr>
        <w:t>Before the wave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474"/>
        <w:gridCol w:w="2041"/>
        <w:gridCol w:w="5896"/>
      </w:tblGrid>
      <w:tr>
        <w:trPr>
          <w:tblHeader w:val="true"/>
        </w:trPr>
        <w:tc>
          <w:tcPr>
            <w:tcW w:type="dxa" w:w="147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When</w:t>
            </w:r>
          </w:p>
        </w:tc>
        <w:tc>
          <w:tcPr>
            <w:tcW w:type="dxa" w:w="204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happens</w:t>
            </w:r>
          </w:p>
        </w:tc>
        <w:tc>
          <w:tcPr>
            <w:tcW w:type="dxa" w:w="589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Why it is there</w:t>
            </w:r>
          </w:p>
        </w:tc>
      </w:tr>
      <w:tr>
        <w:trPr>
          <w:cantSplit w:val="true"/>
        </w:trPr>
        <w:tc>
          <w:tcPr>
            <w:tcW w:type="dxa" w:w="147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October 2026</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Assemble the coalition</w:t>
            </w:r>
          </w:p>
        </w:tc>
        <w:tc>
          <w:tcPr>
            <w:tcW w:type="dxa" w:w="58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First approaches to the Founding and Partner tiers, and to the patron ministries. Nothing is announced until both Founding Partners have signed.</w:t>
            </w:r>
          </w:p>
        </w:tc>
      </w:tr>
      <w:tr>
        <w:trPr>
          <w:cantSplit w:val="true"/>
        </w:trPr>
        <w:tc>
          <w:tcPr>
            <w:tcW w:type="dxa" w:w="147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November 2026</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Patron endorsement</w:t>
            </w:r>
          </w:p>
        </w:tc>
        <w:tc>
          <w:tcPr>
            <w:tcW w:type="dxa" w:w="58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Memoranda with the national initiative and the relevant ministries. These cost them nothing and are worth more than their money.</w:t>
            </w:r>
          </w:p>
        </w:tc>
      </w:tr>
      <w:tr>
        <w:trPr>
          <w:cantSplit w:val="true"/>
        </w:trPr>
        <w:tc>
          <w:tcPr>
            <w:tcW w:type="dxa" w:w="147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December 2026</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Community supporters</w:t>
            </w:r>
          </w:p>
        </w:tc>
        <w:tc>
          <w:tcPr>
            <w:tcW w:type="dxa" w:w="58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Charters signed with the youth foundations and student organisations, and the first 1,000 ambassadors recruited. Their leadership years are already underway, so this is the right moment, not the summer.</w:t>
            </w:r>
          </w:p>
        </w:tc>
      </w:tr>
      <w:tr>
        <w:trPr>
          <w:cantSplit w:val="true"/>
        </w:trPr>
        <w:tc>
          <w:tcPr>
            <w:tcW w:type="dxa" w:w="147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January 2027</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Train the hosts</w:t>
            </w:r>
          </w:p>
        </w:tc>
        <w:tc>
          <w:tcPr>
            <w:tcW w:type="dxa" w:w="58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Chapter leadership and partner staff trained to run info sessions and webinars before the wave opens, not during it.</w:t>
            </w:r>
          </w:p>
        </w:tc>
      </w:tr>
      <w:tr>
        <w:trPr>
          <w:cantSplit w:val="true"/>
        </w:trPr>
        <w:tc>
          <w:tcPr>
            <w:tcW w:type="dxa" w:w="147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February 2027</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Localise and load test</w:t>
            </w:r>
          </w:p>
        </w:tc>
        <w:tc>
          <w:tcPr>
            <w:tcW w:type="dxa" w:w="58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Arabic content finalised, the platform load tested for a million accounts, the referral loop rehearsed with a partner NGO. Ramadan month; no public launch.</w:t>
            </w:r>
          </w:p>
        </w:tc>
      </w:tr>
    </w:tbl>
    <w:p>
      <w:pPr>
        <w:widowControl w:val="true"/>
        <w:spacing w:before="0" w:after="140" w:line="322" w:lineRule="auto"/>
      </w:pPr>
    </w:p>
    <w:p>
      <w:pPr>
        <w:keepNext/>
        <w:widowControl w:val="true"/>
        <w:spacing w:before="280" w:after="100" w:line="288" w:lineRule="auto"/>
      </w:pPr>
      <w:r>
        <w:rPr>
          <w:rFonts w:ascii="Plus Jakarta Sans" w:hAnsi="Plus Jakarta Sans" w:cs="Segoe UI"/>
          <w:b/>
          <w:i w:val="0"/>
          <w:color w:val="0B0E14"/>
          <w:sz w:val="24"/>
          <w:szCs w:val="24"/>
        </w:rPr>
        <w:t>The wave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077"/>
        <w:gridCol w:w="1304"/>
        <w:gridCol w:w="5329"/>
        <w:gridCol w:w="1701"/>
      </w:tblGrid>
      <w:tr>
        <w:trPr>
          <w:tblHeader w:val="true"/>
        </w:trPr>
        <w:tc>
          <w:tcPr>
            <w:tcW w:type="dxa" w:w="107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Month</w:t>
            </w:r>
          </w:p>
        </w:tc>
        <w:tc>
          <w:tcPr>
            <w:tcW w:type="dxa" w:w="130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is</w:t>
            </w:r>
          </w:p>
        </w:tc>
        <w:tc>
          <w:tcPr>
            <w:tcW w:type="dxa" w:w="532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happens</w:t>
            </w:r>
          </w:p>
        </w:tc>
        <w:tc>
          <w:tcPr>
            <w:tcW w:type="dxa" w:w="170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Registered by month end</w:t>
            </w:r>
          </w:p>
        </w:tc>
      </w:tr>
      <w:tr>
        <w:trPr>
          <w:cantSplit w:val="true"/>
        </w:trPr>
        <w:tc>
          <w:tcPr>
            <w:tcW w:type="dxa" w:w="107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Month 1</w:t>
            </w:r>
            <w:r>
              <w:rPr>
                <w:rFonts w:ascii="Plus Jakarta Sans" w:hAnsi="Plus Jakarta Sans"/>
                <w:sz w:val="17"/>
              </w:rPr>
              <w:br/>
            </w:r>
            <w:r>
              <w:rPr>
                <w:rFonts w:ascii="Plus Jakarta Sans" w:hAnsi="Plus Jakarta Sans" w:cs="Segoe UI"/>
                <w:b/>
                <w:i w:val="0"/>
                <w:color w:val="0B0E14"/>
                <w:sz w:val="17"/>
                <w:szCs w:val="17"/>
              </w:rPr>
              <w:t>March 2027</w:t>
            </w:r>
          </w:p>
        </w:tc>
        <w:tc>
          <w:tcPr>
            <w:tcW w:type="dxa" w:w="130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Launch</w:t>
            </w:r>
          </w:p>
        </w:tc>
        <w:tc>
          <w:tcPr>
            <w:tcW w:type="dxa" w:w="532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National launch after Eid al-Fitr. All 150 chapters and 1,000 ambassadors activate in the same week, every partner sends its first message on a committed date, and the first challenge week runs immediately. A launch that trickles does not go viral.</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220,000</w:t>
            </w:r>
          </w:p>
        </w:tc>
      </w:tr>
      <w:tr>
        <w:trPr>
          <w:cantSplit w:val="true"/>
        </w:trPr>
        <w:tc>
          <w:tcPr>
            <w:tcW w:type="dxa" w:w="107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Month 2</w:t>
            </w:r>
            <w:r>
              <w:rPr>
                <w:rFonts w:ascii="Plus Jakarta Sans" w:hAnsi="Plus Jakarta Sans"/>
                <w:sz w:val="17"/>
              </w:rPr>
              <w:br/>
            </w:r>
            <w:r>
              <w:rPr>
                <w:rFonts w:ascii="Plus Jakarta Sans" w:hAnsi="Plus Jakarta Sans" w:cs="Segoe UI"/>
                <w:b/>
                <w:i w:val="0"/>
                <w:color w:val="0B0E14"/>
                <w:sz w:val="17"/>
                <w:szCs w:val="17"/>
              </w:rPr>
              <w:t>April 2027</w:t>
            </w:r>
          </w:p>
        </w:tc>
        <w:tc>
          <w:tcPr>
            <w:tcW w:type="dxa" w:w="130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loop takes over</w:t>
            </w:r>
          </w:p>
        </w:tc>
        <w:tc>
          <w:tcPr>
            <w:tcW w:type="dxa" w:w="532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strongest campus month of the Egyptian year, and the month the referral unlock starts carrying more registrations than the partner channels do. Weekly webinars, the chapter leaderboard live.</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460,000</w:t>
            </w:r>
          </w:p>
        </w:tc>
      </w:tr>
      <w:tr>
        <w:trPr>
          <w:cantSplit w:val="true"/>
        </w:trPr>
        <w:tc>
          <w:tcPr>
            <w:tcW w:type="dxa" w:w="107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Month 3</w:t>
            </w:r>
            <w:r>
              <w:rPr>
                <w:rFonts w:ascii="Plus Jakarta Sans" w:hAnsi="Plus Jakarta Sans"/>
                <w:sz w:val="17"/>
              </w:rPr>
              <w:br/>
            </w:r>
            <w:r>
              <w:rPr>
                <w:rFonts w:ascii="Plus Jakarta Sans" w:hAnsi="Plus Jakarta Sans" w:cs="Segoe UI"/>
                <w:b/>
                <w:i w:val="0"/>
                <w:color w:val="0B0E14"/>
                <w:sz w:val="17"/>
                <w:szCs w:val="17"/>
              </w:rPr>
              <w:t>May 2027</w:t>
            </w:r>
          </w:p>
        </w:tc>
        <w:tc>
          <w:tcPr>
            <w:tcW w:type="dxa" w:w="130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Exams, so go offline</w:t>
            </w:r>
          </w:p>
        </w:tc>
        <w:tc>
          <w:tcPr>
            <w:tcW w:type="dxa" w:w="532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University exams run through May. Campus activity stops, so the wave moves to the NGO networks, the youth centres and partner-hosted info sessions, and the second challenge week runs in the governorates. Mid-wave report.</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630,000</w:t>
            </w:r>
          </w:p>
        </w:tc>
      </w:tr>
      <w:tr>
        <w:trPr>
          <w:cantSplit w:val="true"/>
        </w:trPr>
        <w:tc>
          <w:tcPr>
            <w:tcW w:type="dxa" w:w="107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Month 4</w:t>
            </w:r>
            <w:r>
              <w:rPr>
                <w:rFonts w:ascii="Plus Jakarta Sans" w:hAnsi="Plus Jakarta Sans"/>
                <w:sz w:val="17"/>
              </w:rPr>
              <w:br/>
            </w:r>
            <w:r>
              <w:rPr>
                <w:rFonts w:ascii="Plus Jakarta Sans" w:hAnsi="Plus Jakarta Sans" w:cs="Segoe UI"/>
                <w:b/>
                <w:i w:val="0"/>
                <w:color w:val="0B0E14"/>
                <w:sz w:val="17"/>
                <w:szCs w:val="17"/>
              </w:rPr>
              <w:t>June 2027</w:t>
            </w:r>
          </w:p>
        </w:tc>
        <w:tc>
          <w:tcPr>
            <w:tcW w:type="dxa" w:w="130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Summer opens</w:t>
            </w:r>
          </w:p>
        </w:tc>
        <w:tc>
          <w:tcPr>
            <w:tcW w:type="dxa" w:w="532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Exams end mid-month and summer begins, which is when young people have time to finish missions rather than start them. Completion becomes the number that matters, not registration.</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780,000</w:t>
            </w:r>
          </w:p>
        </w:tc>
      </w:tr>
      <w:tr>
        <w:trPr>
          <w:cantSplit w:val="true"/>
        </w:trPr>
        <w:tc>
          <w:tcPr>
            <w:tcW w:type="dxa" w:w="107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Month 5</w:t>
            </w:r>
            <w:r>
              <w:rPr>
                <w:rFonts w:ascii="Plus Jakarta Sans" w:hAnsi="Plus Jakarta Sans"/>
                <w:sz w:val="17"/>
              </w:rPr>
              <w:br/>
            </w:r>
            <w:r>
              <w:rPr>
                <w:rFonts w:ascii="Plus Jakarta Sans" w:hAnsi="Plus Jakarta Sans" w:cs="Segoe UI"/>
                <w:b/>
                <w:i w:val="0"/>
                <w:color w:val="0B0E14"/>
                <w:sz w:val="17"/>
                <w:szCs w:val="17"/>
              </w:rPr>
              <w:t>July 2027</w:t>
            </w:r>
          </w:p>
        </w:tc>
        <w:tc>
          <w:tcPr>
            <w:tcW w:type="dxa" w:w="130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Regional showcases</w:t>
            </w:r>
          </w:p>
        </w:tc>
        <w:tc>
          <w:tcPr>
            <w:tcW w:type="dxa" w:w="532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Six regional showcases run in parallel with the third challenge week. The first national read of the ideas bank goes to partners.</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920,000</w:t>
            </w:r>
          </w:p>
        </w:tc>
      </w:tr>
      <w:tr>
        <w:trPr>
          <w:cantSplit w:val="true"/>
        </w:trPr>
        <w:tc>
          <w:tcPr>
            <w:tcW w:type="dxa" w:w="107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Month 6</w:t>
            </w:r>
            <w:r>
              <w:rPr>
                <w:rFonts w:ascii="Plus Jakarta Sans" w:hAnsi="Plus Jakarta Sans"/>
                <w:sz w:val="17"/>
              </w:rPr>
              <w:br/>
            </w:r>
            <w:r>
              <w:rPr>
                <w:rFonts w:ascii="Plus Jakarta Sans" w:hAnsi="Plus Jakarta Sans" w:cs="Segoe UI"/>
                <w:b/>
                <w:i w:val="0"/>
                <w:color w:val="0B0E14"/>
                <w:sz w:val="17"/>
                <w:szCs w:val="17"/>
              </w:rPr>
              <w:t>August 2027</w:t>
            </w:r>
          </w:p>
        </w:tc>
        <w:tc>
          <w:tcPr>
            <w:tcW w:type="dxa" w:w="130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Demo day and close</w:t>
            </w:r>
          </w:p>
        </w:tc>
        <w:tc>
          <w:tcPr>
            <w:tcW w:type="dxa" w:w="532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national demo day, the closing report, the independent evaluation commissioned, and the decision about what comes after taken with the partners in the room.</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1,000,000</w:t>
            </w:r>
          </w:p>
        </w:tc>
      </w:tr>
    </w:tbl>
    <w:p>
      <w:pPr>
        <w:widowControl w:val="true"/>
        <w:spacing w:before="0" w:after="140" w:line="322" w:lineRule="auto"/>
      </w:pPr>
    </w:p>
    <w:p>
      <w:pPr>
        <w:widowControl w:val="true"/>
        <w:pBdr>
          <w:left w:val="single" w:sz="24" w:space="8" w:color="CBF24A"/>
        </w:pBdr>
        <w:shd w:val="clear" w:fill="F5F6F8"/>
        <w:spacing w:before="180" w:after="200" w:line="322" w:lineRule="auto"/>
        <w:ind w:left="159"/>
      </w:pPr>
      <w:r>
        <w:rPr>
          <w:rFonts w:ascii="Plus Jakarta Sans" w:hAnsi="Plus Jakarta Sans" w:cs="Segoe UI"/>
          <w:b/>
          <w:i w:val="0"/>
          <w:color w:val="3A4050"/>
          <w:sz w:val="18"/>
          <w:szCs w:val="18"/>
        </w:rPr>
        <w:t>Month three is the one to plan for, not to hope through.</w:t>
      </w:r>
      <w:r>
        <w:rPr>
          <w:rFonts w:ascii="Plus Jakarta Sans" w:hAnsi="Plus Jakarta Sans" w:cs="Segoe UI"/>
          <w:b w:val="0"/>
          <w:i w:val="0"/>
          <w:color w:val="3A4050"/>
          <w:sz w:val="18"/>
          <w:szCs w:val="18"/>
        </w:rPr>
        <w:t xml:space="preserve"> Egyptian university exams run through May and into mid-June, and campus activity stops whether or not a programme expects it. The wave moves to the NGO networks, the youth centres and partner-hosted info sessions, runs its second challenge week in the governorates, and writes the mid-wave report in the month when nobody is on a campus anyway.</w:t>
      </w:r>
    </w:p>
    <w:p>
      <w:pPr>
        <w:keepNext/>
        <w:pageBreakBefore w:val="true"/>
        <w:spacing w:before="0" w:after="20"/>
      </w:pPr>
      <w:r>
        <w:rPr>
          <w:rFonts w:ascii="Plus Jakarta Sans" w:hAnsi="Plus Jakarta Sans" w:cs="Segoe UI"/>
          <w:b/>
          <w:i w:val="0"/>
          <w:color w:val="3418E0"/>
          <w:spacing w:val="28"/>
          <w:sz w:val="16"/>
          <w:szCs w:val="16"/>
        </w:rPr>
        <w:t>SECTION 11</w:t>
      </w:r>
    </w:p>
    <w:p>
      <w:pPr>
        <w:keepNext/>
        <w:spacing w:before="40" w:after="120"/>
      </w:pPr>
      <w:r>
        <w:rPr>
          <w:rFonts w:ascii="Plus Jakarta Sans" w:hAnsi="Plus Jakarta Sans" w:cs="Segoe UI"/>
          <w:b/>
          <w:i w:val="0"/>
          <w:color w:val="0B0E14"/>
          <w:sz w:val="40"/>
          <w:szCs w:val="40"/>
        </w:rPr>
        <w:t>The arithmetic</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Every number quoted in this document is built rather than asserted. This section shows the construction, so a partner can disagree with an assumption instead of with a conclusion.</w:t>
      </w:r>
    </w:p>
    <w:p>
      <w:pPr>
        <w:keepNext/>
        <w:widowControl w:val="true"/>
        <w:spacing w:before="280" w:after="100" w:line="288" w:lineRule="auto"/>
      </w:pPr>
      <w:r>
        <w:rPr>
          <w:rFonts w:ascii="Plus Jakarta Sans" w:hAnsi="Plus Jakarta Sans" w:cs="Segoe UI"/>
          <w:b/>
          <w:i w:val="0"/>
          <w:color w:val="0B0E14"/>
          <w:sz w:val="24"/>
          <w:szCs w:val="24"/>
        </w:rPr>
        <w:t>Where the first half million comes from</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701"/>
        <w:gridCol w:w="850"/>
        <w:gridCol w:w="850"/>
        <w:gridCol w:w="1247"/>
        <w:gridCol w:w="4762"/>
      </w:tblGrid>
      <w:tr>
        <w:trPr>
          <w:tblHeader w:val="true"/>
        </w:trPr>
        <w:tc>
          <w:tcPr>
            <w:tcW w:type="dxa" w:w="170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Channel</w:t>
            </w:r>
          </w:p>
        </w:tc>
        <w:tc>
          <w:tcPr>
            <w:tcW w:type="dxa" w:w="85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How many</w:t>
            </w:r>
          </w:p>
        </w:tc>
        <w:tc>
          <w:tcPr>
            <w:tcW w:type="dxa" w:w="85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Each</w:t>
            </w:r>
          </w:p>
        </w:tc>
        <w:tc>
          <w:tcPr>
            <w:tcW w:type="dxa" w:w="124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Registrations</w:t>
            </w:r>
          </w:p>
        </w:tc>
        <w:tc>
          <w:tcPr>
            <w:tcW w:type="dxa" w:w="476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Why</w:t>
            </w:r>
          </w:p>
        </w:tc>
      </w:tr>
      <w:tr>
        <w:trPr>
          <w:cantSplit w:val="true"/>
        </w:trPr>
        <w:tc>
          <w:tcPr>
            <w:tcW w:type="dxa" w:w="17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Telecom, bank and corporate partner messaging</w:t>
            </w:r>
          </w:p>
        </w:tc>
        <w:tc>
          <w:tcPr>
            <w:tcW w:type="dxa" w:w="85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85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60,000</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180,000</w:t>
            </w:r>
          </w:p>
        </w:tc>
        <w:tc>
          <w:tcPr>
            <w:tcW w:type="dxa" w:w="476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telecom partner messaging its own base, a bank in its app, a retailer to its customers. Pure in-kind, and the largest single lever in the plan.</w:t>
            </w:r>
          </w:p>
        </w:tc>
      </w:tr>
      <w:tr>
        <w:trPr>
          <w:cantSplit w:val="true"/>
        </w:trPr>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Community supporter chapters</w:t>
            </w:r>
          </w:p>
        </w:tc>
        <w:tc>
          <w:tcPr>
            <w:tcW w:type="dxa" w:w="85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w:t>
            </w:r>
          </w:p>
        </w:tc>
        <w:tc>
          <w:tcPr>
            <w:tcW w:type="dxa" w:w="85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1,000</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150,000</w:t>
            </w:r>
          </w:p>
        </w:tc>
        <w:tc>
          <w:tcPr>
            <w:tcW w:type="dxa" w:w="476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 university and youth chapters inviting their own members. The highest converting channel, because the invitation comes from somebody the student knows.</w:t>
            </w:r>
          </w:p>
        </w:tc>
      </w:tr>
      <w:tr>
        <w:trPr>
          <w:cantSplit w:val="true"/>
        </w:trPr>
        <w:tc>
          <w:tcPr>
            <w:tcW w:type="dxa" w:w="17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Ambassadors</w:t>
            </w:r>
          </w:p>
        </w:tc>
        <w:tc>
          <w:tcPr>
            <w:tcW w:type="dxa" w:w="85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1,000</w:t>
            </w:r>
          </w:p>
        </w:tc>
        <w:tc>
          <w:tcPr>
            <w:tcW w:type="dxa" w:w="85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60,000</w:t>
            </w:r>
          </w:p>
        </w:tc>
        <w:tc>
          <w:tcPr>
            <w:tcW w:type="dxa" w:w="476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1,000 student ambassadors with a referral code, ranked publicly on a national leaderboard.</w:t>
            </w:r>
          </w:p>
        </w:tc>
      </w:tr>
      <w:tr>
        <w:trPr>
          <w:cantSplit w:val="true"/>
        </w:trPr>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 and development partner networks</w:t>
            </w:r>
          </w:p>
        </w:tc>
        <w:tc>
          <w:tcPr>
            <w:tcW w:type="dxa" w:w="85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w:t>
            </w:r>
          </w:p>
        </w:tc>
        <w:tc>
          <w:tcPr>
            <w:tcW w:type="dxa" w:w="85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3,000</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54,000</w:t>
            </w:r>
          </w:p>
        </w:tc>
        <w:tc>
          <w:tcPr>
            <w:tcW w:type="dxa" w:w="476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Branch networks, beneficiary lists and governorate programmes, mostly outside Cairo.</w:t>
            </w:r>
          </w:p>
        </w:tc>
      </w:tr>
      <w:tr>
        <w:trPr>
          <w:cantSplit w:val="true"/>
        </w:trPr>
        <w:tc>
          <w:tcPr>
            <w:tcW w:type="dxa" w:w="17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Zero, press and organic</w:t>
            </w:r>
          </w:p>
        </w:tc>
        <w:tc>
          <w:tcPr>
            <w:tcW w:type="dxa" w:w="85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85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56,000</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56,000</w:t>
            </w:r>
          </w:p>
        </w:tc>
        <w:tc>
          <w:tcPr>
            <w:tcW w:type="dxa" w:w="476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founder podcast clipped for short video, launch and showcase press, and organic traffic.</w:t>
            </w:r>
          </w:p>
        </w:tc>
      </w:tr>
      <w:tr>
        <w:trPr>
          <w:cantSplit w:val="true"/>
        </w:trPr>
        <w:tc>
          <w:tcPr>
            <w:tcW w:type="dxa" w:w="1701"/>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w:t>
            </w:r>
          </w:p>
        </w:tc>
        <w:tc>
          <w:tcPr>
            <w:tcW w:type="dxa" w:w="850"/>
            <w:shd w:val="clear" w:fill="CBF24A"/>
            <w:tcMar>
              <w:top w:w="73" w:type="dxa"/>
              <w:start w:w="90" w:type="dxa"/>
              <w:bottom w:w="73" w:type="dxa"/>
              <w:end w:w="79" w:type="dxa"/>
            </w:tcMar>
          </w:tcPr>
          <w:p>
            <w:pPr>
              <w:spacing w:after="0" w:line="288" w:lineRule="auto"/>
            </w:pPr>
          </w:p>
        </w:tc>
        <w:tc>
          <w:tcPr>
            <w:tcW w:type="dxa" w:w="850"/>
            <w:shd w:val="clear" w:fill="CBF24A"/>
            <w:tcMar>
              <w:top w:w="73" w:type="dxa"/>
              <w:start w:w="90" w:type="dxa"/>
              <w:bottom w:w="73" w:type="dxa"/>
              <w:end w:w="79" w:type="dxa"/>
            </w:tcMar>
          </w:tcPr>
          <w:p>
            <w:pPr>
              <w:spacing w:after="0" w:line="288" w:lineRule="auto"/>
            </w:pPr>
          </w:p>
        </w:tc>
        <w:tc>
          <w:tcPr>
            <w:tcW w:type="dxa" w:w="124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500,000</w:t>
            </w:r>
          </w:p>
        </w:tc>
        <w:tc>
          <w:tcPr>
            <w:tcW w:type="dxa" w:w="4762"/>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Before anybody shares anything.</w:t>
            </w:r>
          </w:p>
        </w:tc>
      </w:tr>
    </w:tbl>
    <w:p>
      <w:pPr>
        <w:widowControl w:val="true"/>
        <w:spacing w:before="0" w:after="140" w:line="322" w:lineRule="auto"/>
      </w:pPr>
    </w:p>
    <w:p>
      <w:pPr>
        <w:keepNext/>
        <w:widowControl w:val="true"/>
        <w:spacing w:before="280" w:after="100" w:line="288" w:lineRule="auto"/>
      </w:pPr>
      <w:r>
        <w:rPr>
          <w:rFonts w:ascii="Plus Jakarta Sans" w:hAnsi="Plus Jakarta Sans" w:cs="Segoe UI"/>
          <w:b/>
          <w:i w:val="0"/>
          <w:color w:val="0B0E14"/>
          <w:sz w:val="24"/>
          <w:szCs w:val="24"/>
        </w:rPr>
        <w:t>And where the other half comes from</w:t>
      </w:r>
    </w:p>
    <w:p>
      <w:pPr>
        <w:widowControl w:val="true"/>
        <w:spacing w:before="0" w:after="100" w:line="322" w:lineRule="auto"/>
      </w:pPr>
      <w:r>
        <w:rPr>
          <w:rFonts w:ascii="Plus Jakarta Sans" w:hAnsi="Plus Jakarta Sans" w:cs="Segoe UI"/>
          <w:b w:val="0"/>
          <w:i w:val="0"/>
          <w:color w:val="0B0E14"/>
          <w:sz w:val="19"/>
          <w:szCs w:val="19"/>
        </w:rPr>
        <w:t>The referral loop in Section 12. At a viral coefficient of 0.50, every registered entrepreneur brings 0.50 more across the wave, which multiplies the seed by 2.00 and gives 1,000,000 registered entrepreneurs. That coefficient is the single number most worth arguing about in this document, and Section 12 is the argument for it.</w:t>
      </w:r>
    </w:p>
    <w:p>
      <w:pPr>
        <w:keepNext/>
        <w:widowControl w:val="true"/>
        <w:spacing w:before="280" w:after="100" w:line="288" w:lineRule="auto"/>
      </w:pPr>
      <w:r>
        <w:rPr>
          <w:rFonts w:ascii="Plus Jakarta Sans" w:hAnsi="Plus Jakarta Sans" w:cs="Segoe UI"/>
          <w:b/>
          <w:i w:val="0"/>
          <w:color w:val="0B0E14"/>
          <w:sz w:val="24"/>
          <w:szCs w:val="24"/>
        </w:rPr>
        <w:t>The funnel</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381"/>
        <w:gridCol w:w="1134"/>
        <w:gridCol w:w="5896"/>
      </w:tblGrid>
      <w:tr>
        <w:trPr>
          <w:tblHeader w:val="true"/>
        </w:trPr>
        <w:tc>
          <w:tcPr>
            <w:tcW w:type="dxa" w:w="238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Stage</w:t>
            </w:r>
          </w:p>
        </w:tc>
        <w:tc>
          <w:tcPr>
            <w:tcW w:type="dxa" w:w="113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Wave 1</w:t>
            </w:r>
          </w:p>
        </w:tc>
        <w:tc>
          <w:tcPr>
            <w:tcW w:type="dxa" w:w="589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means</w:t>
            </w:r>
          </w:p>
        </w:tc>
      </w:tr>
      <w:tr>
        <w:trPr>
          <w:cantSplit w:val="true"/>
        </w:trPr>
        <w:tc>
          <w:tcPr>
            <w:tcW w:type="dxa" w:w="238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Seed registrations, from partners and chapters</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500,000</w:t>
            </w:r>
          </w:p>
        </w:tc>
        <w:tc>
          <w:tcPr>
            <w:tcW w:type="dxa" w:w="58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What the coalition's own channels produce before anybody shares anything.</w:t>
            </w:r>
          </w:p>
        </w:tc>
      </w:tr>
      <w:tr>
        <w:trPr>
          <w:cantSplit w:val="true"/>
        </w:trPr>
        <w:tc>
          <w:tcPr>
            <w:tcW w:type="dxa" w:w="238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Registered entrepreneurs</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1,000,000</w:t>
            </w:r>
          </w:p>
        </w:tc>
        <w:tc>
          <w:tcPr>
            <w:tcW w:type="dxa" w:w="58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Seed multiplied by the referral loop at a viral coefficient of 0.50. This is the million.</w:t>
            </w:r>
          </w:p>
        </w:tc>
      </w:tr>
      <w:tr>
        <w:trPr>
          <w:cantSplit w:val="true"/>
        </w:trPr>
        <w:tc>
          <w:tcPr>
            <w:tcW w:type="dxa" w:w="238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01 completed</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450,000</w:t>
            </w:r>
          </w:p>
        </w:tc>
        <w:tc>
          <w:tcPr>
            <w:tcW w:type="dxa" w:w="58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first real act of work, and the first honest number.</w:t>
            </w:r>
          </w:p>
        </w:tc>
      </w:tr>
      <w:tr>
        <w:trPr>
          <w:cantSplit w:val="true"/>
        </w:trPr>
        <w:tc>
          <w:tcPr>
            <w:tcW w:type="dxa" w:w="238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Missions 01 to 03 completed</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225,000</w:t>
            </w:r>
          </w:p>
        </w:tc>
        <w:tc>
          <w:tcPr>
            <w:tcW w:type="dxa" w:w="58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free tier finished.</w:t>
            </w:r>
          </w:p>
        </w:tc>
      </w:tr>
      <w:tr>
        <w:trPr>
          <w:cantSplit w:val="true"/>
        </w:trPr>
        <w:tc>
          <w:tcPr>
            <w:tcW w:type="dxa" w:w="238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All 15 missions completed</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27,000</w:t>
            </w:r>
          </w:p>
        </w:tc>
        <w:tc>
          <w:tcPr>
            <w:tcW w:type="dxa" w:w="58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 idea taken to a tested model, a prototype and a launch plan.</w:t>
            </w:r>
          </w:p>
        </w:tc>
      </w:tr>
      <w:tr>
        <w:trPr>
          <w:cantSplit w:val="true"/>
        </w:trPr>
        <w:tc>
          <w:tcPr>
            <w:tcW w:type="dxa" w:w="238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Ideas in the bank</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306,000</w:t>
            </w:r>
          </w:p>
        </w:tc>
        <w:tc>
          <w:tcPr>
            <w:tcW w:type="dxa" w:w="58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Consented, structured, and the asset the wave leaves behind.</w:t>
            </w:r>
          </w:p>
        </w:tc>
      </w:tr>
      <w:tr>
        <w:trPr>
          <w:cantSplit w:val="true"/>
        </w:trPr>
        <w:tc>
          <w:tcPr>
            <w:tcW w:type="dxa" w:w="238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Ventures trading at month 12</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1,620</w:t>
            </w:r>
          </w:p>
        </w:tc>
        <w:tc>
          <w:tcPr>
            <w:tcW w:type="dxa" w:w="58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Measured twelve months after the wave closes, not at the end of it.</w:t>
            </w:r>
          </w:p>
        </w:tc>
      </w:tr>
    </w:tbl>
    <w:p>
      <w:pPr>
        <w:widowControl w:val="true"/>
        <w:spacing w:before="0" w:after="140" w:line="322" w:lineRule="auto"/>
      </w:pPr>
    </w:p>
    <w:p>
      <w:pPr>
        <w:keepNext/>
        <w:widowControl w:val="true"/>
        <w:spacing w:before="280" w:after="100" w:line="288" w:lineRule="auto"/>
      </w:pPr>
      <w:r>
        <w:rPr>
          <w:rFonts w:ascii="Plus Jakarta Sans" w:hAnsi="Plus Jakarta Sans" w:cs="Segoe UI"/>
          <w:b/>
          <w:i w:val="0"/>
          <w:color w:val="0B0E14"/>
          <w:sz w:val="24"/>
          <w:szCs w:val="24"/>
        </w:rPr>
        <w:t>The rates, and why each one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608"/>
        <w:gridCol w:w="1134"/>
        <w:gridCol w:w="5670"/>
      </w:tblGrid>
      <w:tr>
        <w:trPr>
          <w:tblHeader w:val="true"/>
        </w:trPr>
        <w:tc>
          <w:tcPr>
            <w:tcW w:type="dxa" w:w="260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Rate</w:t>
            </w:r>
          </w:p>
        </w:tc>
        <w:tc>
          <w:tcPr>
            <w:tcW w:type="dxa" w:w="113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Assumed</w:t>
            </w:r>
          </w:p>
        </w:tc>
        <w:tc>
          <w:tcPr>
            <w:tcW w:type="dxa" w:w="566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Why</w:t>
            </w:r>
          </w:p>
        </w:tc>
      </w:tr>
      <w:tr>
        <w:trPr>
          <w:cantSplit w:val="true"/>
        </w:trPr>
        <w:tc>
          <w:tcPr>
            <w:tcW w:type="dxa" w:w="260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Registered to Mission 01 complete</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w:t>
            </w:r>
          </w:p>
        </w:tc>
        <w:tc>
          <w:tcPr>
            <w:tcW w:type="dxa" w:w="56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Free, online, no facilitator. Lower than a supported cohort would be, and honestly so.</w:t>
            </w:r>
          </w:p>
        </w:tc>
      </w:tr>
      <w:tr>
        <w:trPr>
          <w:cantSplit w:val="true"/>
        </w:trPr>
        <w:tc>
          <w:tcPr>
            <w:tcW w:type="dxa" w:w="260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01 to Missions 01-03 complete</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w:t>
            </w:r>
          </w:p>
        </w:tc>
        <w:tc>
          <w:tcPr>
            <w:tcW w:type="dxa" w:w="56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end of the free tier, and the point the referral unlock bites.</w:t>
            </w:r>
          </w:p>
        </w:tc>
      </w:tr>
      <w:tr>
        <w:trPr>
          <w:cantSplit w:val="true"/>
        </w:trPr>
        <w:tc>
          <w:tcPr>
            <w:tcW w:type="dxa" w:w="260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Missions 01-03 to all 15 complete</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w:t>
            </w:r>
          </w:p>
        </w:tc>
        <w:tc>
          <w:tcPr>
            <w:tcW w:type="dxa" w:w="56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Fifteen missions is real work with no facilitator standing over anyone. Twelve per cent of a very large number is still a large number.</w:t>
            </w:r>
          </w:p>
        </w:tc>
      </w:tr>
      <w:tr>
        <w:trPr>
          <w:cantSplit w:val="true"/>
        </w:trPr>
        <w:tc>
          <w:tcPr>
            <w:tcW w:type="dxa" w:w="260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Ideas entering the bank, as a share of Mission 01 completers</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68%</w:t>
            </w:r>
          </w:p>
        </w:tc>
        <w:tc>
          <w:tcPr>
            <w:tcW w:type="dxa" w:w="56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Mission 01 is where a problem becomes a stated idea.</w:t>
            </w:r>
          </w:p>
        </w:tc>
      </w:tr>
      <w:tr>
        <w:trPr>
          <w:cantSplit w:val="true"/>
        </w:trPr>
        <w:tc>
          <w:tcPr>
            <w:tcW w:type="dxa" w:w="260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Ventures trading at month 12, as a share of full completers</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56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Measured a year after the wave, and deliberately conservative because nobody held their hand.</w:t>
            </w:r>
          </w:p>
        </w:tc>
      </w:tr>
    </w:tbl>
    <w:p>
      <w:pPr>
        <w:widowControl w:val="true"/>
        <w:spacing w:before="0" w:after="140" w:line="322" w:lineRule="auto"/>
      </w:pPr>
    </w:p>
    <w:p>
      <w:pPr>
        <w:keepNext/>
        <w:widowControl w:val="true"/>
        <w:spacing w:before="280" w:after="100" w:line="288" w:lineRule="auto"/>
      </w:pPr>
      <w:r>
        <w:rPr>
          <w:rFonts w:ascii="Plus Jakarta Sans" w:hAnsi="Plus Jakarta Sans" w:cs="Segoe UI"/>
          <w:b/>
          <w:i w:val="0"/>
          <w:color w:val="0B0E14"/>
          <w:sz w:val="24"/>
          <w:szCs w:val="24"/>
        </w:rPr>
        <w:t>The budget, in six lines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4706"/>
        <w:gridCol w:w="1609"/>
        <w:gridCol w:w="2105"/>
        <w:gridCol w:w="990"/>
      </w:tblGrid>
      <w:tr>
        <w:trPr>
          <w:tblHeader w:val="true"/>
        </w:trPr>
        <w:tc>
          <w:tcPr>
            <w:tcW w:type="dxa" w:w="470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Line</w:t>
            </w:r>
          </w:p>
        </w:tc>
        <w:tc>
          <w:tcPr>
            <w:tcW w:type="dxa" w:w="161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USD</w:t>
            </w:r>
          </w:p>
        </w:tc>
        <w:tc>
          <w:tcPr>
            <w:tcW w:type="dxa" w:w="210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EGP</w:t>
            </w:r>
          </w:p>
        </w:tc>
        <w:tc>
          <w:tcPr>
            <w:tcW w:type="dxa" w:w="99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Share</w:t>
            </w:r>
          </w:p>
        </w:tc>
      </w:tr>
      <w:tr>
        <w:trPr>
          <w:cantSplit w:val="true"/>
        </w:trPr>
        <w:tc>
          <w:tcPr>
            <w:tcW w:type="dxa" w:w="4706"/>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Platform, AI review and hosting</w:t>
            </w:r>
          </w:p>
        </w:tc>
        <w:tc>
          <w:tcPr>
            <w:tcW w:type="dxa" w:w="161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$60,000</w:t>
            </w:r>
          </w:p>
        </w:tc>
        <w:tc>
          <w:tcPr>
            <w:tcW w:type="dxa" w:w="210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EGP 3,193,200</w:t>
            </w:r>
          </w:p>
        </w:tc>
        <w:tc>
          <w:tcPr>
            <w:tcW w:type="dxa" w:w="9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w:t>
            </w:r>
          </w:p>
        </w:tc>
      </w:tr>
      <w:tr>
        <w:trPr>
          <w:cantSplit w:val="true"/>
        </w:trPr>
        <w:tc>
          <w:tcPr>
            <w:tcW w:type="dxa" w:w="4706"/>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Content, webinars and the info session kit</w:t>
            </w:r>
          </w:p>
        </w:tc>
        <w:tc>
          <w:tcPr>
            <w:tcW w:type="dxa" w:w="161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$25,000</w:t>
            </w:r>
          </w:p>
        </w:tc>
        <w:tc>
          <w:tcPr>
            <w:tcW w:type="dxa" w:w="210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EGP 1,330,500</w:t>
            </w:r>
          </w:p>
        </w:tc>
        <w:tc>
          <w:tcPr>
            <w:tcW w:type="dxa" w:w="9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w:t>
            </w:r>
          </w:p>
        </w:tc>
      </w:tr>
      <w:tr>
        <w:trPr>
          <w:cantSplit w:val="true"/>
        </w:trPr>
        <w:tc>
          <w:tcPr>
            <w:tcW w:type="dxa" w:w="4706"/>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Community: ambassadors and chapters</w:t>
            </w:r>
          </w:p>
        </w:tc>
        <w:tc>
          <w:tcPr>
            <w:tcW w:type="dxa" w:w="161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$30,000</w:t>
            </w:r>
          </w:p>
        </w:tc>
        <w:tc>
          <w:tcPr>
            <w:tcW w:type="dxa" w:w="210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EGP 1,596,600</w:t>
            </w:r>
          </w:p>
        </w:tc>
        <w:tc>
          <w:tcPr>
            <w:tcW w:type="dxa" w:w="9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w:t>
            </w:r>
          </w:p>
        </w:tc>
      </w:tr>
      <w:tr>
        <w:trPr>
          <w:cantSplit w:val="true"/>
        </w:trPr>
        <w:tc>
          <w:tcPr>
            <w:tcW w:type="dxa" w:w="4706"/>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Events: launch, regional showcases, demo day</w:t>
            </w:r>
          </w:p>
        </w:tc>
        <w:tc>
          <w:tcPr>
            <w:tcW w:type="dxa" w:w="161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$35,000</w:t>
            </w:r>
          </w:p>
        </w:tc>
        <w:tc>
          <w:tcPr>
            <w:tcW w:type="dxa" w:w="210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EGP 1,862,700</w:t>
            </w:r>
          </w:p>
        </w:tc>
        <w:tc>
          <w:tcPr>
            <w:tcW w:type="dxa" w:w="9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w:t>
            </w:r>
          </w:p>
        </w:tc>
      </w:tr>
      <w:tr>
        <w:trPr>
          <w:cantSplit w:val="true"/>
        </w:trPr>
        <w:tc>
          <w:tcPr>
            <w:tcW w:type="dxa" w:w="4706"/>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Measurement, reporting and evaluation</w:t>
            </w:r>
          </w:p>
        </w:tc>
        <w:tc>
          <w:tcPr>
            <w:tcW w:type="dxa" w:w="161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$15,000</w:t>
            </w:r>
          </w:p>
        </w:tc>
        <w:tc>
          <w:tcPr>
            <w:tcW w:type="dxa" w:w="210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EGP 798,300</w:t>
            </w:r>
          </w:p>
        </w:tc>
        <w:tc>
          <w:tcPr>
            <w:tcW w:type="dxa" w:w="9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w:t>
            </w:r>
          </w:p>
        </w:tc>
      </w:tr>
      <w:tr>
        <w:trPr>
          <w:cantSplit w:val="true"/>
        </w:trPr>
        <w:tc>
          <w:tcPr>
            <w:tcW w:type="dxa" w:w="4706"/>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Programme coordination</w:t>
            </w:r>
          </w:p>
        </w:tc>
        <w:tc>
          <w:tcPr>
            <w:tcW w:type="dxa" w:w="161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$35,000</w:t>
            </w:r>
          </w:p>
        </w:tc>
        <w:tc>
          <w:tcPr>
            <w:tcW w:type="dxa" w:w="210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EGP 1,862,700</w:t>
            </w:r>
          </w:p>
        </w:tc>
        <w:tc>
          <w:tcPr>
            <w:tcW w:type="dxa" w:w="9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w:t>
            </w:r>
          </w:p>
        </w:tc>
      </w:tr>
      <w:tr>
        <w:trPr>
          <w:cantSplit w:val="true"/>
        </w:trPr>
        <w:tc>
          <w:tcPr>
            <w:tcW w:type="dxa" w:w="4706"/>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w:t>
            </w:r>
          </w:p>
        </w:tc>
        <w:tc>
          <w:tcPr>
            <w:tcW w:type="dxa" w:w="1610"/>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$200,000</w:t>
            </w:r>
          </w:p>
        </w:tc>
        <w:tc>
          <w:tcPr>
            <w:tcW w:type="dxa" w:w="2105"/>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EGP 10,644,000</w:t>
            </w:r>
          </w:p>
        </w:tc>
        <w:tc>
          <w:tcPr>
            <w:tcW w:type="dxa" w:w="991"/>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100%</w:t>
            </w:r>
          </w:p>
        </w:tc>
      </w:tr>
    </w:tbl>
    <w:p>
      <w:pPr>
        <w:widowControl w:val="true"/>
        <w:spacing w:before="0" w:after="140" w:line="322" w:lineRule="auto"/>
      </w:pPr>
    </w:p>
    <w:p>
      <w:pPr>
        <w:widowControl w:val="true"/>
        <w:spacing w:before="0" w:after="100" w:line="322" w:lineRule="auto"/>
      </w:pPr>
      <w:r>
        <w:rPr>
          <w:rFonts w:ascii="Plus Jakarta Sans" w:hAnsi="Plus Jakarta Sans" w:cs="Segoe UI"/>
          <w:b w:val="0"/>
          <w:i w:val="0"/>
          <w:color w:val="0B0E14"/>
          <w:sz w:val="19"/>
          <w:szCs w:val="19"/>
        </w:rPr>
        <w:t>Six lines, because the wave does six things: it runs a platform, it makes content and webinars, it feeds a community of ambassadors and chapters, it holds events, it measures itself, and it is coordinated by four people. There is no seventh line and no contingency dressed up as one.</w:t>
      </w:r>
    </w:p>
    <w:p>
      <w:pPr>
        <w:keepNext/>
        <w:widowControl w:val="true"/>
        <w:spacing w:before="280" w:after="100" w:line="288" w:lineRule="auto"/>
      </w:pPr>
      <w:r>
        <w:rPr>
          <w:rFonts w:ascii="Plus Jakarta Sans" w:hAnsi="Plus Jakarta Sans" w:cs="Segoe UI"/>
          <w:b/>
          <w:i w:val="0"/>
          <w:color w:val="0B0E14"/>
          <w:sz w:val="24"/>
          <w:szCs w:val="24"/>
        </w:rPr>
        <w:t>Cost per outcome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5443"/>
        <w:gridCol w:w="1701"/>
        <w:gridCol w:w="2268"/>
      </w:tblGrid>
      <w:tr>
        <w:trPr>
          <w:tblHeader w:val="true"/>
        </w:trPr>
        <w:tc>
          <w:tcPr>
            <w:tcW w:type="dxa" w:w="544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Measure</w:t>
            </w:r>
          </w:p>
        </w:tc>
        <w:tc>
          <w:tcPr>
            <w:tcW w:type="dxa" w:w="170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USD</w:t>
            </w:r>
          </w:p>
        </w:tc>
        <w:tc>
          <w:tcPr>
            <w:tcW w:type="dxa" w:w="2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EGP</w:t>
            </w:r>
          </w:p>
        </w:tc>
      </w:tr>
      <w:tr>
        <w:trPr>
          <w:cantSplit w:val="true"/>
        </w:trPr>
        <w:tc>
          <w:tcPr>
            <w:tcW w:type="dxa" w:w="544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Cost per registered entrepreneur</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$0.20</w:t>
            </w:r>
          </w:p>
        </w:tc>
        <w:tc>
          <w:tcPr>
            <w:tcW w:type="dxa" w:w="2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10.64</w:t>
            </w:r>
          </w:p>
        </w:tc>
      </w:tr>
      <w:tr>
        <w:trPr>
          <w:cantSplit w:val="true"/>
        </w:trPr>
        <w:tc>
          <w:tcPr>
            <w:tcW w:type="dxa" w:w="5443"/>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Cost per entrepreneur who finishes the free tier</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$0.89</w:t>
            </w:r>
          </w:p>
        </w:tc>
        <w:tc>
          <w:tcPr>
            <w:tcW w:type="dxa" w:w="2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47.31</w:t>
            </w:r>
          </w:p>
        </w:tc>
      </w:tr>
      <w:tr>
        <w:trPr>
          <w:cantSplit w:val="true"/>
        </w:trPr>
        <w:tc>
          <w:tcPr>
            <w:tcW w:type="dxa" w:w="544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Cost per entrepreneur who finishes all 15 missions</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$7.41</w:t>
            </w:r>
          </w:p>
        </w:tc>
        <w:tc>
          <w:tcPr>
            <w:tcW w:type="dxa" w:w="2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394.22</w:t>
            </w:r>
          </w:p>
        </w:tc>
      </w:tr>
      <w:tr>
        <w:trPr>
          <w:cantSplit w:val="true"/>
        </w:trPr>
        <w:tc>
          <w:tcPr>
            <w:tcW w:type="dxa" w:w="5443"/>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Cost per idea in the bank</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$0.65</w:t>
            </w:r>
          </w:p>
        </w:tc>
        <w:tc>
          <w:tcPr>
            <w:tcW w:type="dxa" w:w="2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34.78</w:t>
            </w:r>
          </w:p>
        </w:tc>
      </w:tr>
      <w:tr>
        <w:trPr>
          <w:cantSplit w:val="true"/>
        </w:trPr>
        <w:tc>
          <w:tcPr>
            <w:tcW w:type="dxa" w:w="544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Cost per venture trading at month 12</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$123.46</w:t>
            </w:r>
          </w:p>
        </w:tc>
        <w:tc>
          <w:tcPr>
            <w:tcW w:type="dxa" w:w="2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6,570.37</w:t>
            </w:r>
          </w:p>
        </w:tc>
      </w:tr>
    </w:tbl>
    <w:p>
      <w:pPr>
        <w:widowControl w:val="true"/>
        <w:spacing w:before="0" w:after="140" w:line="322" w:lineRule="auto"/>
      </w:pPr>
    </w:p>
    <w:p>
      <w:pPr>
        <w:widowControl w:val="true"/>
        <w:pBdr>
          <w:left w:val="single" w:sz="24" w:space="8" w:color="CBF24A"/>
        </w:pBdr>
        <w:shd w:val="clear" w:fill="F5F6F8"/>
        <w:spacing w:before="180" w:after="200" w:line="322" w:lineRule="auto"/>
        <w:ind w:left="159"/>
      </w:pPr>
      <w:r>
        <w:rPr>
          <w:rFonts w:ascii="Plus Jakarta Sans" w:hAnsi="Plus Jakarta Sans" w:cs="Segoe UI"/>
          <w:b/>
          <w:i w:val="0"/>
          <w:color w:val="3A4050"/>
          <w:sz w:val="18"/>
          <w:szCs w:val="18"/>
        </w:rPr>
        <w:t>Twenty cents a head.</w:t>
      </w:r>
      <w:r>
        <w:rPr>
          <w:rFonts w:ascii="Plus Jakarta Sans" w:hAnsi="Plus Jakarta Sans" w:cs="Segoe UI"/>
          <w:b w:val="0"/>
          <w:i w:val="0"/>
          <w:color w:val="3A4050"/>
          <w:sz w:val="18"/>
          <w:szCs w:val="18"/>
        </w:rPr>
        <w:t xml:space="preserve"> That is not a number a corporate programme can reach on its own, and it is the whole argument for a coalition. The one to compare against anything else a partner funds is $7.41 per entrepreneur who finishes all fifteen missions, because that is a person who took an idea to a tested model, a prototype and a launch plan.</w:t>
      </w:r>
    </w:p>
    <w:p>
      <w:pPr>
        <w:keepNext/>
        <w:widowControl w:val="true"/>
        <w:spacing w:before="280" w:after="100" w:line="288" w:lineRule="auto"/>
      </w:pPr>
      <w:r>
        <w:rPr>
          <w:rFonts w:ascii="Plus Jakarta Sans" w:hAnsi="Plus Jakarta Sans" w:cs="Segoe UI"/>
          <w:b/>
          <w:i w:val="0"/>
          <w:color w:val="0B0E14"/>
          <w:sz w:val="24"/>
          <w:szCs w:val="24"/>
        </w:rPr>
        <w:t>And what comes after the million</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247"/>
        <w:gridCol w:w="1927"/>
        <w:gridCol w:w="1927"/>
        <w:gridCol w:w="4309"/>
      </w:tblGrid>
      <w:tr>
        <w:trPr>
          <w:tblHeader w:val="true"/>
        </w:trPr>
        <w:tc>
          <w:tcPr>
            <w:tcW w:type="dxa" w:w="124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Wave</w:t>
            </w:r>
          </w:p>
        </w:tc>
        <w:tc>
          <w:tcPr>
            <w:tcW w:type="dxa" w:w="192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When</w:t>
            </w:r>
          </w:p>
        </w:tc>
        <w:tc>
          <w:tcPr>
            <w:tcW w:type="dxa" w:w="192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is</w:t>
            </w:r>
          </w:p>
        </w:tc>
        <w:tc>
          <w:tcPr>
            <w:tcW w:type="dxa" w:w="430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adds</w:t>
            </w:r>
          </w:p>
        </w:tc>
      </w:tr>
      <w:tr>
        <w:trPr>
          <w:cantSplit w:val="true"/>
        </w:trPr>
        <w:tc>
          <w:tcPr>
            <w:tcW w:type="dxa" w:w="124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Wave 1</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March to August 2027</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One million registered</w:t>
            </w:r>
          </w:p>
        </w:tc>
        <w:tc>
          <w:tcPr>
            <w:tcW w:type="dxa" w:w="43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wave this framework covers. Free, online, viral, funded entirely by the coalition.</w:t>
            </w:r>
          </w:p>
        </w:tc>
      </w:tr>
      <w:tr>
        <w:trPr>
          <w:cantSplit w:val="true"/>
        </w:trPr>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After the wave</w:t>
            </w:r>
          </w:p>
        </w:tc>
        <w:tc>
          <w:tcPr>
            <w:tcW w:type="dxa" w:w="19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From September 2027</w:t>
            </w:r>
          </w:p>
        </w:tc>
        <w:tc>
          <w:tcPr>
            <w:tcW w:type="dxa" w:w="19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Depth, not reach</w:t>
            </w:r>
          </w:p>
        </w:tc>
        <w:tc>
          <w:tcPr>
            <w:tcW w:type="dxa" w:w="43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question stops being how many registered and becomes how many are still building. Paid cohorts, institutional programmes and accelerator places are sold commercially to the people this wave found.</w:t>
            </w:r>
          </w:p>
        </w:tc>
      </w:tr>
      <w:tr>
        <w:trPr>
          <w:cantSplit w:val="true"/>
        </w:trPr>
        <w:tc>
          <w:tcPr>
            <w:tcW w:type="dxa" w:w="124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Wave 2</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2028</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region</w:t>
            </w:r>
          </w:p>
        </w:tc>
        <w:tc>
          <w:tcPr>
            <w:tcW w:type="dxa" w:w="43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same model, the same coalition, run across Saudi Arabia and the wider region with the content and the loops already built.</w:t>
            </w:r>
          </w:p>
        </w:tc>
      </w:tr>
    </w:tbl>
    <w:p>
      <w:pPr>
        <w:widowControl w:val="true"/>
        <w:spacing w:before="0" w:after="140" w:line="322" w:lineRule="auto"/>
      </w:pPr>
    </w:p>
    <w:p>
      <w:pPr>
        <w:keepNext/>
        <w:pageBreakBefore w:val="true"/>
        <w:spacing w:before="0" w:after="20"/>
      </w:pPr>
      <w:r>
        <w:rPr>
          <w:rFonts w:ascii="Plus Jakarta Sans" w:hAnsi="Plus Jakarta Sans" w:cs="Segoe UI"/>
          <w:b/>
          <w:i w:val="0"/>
          <w:color w:val="3418E0"/>
          <w:spacing w:val="28"/>
          <w:sz w:val="16"/>
          <w:szCs w:val="16"/>
        </w:rPr>
        <w:t>SECTION 12</w:t>
      </w:r>
    </w:p>
    <w:p>
      <w:pPr>
        <w:keepNext/>
        <w:spacing w:before="40" w:after="120"/>
      </w:pPr>
      <w:r>
        <w:rPr>
          <w:rFonts w:ascii="Plus Jakarta Sans" w:hAnsi="Plus Jakarta Sans" w:cs="Segoe UI"/>
          <w:b/>
          <w:i w:val="0"/>
          <w:color w:val="0B0E14"/>
          <w:sz w:val="40"/>
          <w:szCs w:val="40"/>
        </w:rPr>
        <w:t>How it goes viral</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A million people is not a budget line. Nobody on the invitation list has enough money to buy a million registrations in Egypt, and if they did the people bought would not finish anything. The million has to spread, and this section is how.</w:t>
      </w:r>
    </w:p>
    <w:p>
      <w:pPr>
        <w:keepNext/>
        <w:widowControl w:val="true"/>
        <w:spacing w:before="280" w:after="100" w:line="288" w:lineRule="auto"/>
      </w:pPr>
      <w:r>
        <w:rPr>
          <w:rFonts w:ascii="Plus Jakarta Sans" w:hAnsi="Plus Jakarta Sans" w:cs="Segoe UI"/>
          <w:b/>
          <w:i w:val="0"/>
          <w:color w:val="0B0E14"/>
          <w:sz w:val="24"/>
          <w:szCs w:val="24"/>
        </w:rPr>
        <w:t>Half of it is seeded, half of it is referred</w:t>
      </w:r>
    </w:p>
    <w:p>
      <w:pPr>
        <w:widowControl w:val="true"/>
        <w:spacing w:before="0" w:after="100" w:line="322" w:lineRule="auto"/>
      </w:pPr>
      <w:r>
        <w:rPr>
          <w:rFonts w:ascii="Plus Jakarta Sans" w:hAnsi="Plus Jakarta Sans" w:cs="Segoe UI"/>
          <w:b w:val="0"/>
          <w:i w:val="0"/>
          <w:color w:val="0B0E14"/>
          <w:sz w:val="19"/>
          <w:szCs w:val="19"/>
        </w:rPr>
        <w:t>500,000 registrations come from the coalition itself: a telecom partner messaging its own base, a bank in its app, 150 chapters inviting their members, 1,000 ambassadors with codes, eighteen NGO networks, and the podcast. The other 500,000 come from the people already in.</w:t>
      </w:r>
    </w:p>
    <w:tbl>
      <w:tblPr>
        <w:tblW w:type="dxa" w:w="9412"/>
        <w:jc w:val="left"/>
        <w:tblBorders>
          <w:top w:val="single" w:sz="2" w:color="FFFFFF"/>
          <w:left w:val="single" w:sz="2" w:color="FFFFFF"/>
          <w:bottom w:val="single" w:sz="2" w:color="FFFFFF"/>
          <w:right w:val="single" w:sz="2" w:color="FFFFFF"/>
          <w:insideH w:val="single" w:sz="2" w:color="FFFFFF"/>
          <w:insideV w:val="single" w:sz="2" w:color="FFFFFF"/>
        </w:tblBorders>
        <w:tblLayout w:type="fixed"/>
        <w:tblLook w:firstColumn="1" w:firstRow="1" w:lastColumn="0" w:lastRow="0" w:noHBand="0" w:noVBand="1" w:val="04A0"/>
      </w:tblPr>
      <w:tblGrid>
        <w:gridCol w:w="2353"/>
        <w:gridCol w:w="2353"/>
        <w:gridCol w:w="2353"/>
        <w:gridCol w:w="2353"/>
      </w:tblGrid>
      <w:tr>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500,000</w:t>
            </w:r>
          </w:p>
          <w:p>
            <w:pPr>
              <w:spacing w:after="0" w:line="293" w:lineRule="auto"/>
            </w:pPr>
            <w:r>
              <w:rPr>
                <w:rFonts w:ascii="Plus Jakarta Sans" w:hAnsi="Plus Jakarta Sans" w:cs="Segoe UI"/>
                <w:b w:val="0"/>
                <w:i w:val="0"/>
                <w:color w:val="3A4050"/>
                <w:sz w:val="15"/>
                <w:szCs w:val="15"/>
              </w:rPr>
              <w:t>seeded by partners</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0.50</w:t>
            </w:r>
          </w:p>
          <w:p>
            <w:pPr>
              <w:spacing w:after="0" w:line="293" w:lineRule="auto"/>
            </w:pPr>
            <w:r>
              <w:rPr>
                <w:rFonts w:ascii="Plus Jakarta Sans" w:hAnsi="Plus Jakarta Sans" w:cs="Segoe UI"/>
                <w:b w:val="0"/>
                <w:i w:val="0"/>
                <w:color w:val="3A4050"/>
                <w:sz w:val="15"/>
                <w:szCs w:val="15"/>
              </w:rPr>
              <w:t>viral coefficient</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2.00x</w:t>
            </w:r>
          </w:p>
          <w:p>
            <w:pPr>
              <w:spacing w:after="0" w:line="293" w:lineRule="auto"/>
            </w:pPr>
            <w:r>
              <w:rPr>
                <w:rFonts w:ascii="Plus Jakarta Sans" w:hAnsi="Plus Jakarta Sans" w:cs="Segoe UI"/>
                <w:b w:val="0"/>
                <w:i w:val="0"/>
                <w:color w:val="3A4050"/>
                <w:sz w:val="15"/>
                <w:szCs w:val="15"/>
              </w:rPr>
              <w:t>multiplier</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1,000,000</w:t>
            </w:r>
          </w:p>
          <w:p>
            <w:pPr>
              <w:spacing w:after="0" w:line="293" w:lineRule="auto"/>
            </w:pPr>
            <w:r>
              <w:rPr>
                <w:rFonts w:ascii="Plus Jakarta Sans" w:hAnsi="Plus Jakarta Sans" w:cs="Segoe UI"/>
                <w:b w:val="0"/>
                <w:i w:val="0"/>
                <w:color w:val="3A4050"/>
                <w:sz w:val="15"/>
                <w:szCs w:val="15"/>
              </w:rPr>
              <w:t>registered</w:t>
            </w:r>
          </w:p>
        </w:tc>
      </w:tr>
    </w:tbl>
    <w:p>
      <w:pPr>
        <w:widowControl w:val="true"/>
        <w:spacing w:before="0" w:after="160" w:line="322" w:lineRule="auto"/>
      </w:pPr>
    </w:p>
    <w:p>
      <w:pPr>
        <w:keepNext/>
        <w:widowControl w:val="true"/>
        <w:spacing w:before="280" w:after="100" w:line="288" w:lineRule="auto"/>
      </w:pPr>
      <w:r>
        <w:rPr>
          <w:rFonts w:ascii="Plus Jakarta Sans" w:hAnsi="Plus Jakarta Sans" w:cs="Segoe UI"/>
          <w:b/>
          <w:i w:val="0"/>
          <w:color w:val="0B0E14"/>
          <w:sz w:val="24"/>
          <w:szCs w:val="24"/>
        </w:rPr>
        <w:t>The nine mechanics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The first three missions are free, for everyone, forever</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No sponsor, no institution, no code. The thing that spreads has to be the thing itself, and nothing spreads that asks for a credit card on the first screen.</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Unlock by inviting</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Mission 04 opens when a founder brings two others who finish mission 01. That is the referral loop, it is built into the product rather than bolted on as a campaign, and it is where the viral coefficient comes from.</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A shareable card for every mission finished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Arabic, designed to be posted, with the founder's name and what they built. Fifteen chances for every participant to advertise the initiative to their own network.</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The chapter leaderboard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Universities ranked publicly by registrations and by completions. Student organisations will compete for a ranking harder than they will work for a fee.</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The ambassador leaderboard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1,000 ambassadors, each with a code, ranked weekly. The top fifty go to the national demo day.</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Challenge weeks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Four seven-day national challenges across the wave, each with one shareable output and a deadline. A deadline is what turns a registration into a submission.</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Governorate rivalry</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public map, updated weekly, by registrations per thousand young people. Upper Egypt against the Delta is a better growth engine than any advertising budget.</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Short video from Mission Zero</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podcast episode cut into vertical clips. Founder stories are the content that travels, and we are making it anyway.</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Partner amplification on a schedule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partner commits to a messaging calendar at signature, not when they get round to it. One telco push in week one is worth more than six months of organic.</w:t>
      </w:r>
    </w:p>
    <w:p>
      <w:pPr>
        <w:widowControl w:val="true"/>
        <w:pBdr>
          <w:left w:val="single" w:sz="24" w:space="8" w:color="CBF24A"/>
        </w:pBdr>
        <w:shd w:val="clear" w:fill="F5F6F8"/>
        <w:spacing w:before="180" w:after="200" w:line="322" w:lineRule="auto"/>
        <w:ind w:left="159"/>
      </w:pPr>
      <w:r>
        <w:rPr>
          <w:rFonts w:ascii="Plus Jakarta Sans" w:hAnsi="Plus Jakarta Sans" w:cs="Segoe UI"/>
          <w:b/>
          <w:i w:val="0"/>
          <w:color w:val="3A4050"/>
          <w:sz w:val="18"/>
          <w:szCs w:val="18"/>
        </w:rPr>
        <w:t>The loop is in the product, not in a campaign.</w:t>
      </w:r>
      <w:r>
        <w:rPr>
          <w:rFonts w:ascii="Plus Jakarta Sans" w:hAnsi="Plus Jakarta Sans" w:cs="Segoe UI"/>
          <w:b w:val="0"/>
          <w:i w:val="0"/>
          <w:color w:val="3A4050"/>
          <w:sz w:val="18"/>
          <w:szCs w:val="18"/>
        </w:rPr>
        <w:t xml:space="preserve"> Mission 04 opens when a founder brings two others who finish mission 01, and every mission finished generates a card in Arabic designed to be posted. A referral scheme bolted on at launch does not produce a coefficient like this. One built into the thing itself might, and the measurement starts in week one so the coalition knows by April rather than by August.</w:t>
      </w:r>
    </w:p>
    <w:p>
      <w:pPr>
        <w:keepNext/>
        <w:widowControl w:val="true"/>
        <w:spacing w:before="280" w:after="100" w:line="288" w:lineRule="auto"/>
      </w:pPr>
      <w:r>
        <w:rPr>
          <w:rFonts w:ascii="Plus Jakarta Sans" w:hAnsi="Plus Jakarta Sans" w:cs="Segoe UI"/>
          <w:b/>
          <w:i w:val="0"/>
          <w:color w:val="0B0E14"/>
          <w:sz w:val="24"/>
          <w:szCs w:val="24"/>
        </w:rPr>
        <w:t>What a partner has to commit to for this to work</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A messaging calendar, agreed at signature.</w:t>
      </w:r>
      <w:r>
        <w:rPr>
          <w:rFonts w:ascii="Plus Jakarta Sans" w:hAnsi="Plus Jakarta Sans" w:cs="Segoe UI"/>
          <w:b w:val="0"/>
          <w:i w:val="0"/>
          <w:color w:val="0B0E14"/>
          <w:sz w:val="19"/>
          <w:szCs w:val="19"/>
        </w:rPr>
        <w:t xml:space="preserve"> Not when somebody gets round to it. One telecom push in week one is worth more than six months of organic traffic.</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Their own channels, not just their logo.</w:t>
      </w:r>
      <w:r>
        <w:rPr>
          <w:rFonts w:ascii="Plus Jakarta Sans" w:hAnsi="Plus Jakarta Sans" w:cs="Segoe UI"/>
          <w:b w:val="0"/>
          <w:i w:val="0"/>
          <w:color w:val="0B0E14"/>
          <w:sz w:val="19"/>
          <w:szCs w:val="19"/>
        </w:rPr>
        <w:t xml:space="preserve"> The app banner, the SMS, the branch posters, the employee mail. This is the contribution that matters most and it costs the partner nothing.</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Permission to name them.</w:t>
      </w:r>
      <w:r>
        <w:rPr>
          <w:rFonts w:ascii="Plus Jakarta Sans" w:hAnsi="Plus Jakarta Sans" w:cs="Segoe UI"/>
          <w:b w:val="0"/>
          <w:i w:val="0"/>
          <w:color w:val="0B0E14"/>
          <w:sz w:val="19"/>
          <w:szCs w:val="19"/>
        </w:rPr>
        <w:t xml:space="preserve"> A coalition that cannot be named cannot be shared, and the initiative spreads on being shared.</w:t>
      </w:r>
    </w:p>
    <w:p>
      <w:pPr>
        <w:keepNext/>
        <w:pageBreakBefore w:val="true"/>
        <w:spacing w:before="0" w:after="20"/>
      </w:pPr>
      <w:r>
        <w:rPr>
          <w:rFonts w:ascii="Plus Jakarta Sans" w:hAnsi="Plus Jakarta Sans" w:cs="Segoe UI"/>
          <w:b/>
          <w:i w:val="0"/>
          <w:color w:val="3418E0"/>
          <w:spacing w:val="28"/>
          <w:sz w:val="16"/>
          <w:szCs w:val="16"/>
        </w:rPr>
        <w:t>SECTION 13</w:t>
      </w:r>
    </w:p>
    <w:p>
      <w:pPr>
        <w:keepNext/>
        <w:spacing w:before="40" w:after="120"/>
      </w:pPr>
      <w:r>
        <w:rPr>
          <w:rFonts w:ascii="Plus Jakarta Sans" w:hAnsi="Plus Jakarta Sans" w:cs="Segoe UI"/>
          <w:b/>
          <w:i w:val="0"/>
          <w:color w:val="0B0E14"/>
          <w:sz w:val="40"/>
          <w:szCs w:val="40"/>
        </w:rPr>
        <w:t>Everything that happens live</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There are no paid in-person cohorts in this wave. That is the decision that makes a million affordable, and this is what replaces them.</w:t>
      </w:r>
    </w:p>
    <w:p>
      <w:pPr>
        <w:keepNext/>
        <w:widowControl w:val="true"/>
        <w:spacing w:before="280" w:after="100" w:line="288" w:lineRule="auto"/>
      </w:pPr>
      <w:r>
        <w:rPr>
          <w:rFonts w:ascii="Plus Jakarta Sans" w:hAnsi="Plus Jakarta Sans" w:cs="Segoe UI"/>
          <w:b/>
          <w:i w:val="0"/>
          <w:color w:val="0B0E14"/>
          <w:sz w:val="24"/>
          <w:szCs w:val="24"/>
        </w:rPr>
        <w:t>Events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835"/>
        <w:gridCol w:w="1020"/>
        <w:gridCol w:w="1020"/>
        <w:gridCol w:w="1247"/>
        <w:gridCol w:w="3288"/>
      </w:tblGrid>
      <w:tr>
        <w:trPr>
          <w:tblHeader w:val="true"/>
        </w:trPr>
        <w:tc>
          <w:tcPr>
            <w:tcW w:type="dxa" w:w="283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Event</w:t>
            </w:r>
          </w:p>
        </w:tc>
        <w:tc>
          <w:tcPr>
            <w:tcW w:type="dxa" w:w="10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How many</w:t>
            </w:r>
          </w:p>
        </w:tc>
        <w:tc>
          <w:tcPr>
            <w:tcW w:type="dxa" w:w="10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Each</w:t>
            </w:r>
          </w:p>
        </w:tc>
        <w:tc>
          <w:tcPr>
            <w:tcW w:type="dxa" w:w="124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Total</w:t>
            </w:r>
          </w:p>
        </w:tc>
        <w:tc>
          <w:tcPr>
            <w:tcW w:type="dxa" w:w="328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When</w:t>
            </w:r>
          </w:p>
        </w:tc>
      </w:tr>
      <w:tr>
        <w:trPr>
          <w:cantSplit w:val="true"/>
        </w:trPr>
        <w:tc>
          <w:tcPr>
            <w:tcW w:type="dxa" w:w="283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National launch, Cairo</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$8,000</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$8,000</w:t>
            </w:r>
          </w:p>
        </w:tc>
        <w:tc>
          <w:tcPr>
            <w:tcW w:type="dxa" w:w="328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March 2027</w:t>
            </w:r>
          </w:p>
        </w:tc>
      </w:tr>
      <w:tr>
        <w:trPr>
          <w:cantSplit w:val="true"/>
        </w:trPr>
        <w:tc>
          <w:tcPr>
            <w:tcW w:type="dxa" w:w="283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Regional showcases</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$3,000</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$18,000</w:t>
            </w:r>
          </w:p>
        </w:tc>
        <w:tc>
          <w:tcPr>
            <w:tcW w:type="dxa" w:w="328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May to July 2027</w:t>
            </w:r>
          </w:p>
        </w:tc>
      </w:tr>
      <w:tr>
        <w:trPr>
          <w:cantSplit w:val="true"/>
        </w:trPr>
        <w:tc>
          <w:tcPr>
            <w:tcW w:type="dxa" w:w="283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National demo day</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$7,000</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$7,000</w:t>
            </w:r>
          </w:p>
        </w:tc>
        <w:tc>
          <w:tcPr>
            <w:tcW w:type="dxa" w:w="328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August 2027</w:t>
            </w:r>
          </w:p>
        </w:tc>
      </w:tr>
      <w:tr>
        <w:trPr>
          <w:cantSplit w:val="true"/>
        </w:trPr>
        <w:tc>
          <w:tcPr>
            <w:tcW w:type="dxa" w:w="283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Partner council meetings</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$1,200</w:t>
            </w:r>
          </w:p>
        </w:tc>
        <w:tc>
          <w:tcPr>
            <w:tcW w:type="dxa" w:w="328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Monthly</w:t>
            </w:r>
          </w:p>
        </w:tc>
      </w:tr>
      <w:tr>
        <w:trPr>
          <w:cantSplit w:val="true"/>
        </w:trPr>
        <w:tc>
          <w:tcPr>
            <w:tcW w:type="dxa" w:w="283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Judge and mentor briefings</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$800</w:t>
            </w:r>
          </w:p>
        </w:tc>
        <w:tc>
          <w:tcPr>
            <w:tcW w:type="dxa" w:w="328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Before each showcase</w:t>
            </w:r>
          </w:p>
        </w:tc>
      </w:tr>
      <w:tr>
        <w:trPr>
          <w:cantSplit w:val="true"/>
        </w:trPr>
        <w:tc>
          <w:tcPr>
            <w:tcW w:type="dxa" w:w="2835"/>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w:t>
            </w:r>
          </w:p>
        </w:tc>
        <w:tc>
          <w:tcPr>
            <w:tcW w:type="dxa" w:w="1020"/>
            <w:shd w:val="clear" w:fill="CBF24A"/>
            <w:tcMar>
              <w:top w:w="73" w:type="dxa"/>
              <w:start w:w="90" w:type="dxa"/>
              <w:bottom w:w="73" w:type="dxa"/>
              <w:end w:w="79" w:type="dxa"/>
            </w:tcMar>
          </w:tcPr>
          <w:p>
            <w:pPr>
              <w:spacing w:after="0" w:line="288" w:lineRule="auto"/>
            </w:pPr>
          </w:p>
        </w:tc>
        <w:tc>
          <w:tcPr>
            <w:tcW w:type="dxa" w:w="1020"/>
            <w:shd w:val="clear" w:fill="CBF24A"/>
            <w:tcMar>
              <w:top w:w="73" w:type="dxa"/>
              <w:start w:w="90" w:type="dxa"/>
              <w:bottom w:w="73" w:type="dxa"/>
              <w:end w:w="79" w:type="dxa"/>
            </w:tcMar>
          </w:tcPr>
          <w:p>
            <w:pPr>
              <w:spacing w:after="0" w:line="288" w:lineRule="auto"/>
            </w:pPr>
          </w:p>
        </w:tc>
        <w:tc>
          <w:tcPr>
            <w:tcW w:type="dxa" w:w="124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$35,000</w:t>
            </w:r>
          </w:p>
        </w:tc>
        <w:tc>
          <w:tcPr>
            <w:tcW w:type="dxa" w:w="328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Wave 1, March to August 2027</w:t>
            </w:r>
          </w:p>
        </w:tc>
      </w:tr>
    </w:tbl>
    <w:p>
      <w:pPr>
        <w:widowControl w:val="true"/>
        <w:spacing w:before="0" w:after="140" w:line="322" w:lineRule="auto"/>
      </w:pPr>
    </w:p>
    <w:p>
      <w:pPr>
        <w:keepNext/>
        <w:widowControl w:val="true"/>
        <w:spacing w:before="280" w:after="100" w:line="288" w:lineRule="auto"/>
      </w:pPr>
      <w:r>
        <w:rPr>
          <w:rFonts w:ascii="Plus Jakarta Sans" w:hAnsi="Plus Jakarta Sans" w:cs="Segoe UI"/>
          <w:b/>
          <w:i w:val="0"/>
          <w:color w:val="0B0E14"/>
          <w:sz w:val="24"/>
          <w:szCs w:val="24"/>
        </w:rPr>
        <w:t>Live delivery and content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835"/>
        <w:gridCol w:w="1020"/>
        <w:gridCol w:w="1020"/>
        <w:gridCol w:w="1247"/>
        <w:gridCol w:w="3288"/>
      </w:tblGrid>
      <w:tr>
        <w:trPr>
          <w:tblHeader w:val="true"/>
        </w:trPr>
        <w:tc>
          <w:tcPr>
            <w:tcW w:type="dxa" w:w="283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Item</w:t>
            </w:r>
          </w:p>
        </w:tc>
        <w:tc>
          <w:tcPr>
            <w:tcW w:type="dxa" w:w="10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How many</w:t>
            </w:r>
          </w:p>
        </w:tc>
        <w:tc>
          <w:tcPr>
            <w:tcW w:type="dxa" w:w="10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Each</w:t>
            </w:r>
          </w:p>
        </w:tc>
        <w:tc>
          <w:tcPr>
            <w:tcW w:type="dxa" w:w="124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Total</w:t>
            </w:r>
          </w:p>
        </w:tc>
        <w:tc>
          <w:tcPr>
            <w:tcW w:type="dxa" w:w="328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When</w:t>
            </w:r>
          </w:p>
        </w:tc>
      </w:tr>
      <w:tr>
        <w:trPr>
          <w:cantSplit w:val="true"/>
        </w:trPr>
        <w:tc>
          <w:tcPr>
            <w:tcW w:type="dxa" w:w="283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Live webinars in Arabic</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$500</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$12,000</w:t>
            </w:r>
          </w:p>
        </w:tc>
        <w:tc>
          <w:tcPr>
            <w:tcW w:type="dxa" w:w="328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Weekly</w:t>
            </w:r>
          </w:p>
        </w:tc>
      </w:tr>
      <w:tr>
        <w:trPr>
          <w:cantSplit w:val="true"/>
        </w:trPr>
        <w:tc>
          <w:tcPr>
            <w:tcW w:type="dxa" w:w="283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Info session kits and host training</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300</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$6,000</w:t>
            </w:r>
          </w:p>
        </w:tc>
        <w:tc>
          <w:tcPr>
            <w:tcW w:type="dxa" w:w="328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On partner request</w:t>
            </w:r>
          </w:p>
        </w:tc>
      </w:tr>
      <w:tr>
        <w:trPr>
          <w:cantSplit w:val="true"/>
        </w:trPr>
        <w:tc>
          <w:tcPr>
            <w:tcW w:type="dxa" w:w="283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localisation and production</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$7,000</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$7,000</w:t>
            </w:r>
          </w:p>
        </w:tc>
        <w:tc>
          <w:tcPr>
            <w:tcW w:type="dxa" w:w="328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Before the wave</w:t>
            </w:r>
          </w:p>
        </w:tc>
      </w:tr>
      <w:tr>
        <w:trPr>
          <w:cantSplit w:val="true"/>
        </w:trPr>
        <w:tc>
          <w:tcPr>
            <w:tcW w:type="dxa" w:w="2835"/>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w:t>
            </w:r>
          </w:p>
        </w:tc>
        <w:tc>
          <w:tcPr>
            <w:tcW w:type="dxa" w:w="1020"/>
            <w:shd w:val="clear" w:fill="CBF24A"/>
            <w:tcMar>
              <w:top w:w="73" w:type="dxa"/>
              <w:start w:w="90" w:type="dxa"/>
              <w:bottom w:w="73" w:type="dxa"/>
              <w:end w:w="79" w:type="dxa"/>
            </w:tcMar>
          </w:tcPr>
          <w:p>
            <w:pPr>
              <w:spacing w:after="0" w:line="288" w:lineRule="auto"/>
            </w:pPr>
          </w:p>
        </w:tc>
        <w:tc>
          <w:tcPr>
            <w:tcW w:type="dxa" w:w="1020"/>
            <w:shd w:val="clear" w:fill="CBF24A"/>
            <w:tcMar>
              <w:top w:w="73" w:type="dxa"/>
              <w:start w:w="90" w:type="dxa"/>
              <w:bottom w:w="73" w:type="dxa"/>
              <w:end w:w="79" w:type="dxa"/>
            </w:tcMar>
          </w:tcPr>
          <w:p>
            <w:pPr>
              <w:spacing w:after="0" w:line="288" w:lineRule="auto"/>
            </w:pPr>
          </w:p>
        </w:tc>
        <w:tc>
          <w:tcPr>
            <w:tcW w:type="dxa" w:w="124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$25,000</w:t>
            </w:r>
          </w:p>
        </w:tc>
        <w:tc>
          <w:tcPr>
            <w:tcW w:type="dxa" w:w="328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Wave 1, March to August 2027</w:t>
            </w:r>
          </w:p>
        </w:tc>
      </w:tr>
    </w:tbl>
    <w:p>
      <w:pPr>
        <w:widowControl w:val="true"/>
        <w:spacing w:before="0" w:after="140" w:line="322" w:lineRule="auto"/>
      </w:pPr>
    </w:p>
    <w:p>
      <w:pPr>
        <w:keepNext/>
        <w:widowControl w:val="true"/>
        <w:spacing w:before="280" w:after="100" w:line="288" w:lineRule="auto"/>
      </w:pPr>
      <w:r>
        <w:rPr>
          <w:rFonts w:ascii="Plus Jakarta Sans" w:hAnsi="Plus Jakarta Sans" w:cs="Segoe UI"/>
          <w:b/>
          <w:i w:val="0"/>
          <w:color w:val="0B0E14"/>
          <w:sz w:val="24"/>
          <w:szCs w:val="24"/>
        </w:rPr>
        <w:t>What each one is for</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National launch, Cairo</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coalition on stage, the patron ministries present, the press in the room, and a million-person target announced in public, which is what makes it real.</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Regional showcases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Six regions, run with the chapters and the partners who host them. Venue, judges, prizes and media.</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National demo day</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best teams in the country, travelled and accommodated, in front of the coalition and the ministries. The top fifty ambassadors come too.</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Partner council meetings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One hour, one dashboard, and the room where partners meet each other.</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Judge and mentor briefings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Sponsor staff cannot judge well without being briefed.</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Live webinars in Arabic</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One a week for the whole wave, recorded and left on the platform. A webinar serves twenty thousand people for the price of a quarter of a cohort.</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Info session kits and host training</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Offline sessions happen where a partner asks for one and hosts it: their venue, their people, our kit and our training. We pay for the kit, not for the room.</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Mission localisation and production</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fifteen missions and the review rubric, produced for an Egyptian audience rather than translated for one.</w:t>
      </w:r>
    </w:p>
    <w:p>
      <w:pPr>
        <w:widowControl w:val="true"/>
        <w:pBdr>
          <w:left w:val="single" w:sz="24" w:space="8" w:color="CBF24A"/>
        </w:pBdr>
        <w:shd w:val="clear" w:fill="F5F6F8"/>
        <w:spacing w:before="180" w:after="200" w:line="322" w:lineRule="auto"/>
        <w:ind w:left="159"/>
      </w:pPr>
      <w:r>
        <w:rPr>
          <w:rFonts w:ascii="Plus Jakarta Sans" w:hAnsi="Plus Jakarta Sans" w:cs="Segoe UI"/>
          <w:b/>
          <w:i w:val="0"/>
          <w:color w:val="3A4050"/>
          <w:sz w:val="18"/>
          <w:szCs w:val="18"/>
        </w:rPr>
        <w:t>Offline info sessions are the partners' to propose.</w:t>
      </w:r>
      <w:r>
        <w:rPr>
          <w:rFonts w:ascii="Plus Jakarta Sans" w:hAnsi="Plus Jakarta Sans" w:cs="Segoe UI"/>
          <w:b w:val="0"/>
          <w:i w:val="0"/>
          <w:color w:val="3A4050"/>
          <w:sz w:val="18"/>
          <w:szCs w:val="18"/>
        </w:rPr>
        <w:t xml:space="preserve"> 300 of them are budgeted, at $20 each, which pays for a kit and for training the host. The venue, the people and the catering come from whoever asks for the session. Three hundred of them together cost less than two in-person cohorts would have, and they reach a hundred times as many people.</w:t>
      </w:r>
    </w:p>
    <w:p>
      <w:pPr>
        <w:keepNext/>
        <w:pageBreakBefore w:val="true"/>
        <w:spacing w:before="0" w:after="20"/>
      </w:pPr>
      <w:r>
        <w:rPr>
          <w:rFonts w:ascii="Plus Jakarta Sans" w:hAnsi="Plus Jakarta Sans" w:cs="Segoe UI"/>
          <w:b/>
          <w:i w:val="0"/>
          <w:color w:val="3418E0"/>
          <w:spacing w:val="28"/>
          <w:sz w:val="16"/>
          <w:szCs w:val="16"/>
        </w:rPr>
        <w:t>SECTION 14</w:t>
      </w:r>
    </w:p>
    <w:p>
      <w:pPr>
        <w:keepNext/>
        <w:spacing w:before="40" w:after="120"/>
      </w:pPr>
      <w:r>
        <w:rPr>
          <w:rFonts w:ascii="Plus Jakarta Sans" w:hAnsi="Plus Jakarta Sans" w:cs="Segoe UI"/>
          <w:b/>
          <w:i w:val="0"/>
          <w:color w:val="0B0E14"/>
          <w:sz w:val="40"/>
          <w:szCs w:val="40"/>
        </w:rPr>
        <w:t>What StartPad gets back</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A partner is entitled to ask what the company running this gets out of it, and a framework that does not answer invites the worst assumption. The answer is that StartPad puts in no cash and takes no margin, and the return is somewhere else.</w:t>
      </w:r>
    </w:p>
    <w:p>
      <w:pPr>
        <w:keepNext/>
        <w:widowControl w:val="true"/>
        <w:spacing w:before="280" w:after="100" w:line="288" w:lineRule="auto"/>
      </w:pPr>
      <w:r>
        <w:rPr>
          <w:rFonts w:ascii="Plus Jakarta Sans" w:hAnsi="Plus Jakarta Sans" w:cs="Segoe UI"/>
          <w:b/>
          <w:i w:val="0"/>
          <w:color w:val="0B0E14"/>
          <w:sz w:val="24"/>
          <w:szCs w:val="24"/>
        </w:rPr>
        <w:t>No cash in, no margin out</w:t>
      </w:r>
    </w:p>
    <w:p>
      <w:pPr>
        <w:widowControl w:val="true"/>
        <w:spacing w:before="0" w:after="100" w:line="322" w:lineRule="auto"/>
      </w:pPr>
      <w:r>
        <w:rPr>
          <w:rFonts w:ascii="Plus Jakarta Sans" w:hAnsi="Plus Jakarta Sans" w:cs="Segoe UI"/>
          <w:b w:val="0"/>
          <w:i w:val="0"/>
          <w:color w:val="0B0E14"/>
          <w:sz w:val="19"/>
          <w:szCs w:val="19"/>
        </w:rPr>
        <w:t>The budget in Section 11 is $200,000 and the coalition raises $200,000. There is no line in it for StartPad, no management fee beyond the four people who run the programme at Egyptian salaries, and no surplus at any level of fill. If the coalition raises more than the budget, the extra goes to ambassadors and reach.</w:t>
      </w:r>
    </w:p>
    <w:p>
      <w:pPr>
        <w:keepNext/>
        <w:widowControl w:val="true"/>
        <w:spacing w:before="280" w:after="100" w:line="288" w:lineRule="auto"/>
      </w:pPr>
      <w:r>
        <w:rPr>
          <w:rFonts w:ascii="Plus Jakarta Sans" w:hAnsi="Plus Jakarta Sans" w:cs="Segoe UI"/>
          <w:b/>
          <w:i w:val="0"/>
          <w:color w:val="0B0E14"/>
          <w:sz w:val="24"/>
          <w:szCs w:val="24"/>
        </w:rPr>
        <w:t>What the company contributes instead</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The platform</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Built, running and paid for. The initiative funds hosting and inference at a million-account scale, not the product.</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The fifteen missions and the review rubric</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Four years of curriculum work, contributed. The initiative funds localisation and production, not the method.</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The team's time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Already on the payroll in the financial model. No part of the founders' or the engineers' salaries is charged to the coalition.</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The brand and the coalition work</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Five months of approaches and memoranda before any money arrives, carried by the company because sponsorship cannot be spent before it is raised.</w:t>
      </w:r>
    </w:p>
    <w:p>
      <w:pPr>
        <w:keepNext/>
        <w:widowControl w:val="true"/>
        <w:spacing w:before="280" w:after="100" w:line="288" w:lineRule="auto"/>
      </w:pPr>
      <w:r>
        <w:rPr>
          <w:rFonts w:ascii="Plus Jakarta Sans" w:hAnsi="Plus Jakarta Sans" w:cs="Segoe UI"/>
          <w:b/>
          <w:i w:val="0"/>
          <w:color w:val="0B0E14"/>
          <w:sz w:val="24"/>
          <w:szCs w:val="24"/>
        </w:rPr>
        <w:t>What comes back in the twelve months after the wave</w:t>
      </w:r>
    </w:p>
    <w:p>
      <w:pPr>
        <w:widowControl w:val="true"/>
        <w:spacing w:before="0" w:after="100" w:line="322" w:lineRule="auto"/>
      </w:pPr>
      <w:r>
        <w:rPr>
          <w:rFonts w:ascii="Plus Jakarta Sans" w:hAnsi="Plus Jakarta Sans" w:cs="Segoe UI"/>
          <w:b w:val="0"/>
          <w:i w:val="0"/>
          <w:color w:val="0B0E14"/>
          <w:sz w:val="19"/>
          <w:szCs w:val="19"/>
        </w:rPr>
        <w:t>Priced at the financial model's own prices, so a reader with both documents cannot find two different numbers for the same product.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175"/>
        <w:gridCol w:w="1247"/>
        <w:gridCol w:w="4989"/>
      </w:tblGrid>
      <w:tr>
        <w:trPr>
          <w:tblHeader w:val="true"/>
        </w:trPr>
        <w:tc>
          <w:tcPr>
            <w:tcW w:type="dxa" w:w="317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Line</w:t>
            </w:r>
          </w:p>
        </w:tc>
        <w:tc>
          <w:tcPr>
            <w:tcW w:type="dxa" w:w="124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USD</w:t>
            </w:r>
          </w:p>
        </w:tc>
        <w:tc>
          <w:tcPr>
            <w:tcW w:type="dxa" w:w="498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How it is counted</w:t>
            </w:r>
          </w:p>
        </w:tc>
      </w:tr>
      <w:tr>
        <w:trPr>
          <w:cantSplit w:val="true"/>
        </w:trPr>
        <w:tc>
          <w:tcPr>
            <w:tcW w:type="dxa" w:w="317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 subscriptions from 225,000 free-tier completers</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$67,500</w:t>
            </w:r>
          </w:p>
        </w:tc>
        <w:tc>
          <w:tcPr>
            <w:tcW w:type="dxa" w:w="498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4,500 subscriptions at $15</w:t>
            </w:r>
          </w:p>
        </w:tc>
      </w:tr>
      <w:tr>
        <w:trPr>
          <w:cantSplit w:val="true"/>
        </w:trPr>
        <w:tc>
          <w:tcPr>
            <w:tcW w:type="dxa" w:w="317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Commercial programmes sold to info session hosts</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$16,800</w:t>
            </w:r>
          </w:p>
        </w:tc>
        <w:tc>
          <w:tcPr>
            <w:tcW w:type="dxa" w:w="498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 programmes at $3,500</w:t>
            </w:r>
          </w:p>
        </w:tc>
      </w:tr>
      <w:tr>
        <w:trPr>
          <w:cantSplit w:val="true"/>
        </w:trPr>
        <w:tc>
          <w:tcPr>
            <w:tcW w:type="dxa" w:w="317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Corporate and CSR programmes from sponsors</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$32,640</w:t>
            </w:r>
          </w:p>
        </w:tc>
        <w:tc>
          <w:tcPr>
            <w:tcW w:type="dxa" w:w="498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 programmes at $12,000</w:t>
            </w:r>
          </w:p>
        </w:tc>
      </w:tr>
      <w:tr>
        <w:trPr>
          <w:cantSplit w:val="true"/>
        </w:trPr>
        <w:tc>
          <w:tcPr>
            <w:tcW w:type="dxa" w:w="317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 and donor programmes won on the evidence base</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$17,280</w:t>
            </w:r>
          </w:p>
        </w:tc>
        <w:tc>
          <w:tcPr>
            <w:tcW w:type="dxa" w:w="498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 programme at $12,000</w:t>
            </w:r>
          </w:p>
        </w:tc>
      </w:tr>
      <w:tr>
        <w:trPr>
          <w:cantSplit w:val="true"/>
        </w:trPr>
        <w:tc>
          <w:tcPr>
            <w:tcW w:type="dxa" w:w="3175"/>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w:t>
            </w:r>
          </w:p>
        </w:tc>
        <w:tc>
          <w:tcPr>
            <w:tcW w:type="dxa" w:w="124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$134,220</w:t>
            </w:r>
          </w:p>
        </w:tc>
        <w:tc>
          <w:tcPr>
            <w:tcW w:type="dxa" w:w="4989"/>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Twelve months after the wave closes</w:t>
            </w:r>
          </w:p>
        </w:tc>
      </w:tr>
    </w:tbl>
    <w:p>
      <w:pPr>
        <w:widowControl w:val="true"/>
        <w:spacing w:before="0" w:after="140" w:line="322" w:lineRule="auto"/>
      </w:pPr>
    </w:p>
    <w:tbl>
      <w:tblPr>
        <w:tblW w:type="dxa" w:w="9412"/>
        <w:jc w:val="left"/>
        <w:tblBorders>
          <w:top w:val="single" w:sz="2" w:color="FFFFFF"/>
          <w:left w:val="single" w:sz="2" w:color="FFFFFF"/>
          <w:bottom w:val="single" w:sz="2" w:color="FFFFFF"/>
          <w:right w:val="single" w:sz="2" w:color="FFFFFF"/>
          <w:insideH w:val="single" w:sz="2" w:color="FFFFFF"/>
          <w:insideV w:val="single" w:sz="2" w:color="FFFFFF"/>
        </w:tblBorders>
        <w:tblLayout w:type="fixed"/>
        <w:tblLook w:firstColumn="1" w:firstRow="1" w:lastColumn="0" w:lastRow="0" w:noHBand="0" w:noVBand="1" w:val="04A0"/>
      </w:tblPr>
      <w:tblGrid>
        <w:gridCol w:w="2353"/>
        <w:gridCol w:w="2353"/>
        <w:gridCol w:w="2353"/>
        <w:gridCol w:w="2353"/>
      </w:tblGrid>
      <w:tr>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$0</w:t>
            </w:r>
          </w:p>
          <w:p>
            <w:pPr>
              <w:spacing w:after="0" w:line="293" w:lineRule="auto"/>
            </w:pPr>
            <w:r>
              <w:rPr>
                <w:rFonts w:ascii="Plus Jakarta Sans" w:hAnsi="Plus Jakarta Sans" w:cs="Segoe UI"/>
                <w:b w:val="0"/>
                <w:i w:val="0"/>
                <w:color w:val="3A4050"/>
                <w:sz w:val="15"/>
                <w:szCs w:val="15"/>
              </w:rPr>
              <w:t>of StartPad cash in</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$0</w:t>
            </w:r>
          </w:p>
          <w:p>
            <w:pPr>
              <w:spacing w:after="0" w:line="293" w:lineRule="auto"/>
            </w:pPr>
            <w:r>
              <w:rPr>
                <w:rFonts w:ascii="Plus Jakarta Sans" w:hAnsi="Plus Jakarta Sans" w:cs="Segoe UI"/>
                <w:b w:val="0"/>
                <w:i w:val="0"/>
                <w:color w:val="3A4050"/>
                <w:sz w:val="15"/>
                <w:szCs w:val="15"/>
              </w:rPr>
              <w:t>margin taken</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$134,220</w:t>
            </w:r>
          </w:p>
          <w:p>
            <w:pPr>
              <w:spacing w:after="0" w:line="293" w:lineRule="auto"/>
            </w:pPr>
            <w:r>
              <w:rPr>
                <w:rFonts w:ascii="Plus Jakarta Sans" w:hAnsi="Plus Jakarta Sans" w:cs="Segoe UI"/>
                <w:b w:val="0"/>
                <w:i w:val="0"/>
                <w:color w:val="3A4050"/>
                <w:sz w:val="15"/>
                <w:szCs w:val="15"/>
              </w:rPr>
              <w:t>commercial revenue in the 12 months after</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6"/>
                <w:szCs w:val="36"/>
              </w:rPr>
              <w:t>1,000,000</w:t>
            </w:r>
          </w:p>
          <w:p>
            <w:pPr>
              <w:spacing w:after="0" w:line="293" w:lineRule="auto"/>
            </w:pPr>
            <w:r>
              <w:rPr>
                <w:rFonts w:ascii="Plus Jakarta Sans" w:hAnsi="Plus Jakarta Sans" w:cs="Segoe UI"/>
                <w:b w:val="0"/>
                <w:i w:val="0"/>
                <w:color w:val="3A4050"/>
                <w:sz w:val="15"/>
                <w:szCs w:val="15"/>
              </w:rPr>
              <w:t>entrepreneurs the company now knows</w:t>
            </w:r>
          </w:p>
        </w:tc>
      </w:tr>
    </w:tbl>
    <w:p>
      <w:pPr>
        <w:widowControl w:val="true"/>
        <w:spacing w:before="0" w:after="160" w:line="322" w:lineRule="auto"/>
      </w:pPr>
    </w:p>
    <w:p>
      <w:pPr>
        <w:keepNext/>
        <w:widowControl w:val="true"/>
        <w:spacing w:before="280" w:after="100" w:line="288" w:lineRule="auto"/>
      </w:pPr>
      <w:r>
        <w:rPr>
          <w:rFonts w:ascii="Plus Jakarta Sans" w:hAnsi="Plus Jakarta Sans" w:cs="Segoe UI"/>
          <w:b/>
          <w:i w:val="0"/>
          <w:color w:val="0B0E14"/>
          <w:sz w:val="24"/>
          <w:szCs w:val="24"/>
        </w:rPr>
        <w:t>And what is not in that number</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1,000,000 registered entrepreneurs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direct engine's entire addressable base, several times over, acquired at $0.20 a head with somebody else's money.</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306,000 consented ideas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ideas bank and the direction report. No competitor in Egypt has a sample remotely like it, and it is the basis of the company's own incubation product as well as a partner benefit.</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A referral loop that has been run at national scale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viral mechanics in Section 12 either work or they do not, and after this wave the company will know, with a measured coefficient, which is worth more than the wave itself.</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A coalition of national partners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Fifteen to twenty organisations that have worked with the company for six months and have seen its reporting.</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An audited delivery record at national scale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What makes donor and ministry procurement possible, and what a young company cannot otherwise buy.</w:t>
      </w:r>
    </w:p>
    <w:p>
      <w:pPr>
        <w:widowControl w:val="true"/>
        <w:pBdr>
          <w:left w:val="single" w:sz="24" w:space="8" w:color="CBF24A"/>
        </w:pBdr>
        <w:shd w:val="clear" w:fill="F5F6F8"/>
        <w:spacing w:before="180" w:after="200" w:line="322" w:lineRule="auto"/>
        <w:ind w:left="159"/>
      </w:pPr>
      <w:r>
        <w:rPr>
          <w:rFonts w:ascii="Plus Jakarta Sans" w:hAnsi="Plus Jakarta Sans" w:cs="Segoe UI"/>
          <w:b/>
          <w:i w:val="0"/>
          <w:color w:val="3A4050"/>
          <w:sz w:val="18"/>
          <w:szCs w:val="18"/>
        </w:rPr>
        <w:t>Why this is in a document sent to sponsors.</w:t>
      </w:r>
      <w:r>
        <w:rPr>
          <w:rFonts w:ascii="Plus Jakarta Sans" w:hAnsi="Plus Jakarta Sans" w:cs="Segoe UI"/>
          <w:b w:val="0"/>
          <w:i w:val="0"/>
          <w:color w:val="3A4050"/>
          <w:sz w:val="18"/>
          <w:szCs w:val="18"/>
        </w:rPr>
        <w:t xml:space="preserve"> Because a partner who discovers it later will assume the worst version of it, and because the return being real is what makes the initiative durable. A programme the operator loses money on for six months is a campaign. A programme that builds the operator's capability while it serves the partners' purpose is an institution, and it will still be running in 2029.</w:t>
      </w:r>
    </w:p>
    <w:p>
      <w:pPr>
        <w:keepNext/>
        <w:pageBreakBefore w:val="true"/>
        <w:spacing w:before="0" w:after="20"/>
      </w:pPr>
      <w:r>
        <w:rPr>
          <w:rFonts w:ascii="Plus Jakarta Sans" w:hAnsi="Plus Jakarta Sans" w:cs="Segoe UI"/>
          <w:b/>
          <w:i w:val="0"/>
          <w:color w:val="3418E0"/>
          <w:spacing w:val="28"/>
          <w:sz w:val="16"/>
          <w:szCs w:val="16"/>
        </w:rPr>
        <w:t>SECTION 15</w:t>
      </w:r>
    </w:p>
    <w:p>
      <w:pPr>
        <w:keepNext/>
        <w:spacing w:before="40" w:after="120"/>
      </w:pPr>
      <w:r>
        <w:rPr>
          <w:rFonts w:ascii="Plus Jakarta Sans" w:hAnsi="Plus Jakarta Sans" w:cs="Segoe UI"/>
          <w:b/>
          <w:i w:val="0"/>
          <w:color w:val="0B0E14"/>
          <w:sz w:val="40"/>
          <w:szCs w:val="40"/>
        </w:rPr>
        <w:t>Governance, measurement and risk</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A coalition of twenty organisations needs to know who decides what, who is accountable when something fails, and what it will be told and when. This section is what a partner is signing into.</w:t>
      </w:r>
    </w:p>
    <w:p>
      <w:pPr>
        <w:keepNext/>
        <w:widowControl w:val="true"/>
        <w:spacing w:before="280" w:after="100" w:line="288" w:lineRule="auto"/>
      </w:pPr>
      <w:r>
        <w:rPr>
          <w:rFonts w:ascii="Plus Jakarta Sans" w:hAnsi="Plus Jakarta Sans" w:cs="Segoe UI"/>
          <w:b/>
          <w:i w:val="0"/>
          <w:color w:val="0B0E14"/>
          <w:sz w:val="24"/>
          <w:szCs w:val="24"/>
        </w:rPr>
        <w:t>Who decides what</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Steering committee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Founding Partners, StartPad, and an observer from each patron ministry. Meets at month zero, three and six. Sets the governorate plan, approves the national report, and decides the extension.</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Partner council</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partner at every tier, plus the community supporter leads. Monthly, one hour, one dashboard. This is also where partners meet each other, which several of them will value more than the reporting.</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Community council</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chapter and youth foundation leads, monthly, run by them rather than by us. It owns the charter, the chapter league table and the showcase selection rules.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Delivery</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StartPad is accountable for the platform, the content, the webinars and the measurement. One organisation is accountable so that when something fails there is no argument about whose it was.</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Safeguarding lead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named person, with a written policy, a reporting route and vetting for everyone who works with under-18s. Non-negotiable, and the first thing a serious partner will ask for.</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Data protection lead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named person accountable for consent, the ideas bank rules, retention and the Egyptian data protection law. Partners receive the policy before they sign, not after.</w:t>
      </w:r>
    </w:p>
    <w:p>
      <w:pPr>
        <w:keepNext/>
        <w:widowControl w:val="true"/>
        <w:pBdr>
          <w:left w:val="single" w:sz="18" w:space="8" w:color="3418E0"/>
        </w:pBdr>
        <w:spacing w:before="180" w:after="40" w:line="322" w:lineRule="auto"/>
        <w:ind w:left="170"/>
      </w:pPr>
      <w:r>
        <w:rPr>
          <w:rFonts w:ascii="Plus Jakarta Sans" w:hAnsi="Plus Jakarta Sans" w:cs="Segoe UI"/>
          <w:b/>
          <w:i w:val="0"/>
          <w:color w:val="0B0E14"/>
          <w:sz w:val="20"/>
          <w:szCs w:val="20"/>
        </w:rPr>
        <w:t>Independent evaluation</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Commissioned at month six from an evaluator the steering committee chooses and StartPad does not, and published whatever it says.</w:t>
      </w:r>
    </w:p>
    <w:p>
      <w:pPr>
        <w:keepNext/>
        <w:widowControl w:val="true"/>
        <w:spacing w:before="280" w:after="100" w:line="288" w:lineRule="auto"/>
      </w:pPr>
      <w:r>
        <w:rPr>
          <w:rFonts w:ascii="Plus Jakarta Sans" w:hAnsi="Plus Jakarta Sans" w:cs="Segoe UI"/>
          <w:b/>
          <w:i w:val="0"/>
          <w:color w:val="0B0E14"/>
          <w:sz w:val="24"/>
          <w:szCs w:val="24"/>
        </w:rPr>
        <w:t>What gets measured, and when partners see it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701"/>
        <w:gridCol w:w="1247"/>
        <w:gridCol w:w="1360"/>
        <w:gridCol w:w="5103"/>
      </w:tblGrid>
      <w:tr>
        <w:trPr>
          <w:tblHeader w:val="true"/>
        </w:trPr>
        <w:tc>
          <w:tcPr>
            <w:tcW w:type="dxa" w:w="170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w:t>
            </w:r>
          </w:p>
        </w:tc>
        <w:tc>
          <w:tcPr>
            <w:tcW w:type="dxa" w:w="124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How often</w:t>
            </w:r>
          </w:p>
        </w:tc>
        <w:tc>
          <w:tcPr>
            <w:tcW w:type="dxa" w:w="136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Where</w:t>
            </w:r>
          </w:p>
        </w:tc>
        <w:tc>
          <w:tcPr>
            <w:tcW w:type="dxa" w:w="510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Detail</w:t>
            </w:r>
          </w:p>
        </w:tc>
      </w:tr>
      <w:tr>
        <w:trPr>
          <w:cantSplit w:val="true"/>
        </w:trPr>
        <w:tc>
          <w:tcPr>
            <w:tcW w:type="dxa" w:w="17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Reach and registration</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Weekly</w:t>
            </w:r>
          </w:p>
        </w:tc>
        <w:tc>
          <w:tcPr>
            <w:tcW w:type="dxa" w:w="13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Dashboard</w:t>
            </w:r>
          </w:p>
        </w:tc>
        <w:tc>
          <w:tcPr>
            <w:tcW w:type="dxa" w:w="51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By channel, by partner, by governorate. Every partner sees their own line and the national total.</w:t>
            </w:r>
          </w:p>
        </w:tc>
      </w:tr>
      <w:tr>
        <w:trPr>
          <w:cantSplit w:val="true"/>
        </w:trPr>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Completion</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Weekly</w:t>
            </w:r>
          </w:p>
        </w:tc>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Dashboard</w:t>
            </w:r>
          </w:p>
        </w:tc>
        <w:tc>
          <w:tcPr>
            <w:tcW w:type="dxa" w:w="510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Mission 01, missions 01 to 03, and full journeys. Disaggregated by sex, age band, governorate and whether the participant is a student, a graduate or already trading.</w:t>
            </w:r>
          </w:p>
        </w:tc>
      </w:tr>
      <w:tr>
        <w:trPr>
          <w:cantSplit w:val="true"/>
        </w:trPr>
        <w:tc>
          <w:tcPr>
            <w:tcW w:type="dxa" w:w="17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Webinar and session reach</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Per event</w:t>
            </w:r>
          </w:p>
        </w:tc>
        <w:tc>
          <w:tcPr>
            <w:tcW w:type="dxa" w:w="13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Event report</w:t>
            </w:r>
          </w:p>
        </w:tc>
        <w:tc>
          <w:tcPr>
            <w:tcW w:type="dxa" w:w="51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Attendance, completion of the mission it supported, and the rating. A partner hosting a session keeps this one.</w:t>
            </w:r>
          </w:p>
        </w:tc>
      </w:tr>
      <w:tr>
        <w:trPr>
          <w:cantSplit w:val="true"/>
        </w:trPr>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Direction report</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Quarterly</w:t>
            </w:r>
          </w:p>
        </w:tc>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Report to partners</w:t>
            </w:r>
          </w:p>
        </w:tc>
        <w:tc>
          <w:tcPr>
            <w:tcW w:type="dxa" w:w="510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What participants are building, by sector, governorate, gender, age and stage. Partners receive it before publication.</w:t>
            </w:r>
          </w:p>
        </w:tc>
      </w:tr>
      <w:tr>
        <w:trPr>
          <w:cantSplit w:val="true"/>
        </w:trPr>
        <w:tc>
          <w:tcPr>
            <w:tcW w:type="dxa" w:w="17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Ventures formed</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Month 6, month 12, month 18</w:t>
            </w:r>
          </w:p>
        </w:tc>
        <w:tc>
          <w:tcPr>
            <w:tcW w:type="dxa" w:w="13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Follow-up survey</w:t>
            </w:r>
          </w:p>
        </w:tc>
        <w:tc>
          <w:tcPr>
            <w:tcW w:type="dxa" w:w="51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Registered, trading, employing, or funded. Measured after the wave closes, because measuring at the end of a programme measures enthusiasm.</w:t>
            </w:r>
          </w:p>
        </w:tc>
      </w:tr>
      <w:tr>
        <w:trPr>
          <w:cantSplit w:val="true"/>
        </w:trPr>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Cost per outcome</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Month 6 and month 12</w:t>
            </w:r>
          </w:p>
        </w:tc>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Closing report</w:t>
            </w:r>
          </w:p>
        </w:tc>
        <w:tc>
          <w:tcPr>
            <w:tcW w:type="dxa" w:w="510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Per registered entrepreneur, per free-tier completer, per full fifteen-mission completer and per venture trading. Published with the assumptions next to them.</w:t>
            </w:r>
          </w:p>
        </w:tc>
      </w:tr>
      <w:tr>
        <w:trPr>
          <w:cantSplit w:val="true"/>
        </w:trPr>
        <w:tc>
          <w:tcPr>
            <w:tcW w:type="dxa" w:w="17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SDG mapping</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Month 6</w:t>
            </w:r>
          </w:p>
        </w:tc>
        <w:tc>
          <w:tcPr>
            <w:tcW w:type="dxa" w:w="13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Closing report</w:t>
            </w:r>
          </w:p>
        </w:tc>
        <w:tc>
          <w:tcPr>
            <w:tcW w:type="dxa" w:w="51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SDG 4 quality education, 5 gender equality, 8 decent work and economic growth, 9 industry innovation and infrastructure, 10 reduced inequalities, with the indicator each claim rests on.</w:t>
            </w:r>
          </w:p>
        </w:tc>
      </w:tr>
    </w:tbl>
    <w:p>
      <w:pPr>
        <w:widowControl w:val="true"/>
        <w:spacing w:before="0" w:after="140" w:line="322" w:lineRule="auto"/>
      </w:pPr>
    </w:p>
    <w:p>
      <w:pPr>
        <w:keepNext/>
        <w:widowControl w:val="true"/>
        <w:spacing w:before="280" w:after="100" w:line="288" w:lineRule="auto"/>
      </w:pPr>
      <w:r>
        <w:rPr>
          <w:rFonts w:ascii="Plus Jakarta Sans" w:hAnsi="Plus Jakarta Sans" w:cs="Segoe UI"/>
          <w:b/>
          <w:i w:val="0"/>
          <w:color w:val="0B0E14"/>
          <w:sz w:val="24"/>
          <w:szCs w:val="24"/>
        </w:rPr>
        <w:t>What could go wrong</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154"/>
        <w:gridCol w:w="5896"/>
        <w:gridCol w:w="1360"/>
      </w:tblGrid>
      <w:tr>
        <w:trPr>
          <w:tblHeader w:val="true"/>
        </w:trPr>
        <w:tc>
          <w:tcPr>
            <w:tcW w:type="dxa" w:w="215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Risk</w:t>
            </w:r>
          </w:p>
        </w:tc>
        <w:tc>
          <w:tcPr>
            <w:tcW w:type="dxa" w:w="589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How it is handled</w:t>
            </w:r>
          </w:p>
        </w:tc>
        <w:tc>
          <w:tcPr>
            <w:tcW w:type="dxa" w:w="136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Status</w:t>
            </w:r>
          </w:p>
        </w:tc>
      </w:tr>
      <w:tr>
        <w:trPr>
          <w:cantSplit w:val="true"/>
        </w:trPr>
        <w:tc>
          <w:tcPr>
            <w:tcW w:type="dxa" w:w="215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The referral loop does not fire</w:t>
            </w:r>
          </w:p>
        </w:tc>
        <w:tc>
          <w:tcPr>
            <w:tcW w:type="dxa" w:w="58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single largest risk in the plan. If the viral coefficient comes in at 0.25 rather than 0.50, the wave reaches 667,000 rather than a million. Mitigated by building the loop into the product rather than running it as a campaign, by measuring it weekly from day one, and by having the partner messaging calendars committed at signature so there is a second engine.</w:t>
            </w:r>
          </w:p>
        </w:tc>
        <w:tc>
          <w:tcPr>
            <w:tcW w:type="dxa" w:w="13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Measured weekly</w:t>
            </w:r>
          </w:p>
        </w:tc>
      </w:tr>
      <w:tr>
        <w:trPr>
          <w:cantSplit w:val="true"/>
        </w:trPr>
        <w:tc>
          <w:tcPr>
            <w:tcW w:type="dxa" w:w="215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The coalition does not fill</w:t>
            </w:r>
          </w:p>
        </w:tc>
        <w:tc>
          <w:tcPr>
            <w:tcW w:type="dxa" w:w="58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capped tiers raise $250,000 and the wave needs $200,000, so there is headroom for four or five refusals. Below $140,000 the events and the ambassador programme shrink before anything that touches a participant does.</w:t>
            </w:r>
          </w:p>
        </w:tc>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Planned for</w:t>
            </w:r>
          </w:p>
        </w:tc>
      </w:tr>
      <w:tr>
        <w:trPr>
          <w:cantSplit w:val="true"/>
        </w:trPr>
        <w:tc>
          <w:tcPr>
            <w:tcW w:type="dxa" w:w="215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Registration without completion</w:t>
            </w:r>
          </w:p>
        </w:tc>
        <w:tc>
          <w:tcPr>
            <w:tcW w:type="dxa" w:w="58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commonest failure in free digital programmes, and the honest expectation here: 45 per cent finish mission 01. Mitigated by challenge weeks with deadlines, by the shareable card after every mission, and by publishing the completion rate rather than the registration number as the headline.</w:t>
            </w:r>
          </w:p>
        </w:tc>
        <w:tc>
          <w:tcPr>
            <w:tcW w:type="dxa" w:w="13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Mitigated</w:t>
            </w:r>
          </w:p>
        </w:tc>
      </w:tr>
      <w:tr>
        <w:trPr>
          <w:cantSplit w:val="true"/>
        </w:trPr>
        <w:tc>
          <w:tcPr>
            <w:tcW w:type="dxa" w:w="215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Platform load</w:t>
            </w:r>
          </w:p>
        </w:tc>
        <w:tc>
          <w:tcPr>
            <w:tcW w:type="dxa" w:w="58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million accounts and several million submissions on a platform that has served thousands. Load tested in February, before the launch, with the inference cost per review as the number to watch.</w:t>
            </w:r>
          </w:p>
        </w:tc>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Tested before launch</w:t>
            </w:r>
          </w:p>
        </w:tc>
      </w:tr>
      <w:tr>
        <w:trPr>
          <w:cantSplit w:val="true"/>
        </w:trPr>
        <w:tc>
          <w:tcPr>
            <w:tcW w:type="dxa" w:w="215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 partner expects exclusivity over the ideas</w:t>
            </w:r>
          </w:p>
        </w:tc>
        <w:tc>
          <w:tcPr>
            <w:tcW w:type="dxa" w:w="58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Refused in writing, in the charter and in the sponsorship agreement. The founder owns the idea.</w:t>
            </w:r>
          </w:p>
        </w:tc>
        <w:tc>
          <w:tcPr>
            <w:tcW w:type="dxa" w:w="13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Governed</w:t>
            </w:r>
          </w:p>
        </w:tc>
      </w:tr>
      <w:tr>
        <w:trPr>
          <w:cantSplit w:val="true"/>
        </w:trPr>
        <w:tc>
          <w:tcPr>
            <w:tcW w:type="dxa" w:w="215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Safeguarding, with minors in an open registration</w:t>
            </w:r>
          </w:p>
        </w:tc>
        <w:tc>
          <w:tcPr>
            <w:tcW w:type="dxa" w:w="58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 open, viral, national registration will bring under-18s whether or not it invites them. Age is asked at registration, under-18s are in the aggregate only, no identified data about them reaches any partner under any tier, and there is a named lead with a written policy.</w:t>
            </w:r>
          </w:p>
        </w:tc>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Governed</w:t>
            </w:r>
          </w:p>
        </w:tc>
      </w:tr>
      <w:tr>
        <w:trPr>
          <w:cantSplit w:val="true"/>
        </w:trPr>
        <w:tc>
          <w:tcPr>
            <w:tcW w:type="dxa" w:w="215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Religious and academic calendar</w:t>
            </w:r>
          </w:p>
        </w:tc>
        <w:tc>
          <w:tcPr>
            <w:tcW w:type="dxa" w:w="58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Ramadan in February, exams in May, summer from June. Built into the month plan rather than discovered in it.</w:t>
            </w:r>
          </w:p>
        </w:tc>
        <w:tc>
          <w:tcPr>
            <w:tcW w:type="dxa" w:w="13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Planned for</w:t>
            </w:r>
          </w:p>
        </w:tc>
      </w:tr>
      <w:tr>
        <w:trPr>
          <w:cantSplit w:val="true"/>
        </w:trPr>
        <w:tc>
          <w:tcPr>
            <w:tcW w:type="dxa" w:w="215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Cost per head rises with scale</w:t>
            </w:r>
          </w:p>
        </w:tc>
        <w:tc>
          <w:tcPr>
            <w:tcW w:type="dxa" w:w="58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Inference is the one cost that grows with every participant. If the cost per review comes in above plan the free tier stays free and the deeper missions queue, rather than the platform line eating the events budget.</w:t>
            </w:r>
          </w:p>
        </w:tc>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Monitored</w:t>
            </w:r>
          </w:p>
        </w:tc>
      </w:tr>
    </w:tbl>
    <w:p>
      <w:pPr>
        <w:widowControl w:val="true"/>
        <w:spacing w:before="0" w:after="140" w:line="322" w:lineRule="auto"/>
      </w:pPr>
    </w:p>
    <w:p>
      <w:pPr>
        <w:widowControl w:val="true"/>
        <w:pBdr>
          <w:left w:val="single" w:sz="24" w:space="8" w:color="CBF24A"/>
        </w:pBdr>
        <w:shd w:val="clear" w:fill="F5F6F8"/>
        <w:spacing w:before="180" w:after="200" w:line="322" w:lineRule="auto"/>
        <w:ind w:left="159"/>
      </w:pPr>
      <w:r>
        <w:rPr>
          <w:rFonts w:ascii="Plus Jakarta Sans" w:hAnsi="Plus Jakarta Sans" w:cs="Segoe UI"/>
          <w:b/>
          <w:i w:val="0"/>
          <w:color w:val="3A4050"/>
          <w:sz w:val="18"/>
          <w:szCs w:val="18"/>
        </w:rPr>
        <w:t>The risk that ends the initiative is a safeguarding failure involving a minor.</w:t>
      </w:r>
      <w:r>
        <w:rPr>
          <w:rFonts w:ascii="Plus Jakarta Sans" w:hAnsi="Plus Jakarta Sans" w:cs="Segoe UI"/>
          <w:b w:val="0"/>
          <w:i w:val="0"/>
          <w:color w:val="3A4050"/>
          <w:sz w:val="18"/>
          <w:szCs w:val="18"/>
        </w:rPr>
        <w:t xml:space="preserve"> It is handled with a named lead, a written policy, vetting for everyone who works with under-18s, no identified data on under-18s under any sponsorship tier, and a reporting route that reaches the steering committee in the same week. A partner should ask to see the policy before signing, and will be given it.</w:t>
      </w:r>
    </w:p>
    <w:p>
      <w:pPr>
        <w:keepNext/>
        <w:pageBreakBefore w:val="true"/>
        <w:spacing w:before="0" w:after="20"/>
      </w:pPr>
      <w:r>
        <w:rPr>
          <w:rFonts w:ascii="Plus Jakarta Sans" w:hAnsi="Plus Jakarta Sans" w:cs="Segoe UI"/>
          <w:b/>
          <w:i w:val="0"/>
          <w:color w:val="3418E0"/>
          <w:spacing w:val="28"/>
          <w:sz w:val="16"/>
          <w:szCs w:val="16"/>
        </w:rPr>
        <w:t>SECTION 16</w:t>
      </w:r>
    </w:p>
    <w:p>
      <w:pPr>
        <w:keepNext/>
        <w:spacing w:before="40" w:after="120"/>
      </w:pPr>
      <w:r>
        <w:rPr>
          <w:rFonts w:ascii="Plus Jakarta Sans" w:hAnsi="Plus Jakarta Sans" w:cs="Segoe UI"/>
          <w:b/>
          <w:i w:val="0"/>
          <w:color w:val="0B0E14"/>
          <w:sz w:val="40"/>
          <w:szCs w:val="40"/>
        </w:rPr>
        <w:t>How to join</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Four steps, two weeks for a corporate, longer for a foundation board. The first step is twenty minutes and does not involve a deck.</w:t>
      </w:r>
    </w:p>
    <w:p>
      <w:pPr>
        <w:spacing w:after="120" w:line="317" w:lineRule="auto"/>
        <w:ind w:left="510" w:hanging="510"/>
      </w:pPr>
      <w:r>
        <w:rPr>
          <w:rFonts w:ascii="Plus Jakarta Sans" w:hAnsi="Plus Jakarta Sans" w:cs="Segoe UI"/>
          <w:b/>
          <w:color w:val="3418E0"/>
          <w:sz w:val="19"/>
          <w:szCs w:val="19"/>
        </w:rPr>
        <w:t xml:space="preserve">01   </w:t>
      </w:r>
      <w:r>
        <w:rPr>
          <w:rFonts w:ascii="Plus Jakarta Sans" w:hAnsi="Plus Jakarta Sans" w:cs="Segoe UI"/>
          <w:b/>
          <w:i w:val="0"/>
          <w:color w:val="0B0E14"/>
          <w:sz w:val="19"/>
          <w:szCs w:val="19"/>
        </w:rPr>
        <w:t>Step one, a conversation</w:t>
      </w:r>
      <w:r>
        <w:rPr>
          <w:rFonts w:ascii="Plus Jakarta Sans" w:hAnsi="Plus Jakarta Sans" w:cs="Segoe UI"/>
          <w:b w:val="0"/>
          <w:i w:val="0"/>
          <w:color w:val="0B0E14"/>
          <w:sz w:val="19"/>
          <w:szCs w:val="19"/>
        </w:rPr>
        <w:t xml:space="preserve">  Twenty minutes. We show the platform, the direction report mock-up and the referral loop, and ask what the partner's own programme is trying to achieve. No deck.</w:t>
      </w:r>
    </w:p>
    <w:p>
      <w:pPr>
        <w:spacing w:after="120" w:line="317" w:lineRule="auto"/>
        <w:ind w:left="510" w:hanging="510"/>
      </w:pPr>
      <w:r>
        <w:rPr>
          <w:rFonts w:ascii="Plus Jakarta Sans" w:hAnsi="Plus Jakarta Sans" w:cs="Segoe UI"/>
          <w:b/>
          <w:color w:val="3418E0"/>
          <w:sz w:val="19"/>
          <w:szCs w:val="19"/>
        </w:rPr>
        <w:t xml:space="preserve">02   </w:t>
      </w:r>
      <w:r>
        <w:rPr>
          <w:rFonts w:ascii="Plus Jakarta Sans" w:hAnsi="Plus Jakarta Sans" w:cs="Segoe UI"/>
          <w:b/>
          <w:i w:val="0"/>
          <w:color w:val="0B0E14"/>
          <w:sz w:val="19"/>
          <w:szCs w:val="19"/>
        </w:rPr>
        <w:t>Step two, a tier and a shape</w:t>
      </w:r>
      <w:r>
        <w:rPr>
          <w:rFonts w:ascii="Plus Jakarta Sans" w:hAnsi="Plus Jakarta Sans" w:cs="Segoe UI"/>
          <w:b w:val="0"/>
          <w:i w:val="0"/>
          <w:color w:val="0B0E14"/>
          <w:sz w:val="19"/>
          <w:szCs w:val="19"/>
        </w:rPr>
        <w:t xml:space="preserve">  Cash tier, in-kind equivalent, or community charter. A written one-page summary of what they give, what they get, and which governorate or sector carries their name.</w:t>
      </w:r>
    </w:p>
    <w:p>
      <w:pPr>
        <w:spacing w:after="120" w:line="317" w:lineRule="auto"/>
        <w:ind w:left="510" w:hanging="510"/>
      </w:pPr>
      <w:r>
        <w:rPr>
          <w:rFonts w:ascii="Plus Jakarta Sans" w:hAnsi="Plus Jakarta Sans" w:cs="Segoe UI"/>
          <w:b/>
          <w:color w:val="3418E0"/>
          <w:sz w:val="19"/>
          <w:szCs w:val="19"/>
        </w:rPr>
        <w:t xml:space="preserve">03   </w:t>
      </w:r>
      <w:r>
        <w:rPr>
          <w:rFonts w:ascii="Plus Jakarta Sans" w:hAnsi="Plus Jakarta Sans" w:cs="Segoe UI"/>
          <w:b/>
          <w:i w:val="0"/>
          <w:color w:val="0B0E14"/>
          <w:sz w:val="19"/>
          <w:szCs w:val="19"/>
        </w:rPr>
        <w:t>Step three, the paperwork</w:t>
      </w:r>
      <w:r>
        <w:rPr>
          <w:rFonts w:ascii="Plus Jakarta Sans" w:hAnsi="Plus Jakarta Sans" w:cs="Segoe UI"/>
          <w:b w:val="0"/>
          <w:i w:val="0"/>
          <w:color w:val="0B0E14"/>
          <w:sz w:val="19"/>
          <w:szCs w:val="19"/>
        </w:rPr>
        <w:t xml:space="preserve">  Sponsorship agreement or community charter, the safeguarding and data policies, and the partner's own due diligence pack. Two weeks for a corporate, longer for a foundation board.</w:t>
      </w:r>
    </w:p>
    <w:p>
      <w:pPr>
        <w:spacing w:after="120" w:line="317" w:lineRule="auto"/>
        <w:ind w:left="510" w:hanging="510"/>
      </w:pPr>
      <w:r>
        <w:rPr>
          <w:rFonts w:ascii="Plus Jakarta Sans" w:hAnsi="Plus Jakarta Sans" w:cs="Segoe UI"/>
          <w:b/>
          <w:color w:val="3418E0"/>
          <w:sz w:val="19"/>
          <w:szCs w:val="19"/>
        </w:rPr>
        <w:t xml:space="preserve">04   </w:t>
      </w:r>
      <w:r>
        <w:rPr>
          <w:rFonts w:ascii="Plus Jakarta Sans" w:hAnsi="Plus Jakarta Sans" w:cs="Segoe UI"/>
          <w:b/>
          <w:i w:val="0"/>
          <w:color w:val="0B0E14"/>
          <w:sz w:val="19"/>
          <w:szCs w:val="19"/>
        </w:rPr>
        <w:t>Step four, the council</w:t>
      </w:r>
      <w:r>
        <w:rPr>
          <w:rFonts w:ascii="Plus Jakarta Sans" w:hAnsi="Plus Jakarta Sans" w:cs="Segoe UI"/>
          <w:b w:val="0"/>
          <w:i w:val="0"/>
          <w:color w:val="0B0E14"/>
          <w:sz w:val="19"/>
          <w:szCs w:val="19"/>
        </w:rPr>
        <w:t xml:space="preserve">  They are in the partner council from the month they sign, whether or not the wave has started.</w:t>
      </w:r>
    </w:p>
    <w:p>
      <w:pPr>
        <w:keepNext/>
        <w:widowControl w:val="true"/>
        <w:spacing w:before="280" w:after="100" w:line="288" w:lineRule="auto"/>
      </w:pPr>
      <w:r>
        <w:rPr>
          <w:rFonts w:ascii="Plus Jakarta Sans" w:hAnsi="Plus Jakarta Sans" w:cs="Segoe UI"/>
          <w:b/>
          <w:i w:val="0"/>
          <w:color w:val="0B0E14"/>
          <w:sz w:val="24"/>
          <w:szCs w:val="24"/>
        </w:rPr>
        <w:t>What a partner should ask for before signing</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 safeguarding policy and the name of the safeguarding lead.</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 data protection policy, the consent text participants see, and the ideas bank rules in Section 7.</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 dashboard they will see weekly, and the template of the closing report they will receive.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 current coalition: who has signed, at what tier, and which governorates and sectors are already taken.</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 assumptions behind Section 11, which are in the workbook that accompanies this document and are editable.</w:t>
      </w:r>
    </w:p>
    <w:p>
      <w:pPr>
        <w:keepNext/>
        <w:widowControl w:val="true"/>
        <w:spacing w:before="280" w:after="100" w:line="288" w:lineRule="auto"/>
      </w:pPr>
      <w:r>
        <w:rPr>
          <w:rFonts w:ascii="Plus Jakarta Sans" w:hAnsi="Plus Jakarta Sans" w:cs="Segoe UI"/>
          <w:b/>
          <w:i w:val="0"/>
          <w:color w:val="0B0E14"/>
          <w:sz w:val="24"/>
          <w:szCs w:val="24"/>
        </w:rPr>
        <w:t>What the initiative will ask them for</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A named counterpart who can make a decision, not only relay one.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Their own reporting requirements, in writing, before the wave starts rather than at month five.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Their governorate or sector preference, so the coalition can be assembled without two partners claiming the same ground.</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For in-kind partners, the rate card or market value they want the contribution credited at.</w:t>
      </w:r>
    </w:p>
    <w:p>
      <w:pPr>
        <w:widowControl w:val="true"/>
        <w:spacing w:before="240" w:after="240" w:line="302" w:lineRule="auto"/>
        <w:ind w:left="227"/>
      </w:pPr>
      <w:r>
        <w:rPr>
          <w:rFonts w:ascii="Plus Jakarta Sans" w:hAnsi="Plus Jakarta Sans" w:cs="Segoe UI"/>
          <w:b/>
          <w:i w:val="0"/>
          <w:color w:val="3418E0"/>
          <w:sz w:val="26"/>
          <w:szCs w:val="26"/>
        </w:rPr>
        <w:t>Three Founding Partners, and the rest of the coalition sells itself. That is the whole critical path.</w:t>
      </w:r>
    </w:p>
    <w:p>
      <w:pPr>
        <w:keepNext/>
        <w:pageBreakBefore w:val="true"/>
        <w:spacing w:before="0" w:after="20"/>
      </w:pPr>
      <w:r>
        <w:rPr>
          <w:rFonts w:ascii="Plus Jakarta Sans" w:hAnsi="Plus Jakarta Sans" w:cs="Segoe UI"/>
          <w:b/>
          <w:i w:val="0"/>
          <w:color w:val="3418E0"/>
          <w:spacing w:val="28"/>
          <w:sz w:val="16"/>
          <w:szCs w:val="16"/>
        </w:rPr>
        <w:t>SECTION 17</w:t>
      </w:r>
    </w:p>
    <w:p>
      <w:pPr>
        <w:keepNext/>
        <w:spacing w:before="40" w:after="120"/>
      </w:pPr>
      <w:r>
        <w:rPr>
          <w:rFonts w:ascii="Plus Jakarta Sans" w:hAnsi="Plus Jakarta Sans" w:cs="Segoe UI"/>
          <w:b/>
          <w:i w:val="0"/>
          <w:color w:val="0B0E14"/>
          <w:sz w:val="40"/>
          <w:szCs w:val="40"/>
        </w:rPr>
        <w:t>Appendix: the fifteen missions</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2"/>
          <w:szCs w:val="22"/>
        </w:rPr>
        <w:t>What a participant actually does, in order. Missions 01 to 03 are free to everybody in Egypt.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567"/>
        <w:gridCol w:w="2041"/>
        <w:gridCol w:w="1247"/>
        <w:gridCol w:w="1020"/>
        <w:gridCol w:w="4536"/>
      </w:tblGrid>
      <w:tr>
        <w:trPr>
          <w:tblHeader w:val="true"/>
        </w:trPr>
        <w:tc>
          <w:tcPr>
            <w:tcW w:type="dxa" w:w="56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t>
            </w:r>
          </w:p>
        </w:tc>
        <w:tc>
          <w:tcPr>
            <w:tcW w:type="dxa" w:w="204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Mission</w:t>
            </w:r>
          </w:p>
        </w:tc>
        <w:tc>
          <w:tcPr>
            <w:tcW w:type="dxa" w:w="124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Phase</w:t>
            </w:r>
          </w:p>
        </w:tc>
        <w:tc>
          <w:tcPr>
            <w:tcW w:type="dxa" w:w="10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Time</w:t>
            </w:r>
          </w:p>
        </w:tc>
        <w:tc>
          <w:tcPr>
            <w:tcW w:type="dxa" w:w="453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produces</w:t>
            </w:r>
          </w:p>
        </w:tc>
      </w:tr>
      <w:tr>
        <w:trPr>
          <w:cantSplit w:val="true"/>
        </w:trPr>
        <w:tc>
          <w:tcPr>
            <w:tcW w:type="dxa" w:w="56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01</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Problem Analysis</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Discovery</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 hours</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Understand problems, key facts, and research insights</w:t>
            </w:r>
          </w:p>
        </w:tc>
      </w:tr>
      <w:tr>
        <w:trPr>
          <w:cantSplit w:val="true"/>
        </w:trPr>
        <w:tc>
          <w:tcPr>
            <w:tcW w:type="dxa" w:w="56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02</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Problem Definition</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Discovery</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hours</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Identify users and their specific problems</w:t>
            </w:r>
          </w:p>
        </w:tc>
      </w:tr>
      <w:tr>
        <w:trPr>
          <w:cantSplit w:val="true"/>
        </w:trPr>
        <w:tc>
          <w:tcPr>
            <w:tcW w:type="dxa" w:w="56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03</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Importance/Frequency Matrix</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Analysis</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 hour</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Prioritize problems based on impact and frequency</w:t>
            </w:r>
          </w:p>
        </w:tc>
      </w:tr>
      <w:tr>
        <w:trPr>
          <w:cantSplit w:val="true"/>
        </w:trPr>
        <w:tc>
          <w:tcPr>
            <w:tcW w:type="dxa" w:w="56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04</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Problem Statements</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Analysis</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 hours</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Create clear, actionable problem statements</w:t>
            </w:r>
          </w:p>
        </w:tc>
      </w:tr>
      <w:tr>
        <w:trPr>
          <w:cantSplit w:val="true"/>
        </w:trPr>
        <w:tc>
          <w:tcPr>
            <w:tcW w:type="dxa" w:w="56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05</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Idea Selection</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Ideation</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hours</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Use value/impact matrix to select best ideas</w:t>
            </w:r>
          </w:p>
        </w:tc>
      </w:tr>
      <w:tr>
        <w:trPr>
          <w:cantSplit w:val="true"/>
        </w:trPr>
        <w:tc>
          <w:tcPr>
            <w:tcW w:type="dxa" w:w="56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06</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Idea Description</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Ideation</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 hours</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Develop problem-solution canvas</w:t>
            </w:r>
          </w:p>
        </w:tc>
      </w:tr>
      <w:tr>
        <w:trPr>
          <w:cantSplit w:val="true"/>
        </w:trPr>
        <w:tc>
          <w:tcPr>
            <w:tcW w:type="dxa" w:w="56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07</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Solution Hypothesis Test</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Validation</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 hours</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Validate your solution hypothesis</w:t>
            </w:r>
          </w:p>
        </w:tc>
      </w:tr>
      <w:tr>
        <w:trPr>
          <w:cantSplit w:val="true"/>
        </w:trPr>
        <w:tc>
          <w:tcPr>
            <w:tcW w:type="dxa" w:w="56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08</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Business Model Canvas</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Business Model</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3-4 hours</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Develop comprehensive business model</w:t>
            </w:r>
          </w:p>
        </w:tc>
      </w:tr>
      <w:tr>
        <w:trPr>
          <w:cantSplit w:val="true"/>
        </w:trPr>
        <w:tc>
          <w:tcPr>
            <w:tcW w:type="dxa" w:w="56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09</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Build Prototype</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Development</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5-10 hours</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Create prototype or Figma design</w:t>
            </w:r>
          </w:p>
        </w:tc>
      </w:tr>
      <w:tr>
        <w:trPr>
          <w:cantSplit w:val="true"/>
        </w:trPr>
        <w:tc>
          <w:tcPr>
            <w:tcW w:type="dxa" w:w="56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10</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Solution Hypothesis Test (Prototype)</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Validation</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 hours</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Further validation with prototype</w:t>
            </w:r>
          </w:p>
        </w:tc>
      </w:tr>
      <w:tr>
        <w:trPr>
          <w:cantSplit w:val="true"/>
        </w:trPr>
        <w:tc>
          <w:tcPr>
            <w:tcW w:type="dxa" w:w="56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11</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Service Selection</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Strategy</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 hours</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Define go-to-market strategy</w:t>
            </w:r>
          </w:p>
        </w:tc>
      </w:tr>
      <w:tr>
        <w:trPr>
          <w:cantSplit w:val="true"/>
        </w:trPr>
        <w:tc>
          <w:tcPr>
            <w:tcW w:type="dxa" w:w="56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12</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Market Validation</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Validation</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 hours</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Test market readiness and demand</w:t>
            </w:r>
          </w:p>
        </w:tc>
      </w:tr>
      <w:tr>
        <w:trPr>
          <w:cantSplit w:val="true"/>
        </w:trPr>
        <w:tc>
          <w:tcPr>
            <w:tcW w:type="dxa" w:w="56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13</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Build MVP</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Development</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20-40 hours</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Develop minimum viable product</w:t>
            </w:r>
          </w:p>
        </w:tc>
      </w:tr>
      <w:tr>
        <w:trPr>
          <w:cantSplit w:val="true"/>
        </w:trPr>
        <w:tc>
          <w:tcPr>
            <w:tcW w:type="dxa" w:w="56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14</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Product-Market Fit Test</w:t>
            </w:r>
          </w:p>
        </w:tc>
        <w:tc>
          <w:tcPr>
            <w:tcW w:type="dxa" w:w="12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Validation</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5-10 hours</w:t>
            </w:r>
          </w:p>
        </w:tc>
        <w:tc>
          <w:tcPr>
            <w:tcW w:type="dxa" w:w="453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Validate product-market fit</w:t>
            </w:r>
          </w:p>
        </w:tc>
      </w:tr>
      <w:tr>
        <w:trPr>
          <w:cantSplit w:val="true"/>
        </w:trPr>
        <w:tc>
          <w:tcPr>
            <w:tcW w:type="dxa" w:w="56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15</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Go to Market</w:t>
            </w:r>
          </w:p>
        </w:tc>
        <w:tc>
          <w:tcPr>
            <w:tcW w:type="dxa" w:w="12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Launch</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10-20 hours</w:t>
            </w:r>
          </w:p>
        </w:tc>
        <w:tc>
          <w:tcPr>
            <w:tcW w:type="dxa" w:w="453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Execute launch strategy</w:t>
            </w:r>
          </w:p>
        </w:tc>
      </w:tr>
    </w:tbl>
    <w:p>
      <w:pPr>
        <w:widowControl w:val="true"/>
        <w:spacing w:before="0" w:after="140" w:line="322" w:lineRule="auto"/>
      </w:pPr>
    </w:p>
    <w:sectPr w:rsidR="00FC693F" w:rsidRPr="0006063C" w:rsidSect="00034616">
      <w:headerReference w:type="default" r:id="rId9"/>
      <w:footerReference w:type="default" r:id="rId10"/>
      <w:pgSz w:w="11906" w:h="16838"/>
      <w:pgMar w:top="1134" w:right="1247" w:bottom="1077"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Plus Jakarta Sans" w:hAnsi="Plus Jakarta Sans" w:cs="Segoe UI"/>
        <w:b w:val="0"/>
        <w:i w:val="0"/>
        <w:color w:val="9AA0AF"/>
        <w:sz w:val="14"/>
        <w:szCs w:val="14"/>
      </w:rPr>
      <w:t xml:space="preserve">Wave 1, March to August 2027          </w:t>
    </w:r>
    <w:r>
      <w:rPr>
        <w:rFonts w:ascii="Plus Jakarta Sans" w:hAnsi="Plus Jakarta Sans" w:cs="Segoe UI"/>
        <w:color w:val="6B7285"/>
        <w:sz w:val="16"/>
        <w:szCs w:val="16"/>
      </w:rPr>
      <w:fldChar w:fldCharType="begin"/>
    </w:r>
    <w:r>
      <w:rPr>
        <w:rFonts w:ascii="Plus Jakarta Sans" w:hAnsi="Plus Jakarta Sans" w:cs="Segoe UI"/>
        <w:color w:val="6B7285"/>
        <w:sz w:val="16"/>
        <w:szCs w:val="16"/>
      </w:rPr>
      <w:instrText xml:space="preserve"> PAGE </w:instrText>
    </w:r>
    <w:r>
      <w:rPr>
        <w:rFonts w:ascii="Plus Jakarta Sans" w:hAnsi="Plus Jakarta Sans" w:cs="Segoe UI"/>
        <w:color w:val="6B7285"/>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E2E4EA"/>
      </w:pBdr>
      <w:spacing w:after="0"/>
    </w:pPr>
    <w:r>
      <w:rPr>
        <w:rFonts w:ascii="Plus Jakarta Sans" w:hAnsi="Plus Jakarta Sans" w:cs="Segoe UI"/>
        <w:b/>
        <w:i w:val="0"/>
        <w:color w:val="9AA0AF"/>
        <w:spacing w:val="24"/>
        <w:sz w:val="14"/>
        <w:szCs w:val="14"/>
      </w:rPr>
      <w:t>STARTPAD  |  ONE MILLION FIRST-TIME FOUNDERS  |  EGYPT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0B0E1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Million First-Time Founders: sponsorship framework</dc:title>
  <dc:subject>Sponsorship framework, Egypt, Wave 1, March to August 2027</dc:subject>
  <dc:creator>StartPad</dc:creator>
  <cp:keywords/>
  <dc:description/>
  <cp:lastModifiedBy>StartPad</cp:lastModifiedBy>
  <cp:revision>1</cp:revision>
  <dcterms:created xsi:type="dcterms:W3CDTF">2024-01-01T00:00:00Z</dcterms:created>
  <dcterms:modified xsi:type="dcterms:W3CDTF">2024-01-01T00:00:00Z</dcterms:modified>
  <cp:category/>
</cp:coreProperties>
</file>