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Business Model Canvas</w:t>
            </w:r>
          </w:p>
          <w:p>
            <w:pPr>
              <w:spacing w:after="0" w:before="0" w:line="324" w:lineRule="auto"/>
            </w:pPr>
            <w:r>
              <w:rPr>
                <w:rFonts w:ascii="Satoshi" w:hAnsi="Satoshi" w:cs="Satoshi"/>
                <w:b w:val="0"/>
                <w:i w:val="0"/>
                <w:color w:val="FFFFFF"/>
                <w:sz w:val="25"/>
                <w:szCs w:val="25"/>
              </w:rPr>
              <w:t>The nine building blocks of how an organisation creates, delivers and captures value</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A complete model of how the business runs, not only what it sells</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The Business Model Canvas describes an entire business on one sheet through nine blocks. It is the more operational sibling of the Lean Canvas: where Lean Canvas is built for a company that does not exist, this one is built for a company that has to actually run — partners, activities, resources and relationships included.</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Show the whole machine at once, so you can see which parts you have not thought about at all.</w:t>
      </w:r>
    </w:p>
    <w:p>
      <w:pPr>
        <w:keepNext w:val="0"/>
        <w:spacing w:before="0" w:after="60" w:line="312" w:lineRule="auto"/>
        <w:ind w:left="283"/>
        <w:jc w:val="left"/>
      </w:pPr>
      <w:r>
        <w:rPr>
          <w:rFonts w:ascii="Satoshi" w:hAnsi="Satoshi" w:cs="Satoshi"/>
          <w:b w:val="0"/>
          <w:i w:val="0"/>
          <w:color w:val="0B0E14"/>
          <w:sz w:val="20"/>
          <w:szCs w:val="20"/>
        </w:rPr>
        <w:t>—  Separate value creation from value capture — many first models create real value and capture none of it.</w:t>
      </w:r>
    </w:p>
    <w:p>
      <w:pPr>
        <w:keepNext w:val="0"/>
        <w:spacing w:before="0" w:after="60" w:line="312" w:lineRule="auto"/>
        <w:ind w:left="283"/>
        <w:jc w:val="left"/>
      </w:pPr>
      <w:r>
        <w:rPr>
          <w:rFonts w:ascii="Satoshi" w:hAnsi="Satoshi" w:cs="Satoshi"/>
          <w:b w:val="0"/>
          <w:i w:val="0"/>
          <w:color w:val="0B0E14"/>
          <w:sz w:val="20"/>
          <w:szCs w:val="20"/>
        </w:rPr>
        <w:t>—  Make the cost side visible next to the revenue side on the same page.</w:t>
      </w:r>
    </w:p>
    <w:p>
      <w:pPr>
        <w:keepNext w:val="0"/>
        <w:spacing w:before="0" w:after="60" w:line="312" w:lineRule="auto"/>
        <w:ind w:left="283"/>
        <w:jc w:val="left"/>
      </w:pPr>
      <w:r>
        <w:rPr>
          <w:rFonts w:ascii="Satoshi" w:hAnsi="Satoshi" w:cs="Satoshi"/>
          <w:b w:val="0"/>
          <w:i w:val="0"/>
          <w:color w:val="0B0E14"/>
          <w:sz w:val="20"/>
          <w:szCs w:val="20"/>
        </w:rPr>
        <w:t>—  Give a shared language for a team or a mentor to argue about the model rather than the wording.</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 8 primarily, feeding Missions 11 and 15.</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Osterwalder, A. &amp; Pigneur, Y. (2010). Business Model Generation. Wiley.</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The nine blocks come from Alexander Osterwalder's doctoral thesis, The Business Model Ontology (University of Lausanne, 2004), supervised by Yves Pigneur — an attempt to give 'business model' a precise, comparable structure rather than leaving it a loose term.</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Osterwalder, A., Pigneur, Y. &amp; Tucci, C. (2005). Clarifying Business Models. Communications of the AIS, 16.</w:t>
      </w:r>
    </w:p>
    <w:p>
      <w:pPr>
        <w:keepNext w:val="0"/>
        <w:spacing w:before="0" w:after="40" w:line="312" w:lineRule="auto"/>
        <w:ind w:left="283"/>
        <w:jc w:val="left"/>
      </w:pPr>
      <w:r>
        <w:rPr>
          <w:rFonts w:ascii="Satoshi" w:hAnsi="Satoshi" w:cs="Satoshi"/>
          <w:b w:val="0"/>
          <w:i w:val="0"/>
          <w:color w:val="0B0E14"/>
          <w:sz w:val="19"/>
          <w:szCs w:val="19"/>
        </w:rPr>
        <w:t>—  Teece, D. J. (2010). Business Models, Business Strategy and Innovation. Long Range Planning, 43(2-3).</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Start at Customer Segments on the right, then Value Propositions. Work right-to-left; the left side exists to serve the right.</w:t>
      </w:r>
    </w:p>
    <w:p>
      <w:pPr>
        <w:keepNext w:val="0"/>
        <w:spacing w:before="0" w:after="60" w:line="312" w:lineRule="auto"/>
        <w:ind w:left="283"/>
        <w:jc w:val="left"/>
      </w:pPr>
      <w:r>
        <w:rPr>
          <w:rFonts w:ascii="Satoshi" w:hAnsi="Satoshi" w:cs="Satoshi"/>
          <w:b w:val="0"/>
          <w:i w:val="0"/>
          <w:color w:val="0B0E14"/>
          <w:sz w:val="20"/>
          <w:szCs w:val="20"/>
        </w:rPr>
        <w:t>2.  Use one sticky note or one line per item. If a block needs a paragraph, it is two items.</w:t>
      </w:r>
    </w:p>
    <w:p>
      <w:pPr>
        <w:keepNext w:val="0"/>
        <w:spacing w:before="0" w:after="60" w:line="312" w:lineRule="auto"/>
        <w:ind w:left="283"/>
        <w:jc w:val="left"/>
      </w:pPr>
      <w:r>
        <w:rPr>
          <w:rFonts w:ascii="Satoshi" w:hAnsi="Satoshi" w:cs="Satoshi"/>
          <w:b w:val="0"/>
          <w:i w:val="0"/>
          <w:color w:val="0B0E14"/>
          <w:sz w:val="20"/>
          <w:szCs w:val="20"/>
        </w:rPr>
        <w:t>3.  For each Value Proposition, draw a line to the segment it serves. Any proposition with no segment is a feature you like.</w:t>
      </w:r>
    </w:p>
    <w:p>
      <w:pPr>
        <w:keepNext w:val="0"/>
        <w:spacing w:before="0" w:after="60" w:line="312" w:lineRule="auto"/>
        <w:ind w:left="283"/>
        <w:jc w:val="left"/>
      </w:pPr>
      <w:r>
        <w:rPr>
          <w:rFonts w:ascii="Satoshi" w:hAnsi="Satoshi" w:cs="Satoshi"/>
          <w:b w:val="0"/>
          <w:i w:val="0"/>
          <w:color w:val="0B0E14"/>
          <w:sz w:val="20"/>
          <w:szCs w:val="20"/>
        </w:rPr>
        <w:t>4.  Fill Revenue Streams before Cost Structure. Knowing what you can charge changes what you are willing to spend.</w:t>
      </w:r>
    </w:p>
    <w:p>
      <w:pPr>
        <w:keepNext w:val="0"/>
        <w:spacing w:before="0" w:after="60" w:line="312" w:lineRule="auto"/>
        <w:ind w:left="283"/>
        <w:jc w:val="left"/>
      </w:pPr>
      <w:r>
        <w:rPr>
          <w:rFonts w:ascii="Satoshi" w:hAnsi="Satoshi" w:cs="Satoshi"/>
          <w:b w:val="0"/>
          <w:i w:val="0"/>
          <w:color w:val="0B0E14"/>
          <w:sz w:val="20"/>
          <w:szCs w:val="20"/>
        </w:rPr>
        <w:t>5.  Mark every block that is currently an assumption with a small (A).</w:t>
      </w:r>
    </w:p>
    <w:p>
      <w:pPr>
        <w:keepNext w:val="0"/>
        <w:spacing w:before="0" w:after="60" w:line="312" w:lineRule="auto"/>
        <w:ind w:left="283"/>
        <w:jc w:val="left"/>
      </w:pPr>
      <w:r>
        <w:rPr>
          <w:rFonts w:ascii="Satoshi" w:hAnsi="Satoshi" w:cs="Satoshi"/>
          <w:b w:val="0"/>
          <w:i w:val="0"/>
          <w:color w:val="0B0E14"/>
          <w:sz w:val="20"/>
          <w:szCs w:val="20"/>
        </w:rPr>
        <w:t>6.  Count the (A)s. A model with more than half its blocks assumed is a hypothesis, and should be described as one.</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All nine blocks are filled and no block contains more than five items.</w:t>
      </w:r>
    </w:p>
    <w:p>
      <w:pPr>
        <w:keepNext w:val="0"/>
        <w:spacing w:before="0" w:after="60" w:line="312" w:lineRule="auto"/>
        <w:ind w:left="283"/>
        <w:jc w:val="left"/>
      </w:pPr>
      <w:r>
        <w:rPr>
          <w:rFonts w:ascii="Satoshi" w:hAnsi="Satoshi" w:cs="Satoshi"/>
          <w:b w:val="0"/>
          <w:i w:val="0"/>
          <w:color w:val="0B0E14"/>
          <w:sz w:val="20"/>
          <w:szCs w:val="20"/>
        </w:rPr>
        <w:t>☐  Every value proposition is attached to a named segment.</w:t>
      </w:r>
    </w:p>
    <w:p>
      <w:pPr>
        <w:keepNext w:val="0"/>
        <w:spacing w:before="0" w:after="60" w:line="312" w:lineRule="auto"/>
        <w:ind w:left="283"/>
        <w:jc w:val="left"/>
      </w:pPr>
      <w:r>
        <w:rPr>
          <w:rFonts w:ascii="Satoshi" w:hAnsi="Satoshi" w:cs="Satoshi"/>
          <w:b w:val="0"/>
          <w:i w:val="0"/>
          <w:color w:val="0B0E14"/>
          <w:sz w:val="20"/>
          <w:szCs w:val="20"/>
        </w:rPr>
        <w:t>☐  Revenue streams state the amount and frequency, not just the mechanism.</w:t>
      </w:r>
    </w:p>
    <w:p>
      <w:pPr>
        <w:keepNext w:val="0"/>
        <w:spacing w:before="0" w:after="60" w:line="312" w:lineRule="auto"/>
        <w:ind w:left="283"/>
        <w:jc w:val="left"/>
      </w:pPr>
      <w:r>
        <w:rPr>
          <w:rFonts w:ascii="Satoshi" w:hAnsi="Satoshi" w:cs="Satoshi"/>
          <w:b w:val="0"/>
          <w:i w:val="0"/>
          <w:color w:val="0B0E14"/>
          <w:sz w:val="20"/>
          <w:szCs w:val="20"/>
        </w:rPr>
        <w:t>☐  Assumptions are marked, counted and honestly described.</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1457"/>
        <w:gridCol w:w="1457"/>
        <w:gridCol w:w="1457"/>
        <w:gridCol w:w="1457"/>
        <w:gridCol w:w="1457"/>
        <w:gridCol w:w="1457"/>
        <w:gridCol w:w="1457"/>
        <w:gridCol w:w="1457"/>
        <w:gridCol w:w="1457"/>
        <w:gridCol w:w="1457"/>
      </w:tblGrid>
      <w:tr>
        <w:trPr>
          <w:trHeight w:val="1984" w:hRule="atLeast"/>
        </w:trPr>
        <w:tc>
          <w:tcPr>
            <w:tcW w:type="dxa" w:w="1457"/>
            <w:gridSpan w:val="2"/>
            <w:vMerge w:val="restart"/>
            <w:tcMar>
              <w:top w:w="79" w:type="dxa"/>
              <w:start w:w="102" w:type="dxa"/>
              <w:bottom w:w="79" w:type="dxa"/>
              <w:end w:w="102" w:type="dxa"/>
            </w:tcMar>
          </w:tcPr>
          <w:p>
            <w:pPr>
              <w:spacing w:after="40"/>
            </w:pPr>
            <w:r>
              <w:rPr>
                <w:rFonts w:ascii="Satoshi" w:hAnsi="Satoshi" w:cs="Satoshi"/>
                <w:b/>
                <w:i w:val="0"/>
                <w:color w:val="0B0E14"/>
                <w:sz w:val="19"/>
                <w:szCs w:val="19"/>
              </w:rPr>
              <w:t>Key Partners</w:t>
            </w:r>
          </w:p>
          <w:p>
            <w:pPr>
              <w:spacing w:after="0" w:line="276" w:lineRule="auto"/>
            </w:pPr>
            <w:r>
              <w:rPr>
                <w:rFonts w:ascii="Satoshi" w:hAnsi="Satoshi" w:cs="Satoshi"/>
                <w:b w:val="0"/>
                <w:i/>
                <w:color w:val="5E6670"/>
                <w:sz w:val="15"/>
                <w:szCs w:val="15"/>
              </w:rPr>
              <w:t>Who you need but will not build. Suppliers, distributors, institutions. What do they give you, and what do you give back?</w:t>
            </w:r>
          </w:p>
        </w:tc>
        <w:tc>
          <w:tcPr>
            <w:tcW w:type="dxa" w:w="1457"/>
            <w:gridSpan w:val="2"/>
            <w:tcMar>
              <w:top w:w="79" w:type="dxa"/>
              <w:start w:w="102" w:type="dxa"/>
              <w:bottom w:w="79" w:type="dxa"/>
              <w:end w:w="102" w:type="dxa"/>
            </w:tcMar>
          </w:tcPr>
          <w:p>
            <w:pPr>
              <w:spacing w:after="40"/>
            </w:pPr>
            <w:r>
              <w:rPr>
                <w:rFonts w:ascii="Satoshi" w:hAnsi="Satoshi" w:cs="Satoshi"/>
                <w:b/>
                <w:i w:val="0"/>
                <w:color w:val="0B0E14"/>
                <w:sz w:val="19"/>
                <w:szCs w:val="19"/>
              </w:rPr>
              <w:t>Key Activities</w:t>
            </w:r>
          </w:p>
          <w:p>
            <w:pPr>
              <w:spacing w:after="0" w:line="276" w:lineRule="auto"/>
            </w:pPr>
            <w:r>
              <w:rPr>
                <w:rFonts w:ascii="Satoshi" w:hAnsi="Satoshi" w:cs="Satoshi"/>
                <w:b w:val="0"/>
                <w:i/>
                <w:color w:val="5E6670"/>
                <w:sz w:val="15"/>
                <w:szCs w:val="15"/>
              </w:rPr>
              <w:t>What the business must do well, every week, for the value proposition to hold.</w:t>
            </w:r>
          </w:p>
        </w:tc>
        <w:tc>
          <w:tcPr>
            <w:tcW w:type="dxa" w:w="1457"/>
            <w:gridSpan w:val="2"/>
            <w:vMerge w:val="restart"/>
            <w:tcMar>
              <w:top w:w="79" w:type="dxa"/>
              <w:start w:w="102" w:type="dxa"/>
              <w:bottom w:w="79" w:type="dxa"/>
              <w:end w:w="102" w:type="dxa"/>
            </w:tcMar>
          </w:tcPr>
          <w:p>
            <w:pPr>
              <w:spacing w:after="40"/>
            </w:pPr>
            <w:r>
              <w:rPr>
                <w:rFonts w:ascii="Satoshi" w:hAnsi="Satoshi" w:cs="Satoshi"/>
                <w:b/>
                <w:i w:val="0"/>
                <w:color w:val="0B0E14"/>
                <w:sz w:val="19"/>
                <w:szCs w:val="19"/>
              </w:rPr>
              <w:t>Value Propositions</w:t>
            </w:r>
          </w:p>
          <w:p>
            <w:pPr>
              <w:spacing w:after="0" w:line="276" w:lineRule="auto"/>
            </w:pPr>
            <w:r>
              <w:rPr>
                <w:rFonts w:ascii="Satoshi" w:hAnsi="Satoshi" w:cs="Satoshi"/>
                <w:b w:val="0"/>
                <w:i/>
                <w:color w:val="5E6670"/>
                <w:sz w:val="15"/>
                <w:szCs w:val="15"/>
              </w:rPr>
              <w:t>What you deliver, and which customer problem it settles. One proposition per segment.</w:t>
            </w:r>
          </w:p>
        </w:tc>
        <w:tc>
          <w:tcPr>
            <w:tcW w:type="dxa" w:w="1457"/>
            <w:gridSpan w:val="2"/>
            <w:tcMar>
              <w:top w:w="79" w:type="dxa"/>
              <w:start w:w="102" w:type="dxa"/>
              <w:bottom w:w="79" w:type="dxa"/>
              <w:end w:w="102" w:type="dxa"/>
            </w:tcMar>
          </w:tcPr>
          <w:p>
            <w:pPr>
              <w:spacing w:after="40"/>
            </w:pPr>
            <w:r>
              <w:rPr>
                <w:rFonts w:ascii="Satoshi" w:hAnsi="Satoshi" w:cs="Satoshi"/>
                <w:b/>
                <w:i w:val="0"/>
                <w:color w:val="0B0E14"/>
                <w:sz w:val="19"/>
                <w:szCs w:val="19"/>
              </w:rPr>
              <w:t>Customer Relationships</w:t>
            </w:r>
          </w:p>
          <w:p>
            <w:pPr>
              <w:spacing w:after="0" w:line="276" w:lineRule="auto"/>
            </w:pPr>
            <w:r>
              <w:rPr>
                <w:rFonts w:ascii="Satoshi" w:hAnsi="Satoshi" w:cs="Satoshi"/>
                <w:b w:val="0"/>
                <w:i/>
                <w:color w:val="5E6670"/>
                <w:sz w:val="15"/>
                <w:szCs w:val="15"/>
              </w:rPr>
              <w:t>What kind of relationship each segment expects — self-service, personal, community — and what it costs to maintain.</w:t>
            </w:r>
          </w:p>
        </w:tc>
        <w:tc>
          <w:tcPr>
            <w:tcW w:type="dxa" w:w="1457"/>
            <w:gridSpan w:val="2"/>
            <w:vMerge w:val="restart"/>
            <w:tcMar>
              <w:top w:w="79" w:type="dxa"/>
              <w:start w:w="102" w:type="dxa"/>
              <w:bottom w:w="79" w:type="dxa"/>
              <w:end w:w="102" w:type="dxa"/>
            </w:tcMar>
          </w:tcPr>
          <w:p>
            <w:pPr>
              <w:spacing w:after="40"/>
            </w:pPr>
            <w:r>
              <w:rPr>
                <w:rFonts w:ascii="Satoshi" w:hAnsi="Satoshi" w:cs="Satoshi"/>
                <w:b/>
                <w:i w:val="0"/>
                <w:color w:val="0B0E14"/>
                <w:sz w:val="19"/>
                <w:szCs w:val="19"/>
              </w:rPr>
              <w:t>Customer Segments</w:t>
            </w:r>
          </w:p>
          <w:p>
            <w:pPr>
              <w:spacing w:after="0" w:line="276" w:lineRule="auto"/>
            </w:pPr>
            <w:r>
              <w:rPr>
                <w:rFonts w:ascii="Satoshi" w:hAnsi="Satoshi" w:cs="Satoshi"/>
                <w:b w:val="0"/>
                <w:i/>
                <w:color w:val="5E6670"/>
                <w:sz w:val="15"/>
                <w:szCs w:val="15"/>
              </w:rPr>
              <w:t>Who you create value for. Separate the segments that behave differently; do not merge them for tidiness.</w:t>
            </w:r>
          </w:p>
        </w:tc>
      </w:tr>
      <w:tr>
        <w:trPr>
          <w:trHeight w:val="1984" w:hRule="atLeast"/>
        </w:trPr>
        <w:tc>
          <w:tcPr>
            <w:tcW w:type="dxa" w:w="2914"/>
            <w:gridSpan w:val="2"/>
            <w:vMerge/>
          </w:tcPr>
          <w:p/>
        </w:tc>
        <w:tc>
          <w:tcPr>
            <w:tcW w:type="dxa" w:w="1457"/>
            <w:gridSpan w:val="2"/>
            <w:tcMar>
              <w:top w:w="79" w:type="dxa"/>
              <w:start w:w="102" w:type="dxa"/>
              <w:bottom w:w="79" w:type="dxa"/>
              <w:end w:w="102" w:type="dxa"/>
            </w:tcMar>
          </w:tcPr>
          <w:p>
            <w:pPr>
              <w:spacing w:after="40"/>
            </w:pPr>
            <w:r>
              <w:rPr>
                <w:rFonts w:ascii="Satoshi" w:hAnsi="Satoshi" w:cs="Satoshi"/>
                <w:b/>
                <w:i w:val="0"/>
                <w:color w:val="0B0E14"/>
                <w:sz w:val="19"/>
                <w:szCs w:val="19"/>
              </w:rPr>
              <w:t>Key Resources</w:t>
            </w:r>
          </w:p>
          <w:p>
            <w:pPr>
              <w:spacing w:after="0" w:line="276" w:lineRule="auto"/>
            </w:pPr>
            <w:r>
              <w:rPr>
                <w:rFonts w:ascii="Satoshi" w:hAnsi="Satoshi" w:cs="Satoshi"/>
                <w:b w:val="0"/>
                <w:i/>
                <w:color w:val="5E6670"/>
                <w:sz w:val="15"/>
                <w:szCs w:val="15"/>
              </w:rPr>
              <w:t>The assets the model cannot run without. People, technology, licence, data, capital.</w:t>
            </w:r>
          </w:p>
        </w:tc>
        <w:tc>
          <w:tcPr>
            <w:tcW w:type="dxa" w:w="2914"/>
            <w:gridSpan w:val="2"/>
            <w:vMerge/>
          </w:tcPr>
          <w:p/>
        </w:tc>
        <w:tc>
          <w:tcPr>
            <w:tcW w:type="dxa" w:w="1457"/>
            <w:gridSpan w:val="2"/>
            <w:tcMar>
              <w:top w:w="79" w:type="dxa"/>
              <w:start w:w="102" w:type="dxa"/>
              <w:bottom w:w="79" w:type="dxa"/>
              <w:end w:w="102" w:type="dxa"/>
            </w:tcMar>
          </w:tcPr>
          <w:p>
            <w:pPr>
              <w:spacing w:after="40"/>
            </w:pPr>
            <w:r>
              <w:rPr>
                <w:rFonts w:ascii="Satoshi" w:hAnsi="Satoshi" w:cs="Satoshi"/>
                <w:b/>
                <w:i w:val="0"/>
                <w:color w:val="0B0E14"/>
                <w:sz w:val="19"/>
                <w:szCs w:val="19"/>
              </w:rPr>
              <w:t>Channels</w:t>
            </w:r>
          </w:p>
          <w:p>
            <w:pPr>
              <w:spacing w:after="0" w:line="276" w:lineRule="auto"/>
            </w:pPr>
            <w:r>
              <w:rPr>
                <w:rFonts w:ascii="Satoshi" w:hAnsi="Satoshi" w:cs="Satoshi"/>
                <w:b w:val="0"/>
                <w:i/>
                <w:color w:val="5E6670"/>
                <w:sz w:val="15"/>
                <w:szCs w:val="15"/>
              </w:rPr>
              <w:t>How each segment hears about you, buys, receives and gets support. Mark which are yours and which are borrowed.</w:t>
            </w:r>
          </w:p>
        </w:tc>
        <w:tc>
          <w:tcPr>
            <w:tcW w:type="dxa" w:w="2914"/>
            <w:gridSpan w:val="2"/>
            <w:vMerge/>
          </w:tcPr>
          <w:p/>
        </w:tc>
      </w:tr>
      <w:tr>
        <w:trPr>
          <w:trHeight w:val="2268" w:hRule="atLeast"/>
        </w:trPr>
        <w:tc>
          <w:tcPr>
            <w:tcW w:type="dxa" w:w="1457"/>
            <w:gridSpan w:val="5"/>
            <w:tcMar>
              <w:top w:w="79" w:type="dxa"/>
              <w:start w:w="102" w:type="dxa"/>
              <w:bottom w:w="79" w:type="dxa"/>
              <w:end w:w="102" w:type="dxa"/>
            </w:tcMar>
          </w:tcPr>
          <w:p>
            <w:pPr>
              <w:spacing w:after="40"/>
            </w:pPr>
            <w:r>
              <w:rPr>
                <w:rFonts w:ascii="Satoshi" w:hAnsi="Satoshi" w:cs="Satoshi"/>
                <w:b/>
                <w:i w:val="0"/>
                <w:color w:val="0B0E14"/>
                <w:sz w:val="19"/>
                <w:szCs w:val="19"/>
              </w:rPr>
              <w:t>Cost Structure</w:t>
            </w:r>
          </w:p>
          <w:p>
            <w:pPr>
              <w:spacing w:after="0" w:line="276" w:lineRule="auto"/>
            </w:pPr>
            <w:r>
              <w:rPr>
                <w:rFonts w:ascii="Satoshi" w:hAnsi="Satoshi" w:cs="Satoshi"/>
                <w:b w:val="0"/>
                <w:i/>
                <w:color w:val="5E6670"/>
                <w:sz w:val="15"/>
                <w:szCs w:val="15"/>
              </w:rPr>
              <w:t>What the model costs to operate. Which costs are fixed, which scale with customers, and what is the largest single line?</w:t>
            </w:r>
          </w:p>
        </w:tc>
        <w:tc>
          <w:tcPr>
            <w:tcW w:type="dxa" w:w="1457"/>
            <w:gridSpan w:val="5"/>
            <w:tcMar>
              <w:top w:w="79" w:type="dxa"/>
              <w:start w:w="102" w:type="dxa"/>
              <w:bottom w:w="79" w:type="dxa"/>
              <w:end w:w="102" w:type="dxa"/>
            </w:tcMar>
          </w:tcPr>
          <w:p>
            <w:pPr>
              <w:spacing w:after="40"/>
            </w:pPr>
            <w:r>
              <w:rPr>
                <w:rFonts w:ascii="Satoshi" w:hAnsi="Satoshi" w:cs="Satoshi"/>
                <w:b/>
                <w:i w:val="0"/>
                <w:color w:val="0B0E14"/>
                <w:sz w:val="19"/>
                <w:szCs w:val="19"/>
              </w:rPr>
              <w:t>Revenue Streams</w:t>
            </w:r>
          </w:p>
          <w:p>
            <w:pPr>
              <w:spacing w:after="0" w:line="276" w:lineRule="auto"/>
            </w:pPr>
            <w:r>
              <w:rPr>
                <w:rFonts w:ascii="Satoshi" w:hAnsi="Satoshi" w:cs="Satoshi"/>
                <w:b w:val="0"/>
                <w:i/>
                <w:color w:val="5E6670"/>
                <w:sz w:val="15"/>
                <w:szCs w:val="15"/>
              </w:rPr>
              <w:t>What each segment pays for, the pricing mechanism, the amount and the frequency.</w:t>
            </w:r>
          </w:p>
        </w:tc>
      </w:tr>
    </w:tbl>
    <w:p>
      <w:pPr>
        <w:sectPr>
          <w:footerReference w:type="default" r:id="rId11"/>
          <w:pgSz w:w="16838" w:h="11906" w:orient="landscape"/>
          <w:pgMar w:top="907" w:right="1134" w:bottom="850"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Business Model Canvas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Business Model Canvas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Business Model Canvas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