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true"/>
        <w:spacing w:before="0" w:after="0" w:line="322" w:lineRule="auto"/>
      </w:pPr>
    </w:p>
    <w:p>
      <w:pPr>
        <w:widowControl w:val="true"/>
        <w:spacing w:before="0" w:after="0" w:line="322" w:lineRule="auto"/>
      </w:pPr>
    </w:p>
    <w:p>
      <w:pPr>
        <w:widowControl w:val="true"/>
        <w:spacing w:before="0" w:after="200" w:line="322" w:lineRule="auto"/>
        <w:jc w:val="left"/>
      </w:pPr>
      <w:r>
        <w:rPr>
          <w:rFonts w:ascii="Plus Jakarta Sans" w:hAnsi="Plus Jakarta Sans" w:cs="Segoe UI"/>
          <w:b/>
          <w:i w:val="0"/>
          <w:color w:val="3418E0"/>
          <w:spacing w:val="36"/>
          <w:sz w:val="17"/>
          <w:szCs w:val="17"/>
        </w:rPr>
        <w:t>SPONSORSHIP FRAMEWORK</w:t>
      </w:r>
    </w:p>
    <w:p>
      <w:pPr>
        <w:widowControl w:val="true"/>
        <w:spacing w:before="0" w:after="40" w:line="254" w:lineRule="auto"/>
      </w:pPr>
      <w:r>
        <w:rPr>
          <w:rFonts w:ascii="Plus Jakarta Sans" w:hAnsi="Plus Jakarta Sans" w:cs="Segoe UI"/>
          <w:b/>
          <w:i w:val="0"/>
          <w:color w:val="0B0E14"/>
          <w:sz w:val="68"/>
          <w:szCs w:val="68"/>
        </w:rPr>
        <w:t>One Million First-Time Founders</w:t>
      </w:r>
    </w:p>
    <w:p>
      <w:pPr>
        <w:widowControl w:val="true"/>
        <w:spacing w:before="0" w:after="280" w:line="288" w:lineRule="auto"/>
        <w:jc w:val="right"/>
      </w:pPr>
      <w:r>
        <w:rPr>
          <w:rFonts w:ascii="Plus Jakarta Sans" w:hAnsi="Plus Jakarta Sans" w:cs="Segoe UI"/>
          <w:b/>
          <w:i w:val="0"/>
          <w:color w:val="3418E0"/>
          <w:sz w:val="38"/>
          <w:szCs w:val="38"/>
        </w:rPr>
        <w:t>مليون رائد أعمال لأول مرة</w:t>
      </w:r>
    </w:p>
    <w:p>
      <w:pPr>
        <w:pBdr>
          <w:bottom w:val="single" w:sz="12" w:color="3418E0"/>
        </w:pBdr>
        <w:spacing w:before="0" w:after="280"/>
      </w:pPr>
    </w:p>
    <w:p>
      <w:pPr>
        <w:widowControl w:val="true"/>
        <w:spacing w:before="0" w:after="360" w:line="322" w:lineRule="auto"/>
      </w:pPr>
      <w:r>
        <w:rPr>
          <w:rFonts w:ascii="Plus Jakarta Sans" w:hAnsi="Plus Jakarta Sans" w:cs="Segoe UI"/>
          <w:b w:val="0"/>
          <w:i w:val="0"/>
          <w:color w:val="3A4050"/>
          <w:sz w:val="27"/>
          <w:szCs w:val="27"/>
        </w:rPr>
        <w:t>Every first-time founder in Egypt gets a method, not a motivational speech.</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198,000</w:t>
            </w:r>
          </w:p>
          <w:p>
            <w:pPr>
              <w:spacing w:after="0" w:line="293" w:lineRule="auto"/>
            </w:pPr>
            <w:r>
              <w:rPr>
                <w:rFonts w:ascii="Plus Jakarta Sans" w:hAnsi="Plus Jakarta Sans" w:cs="Segoe UI"/>
                <w:b w:val="0"/>
                <w:i w:val="0"/>
                <w:color w:val="3A4050"/>
                <w:sz w:val="15"/>
                <w:szCs w:val="15"/>
              </w:rPr>
              <w:t>first-time founders in wave 1</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1,200,000</w:t>
            </w:r>
          </w:p>
          <w:p>
            <w:pPr>
              <w:spacing w:after="0" w:line="293" w:lineRule="auto"/>
            </w:pPr>
            <w:r>
              <w:rPr>
                <w:rFonts w:ascii="Plus Jakarta Sans" w:hAnsi="Plus Jakarta Sans" w:cs="Segoe UI"/>
                <w:b w:val="0"/>
                <w:i w:val="0"/>
                <w:color w:val="3A4050"/>
                <w:sz w:val="15"/>
                <w:szCs w:val="15"/>
              </w:rPr>
              <w:t>people reached</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71,359</w:t>
            </w:r>
          </w:p>
          <w:p>
            <w:pPr>
              <w:spacing w:after="0" w:line="293" w:lineRule="auto"/>
            </w:pPr>
            <w:r>
              <w:rPr>
                <w:rFonts w:ascii="Plus Jakarta Sans" w:hAnsi="Plus Jakarta Sans" w:cs="Segoe UI"/>
                <w:b w:val="0"/>
                <w:i w:val="0"/>
                <w:color w:val="3A4050"/>
                <w:sz w:val="15"/>
                <w:szCs w:val="15"/>
              </w:rPr>
              <w:t>ideas in the bank</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6</w:t>
            </w:r>
          </w:p>
          <w:p>
            <w:pPr>
              <w:spacing w:after="0" w:line="293" w:lineRule="auto"/>
            </w:pPr>
            <w:r>
              <w:rPr>
                <w:rFonts w:ascii="Plus Jakarta Sans" w:hAnsi="Plus Jakarta Sans" w:cs="Segoe UI"/>
                <w:b w:val="0"/>
                <w:i w:val="0"/>
                <w:color w:val="3A4050"/>
                <w:sz w:val="15"/>
                <w:szCs w:val="15"/>
              </w:rPr>
              <w:t>months, March to August 2027</w:t>
            </w:r>
          </w:p>
        </w:tc>
      </w:tr>
    </w:tbl>
    <w:p>
      <w:pPr>
        <w:widowControl w:val="true"/>
        <w:spacing w:before="0" w:after="160" w:line="322" w:lineRule="auto"/>
      </w:pPr>
    </w:p>
    <w:p>
      <w:pPr>
        <w:widowControl w:val="true"/>
        <w:spacing w:before="0" w:after="200" w:line="322" w:lineRule="auto"/>
      </w:pP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For CSR sponsors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Cash and in-kind. Named association with a national initiative, a reporting pack that survives audit, a pre-qualified venture pipeline, and the quarterly read on what young Egyptians are actually trying to build.</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For NGOs and development partners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In-kind, reach and co-funding. The method and the facilitator certification for their own staff, which they keep afterwards, a measured evidence base for their next donor proposal, and access to the sponsor coalition.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For youth foundations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Community reach, no cash. The full programme free for every member, a credential their leadership keeps after their term ends, a national stage at the showcase, better-prepared teams for their own competitions, and their own chapter's data.</w:t>
      </w:r>
    </w:p>
    <w:p>
      <w:pPr>
        <w:widowControl w:val="true"/>
        <w:spacing w:before="0" w:after="240" w:line="322" w:lineRule="auto"/>
      </w:pPr>
    </w:p>
    <w:p>
      <w:pPr>
        <w:widowControl w:val="true"/>
        <w:spacing w:before="0" w:after="20" w:line="322" w:lineRule="auto"/>
      </w:pPr>
      <w:r>
        <w:rPr>
          <w:rFonts w:ascii="Plus Jakarta Sans" w:hAnsi="Plus Jakarta Sans" w:cs="Segoe UI"/>
          <w:b/>
          <w:i w:val="0"/>
          <w:color w:val="0B0E14"/>
          <w:sz w:val="20"/>
          <w:szCs w:val="20"/>
        </w:rPr>
        <w:t>StartPad</w:t>
      </w:r>
    </w:p>
    <w:p>
      <w:pPr>
        <w:widowControl w:val="true"/>
        <w:spacing w:before="0" w:after="0" w:line="322" w:lineRule="auto"/>
      </w:pPr>
      <w:r>
        <w:rPr>
          <w:rFonts w:ascii="Plus Jakarta Sans" w:hAnsi="Plus Jakarta Sans" w:cs="Segoe UI"/>
          <w:b w:val="0"/>
          <w:i w:val="0"/>
          <w:color w:val="6B7285"/>
          <w:sz w:val="18"/>
          <w:szCs w:val="18"/>
        </w:rPr>
        <w:t>Cairo, Egypt</w:t>
      </w:r>
    </w:p>
    <w:p>
      <w:r>
        <w:br w:type="page"/>
      </w:r>
    </w:p>
    <w:p>
      <w:pPr>
        <w:widowControl w:val="true"/>
        <w:spacing w:before="0" w:after="160" w:line="322" w:lineRule="auto"/>
      </w:pPr>
      <w:r>
        <w:rPr>
          <w:rFonts w:ascii="Plus Jakarta Sans" w:hAnsi="Plus Jakarta Sans" w:cs="Segoe UI"/>
          <w:b/>
          <w:i w:val="0"/>
          <w:color w:val="3418E0"/>
          <w:spacing w:val="36"/>
          <w:sz w:val="17"/>
          <w:szCs w:val="17"/>
        </w:rPr>
        <w:t>CONTENTS</w:t>
      </w:r>
    </w:p>
    <w:p>
      <w:pPr>
        <w:pBdr>
          <w:bottom w:val="single" w:sz="6" w:color="E2E4EA"/>
        </w:pBdr>
        <w:spacing w:before="0" w:after="200"/>
      </w:pPr>
    </w:p>
    <w:p>
      <w:pPr>
        <w:spacing w:after="100" w:line="288" w:lineRule="auto"/>
      </w:pPr>
      <w:r>
        <w:rPr>
          <w:rFonts w:ascii="Plus Jakarta Sans" w:hAnsi="Plus Jakarta Sans" w:cs="Segoe UI"/>
          <w:b/>
          <w:i w:val="0"/>
          <w:color w:val="3418E0"/>
          <w:sz w:val="18"/>
          <w:szCs w:val="18"/>
        </w:rPr>
        <w:t>01</w:t>
      </w:r>
      <w:r>
        <w:rPr>
          <w:rFonts w:ascii="Plus Jakarta Sans" w:hAnsi="Plus Jakarta Sans" w:cs="Segoe UI"/>
          <w:b/>
          <w:i w:val="0"/>
          <w:color w:val="0B0E14"/>
          <w:sz w:val="21"/>
          <w:szCs w:val="21"/>
        </w:rPr>
        <w:t xml:space="preserve">      The initiative</w:t>
      </w:r>
    </w:p>
    <w:p>
      <w:pPr>
        <w:spacing w:after="100" w:line="288" w:lineRule="auto"/>
      </w:pPr>
      <w:r>
        <w:rPr>
          <w:rFonts w:ascii="Plus Jakarta Sans" w:hAnsi="Plus Jakarta Sans" w:cs="Segoe UI"/>
          <w:b/>
          <w:i w:val="0"/>
          <w:color w:val="3418E0"/>
          <w:sz w:val="18"/>
          <w:szCs w:val="18"/>
        </w:rPr>
        <w:t>02</w:t>
      </w:r>
      <w:r>
        <w:rPr>
          <w:rFonts w:ascii="Plus Jakarta Sans" w:hAnsi="Plus Jakarta Sans" w:cs="Segoe UI"/>
          <w:b/>
          <w:i w:val="0"/>
          <w:color w:val="0B0E14"/>
          <w:sz w:val="21"/>
          <w:szCs w:val="21"/>
        </w:rPr>
        <w:t xml:space="preserve">      What a first-time founder actually gets</w:t>
      </w:r>
    </w:p>
    <w:p>
      <w:pPr>
        <w:spacing w:after="100" w:line="288" w:lineRule="auto"/>
      </w:pPr>
      <w:r>
        <w:rPr>
          <w:rFonts w:ascii="Plus Jakarta Sans" w:hAnsi="Plus Jakarta Sans" w:cs="Segoe UI"/>
          <w:b/>
          <w:i w:val="0"/>
          <w:color w:val="3418E0"/>
          <w:sz w:val="18"/>
          <w:szCs w:val="18"/>
        </w:rPr>
        <w:t>03</w:t>
      </w:r>
      <w:r>
        <w:rPr>
          <w:rFonts w:ascii="Plus Jakarta Sans" w:hAnsi="Plus Jakarta Sans" w:cs="Segoe UI"/>
          <w:b/>
          <w:i w:val="0"/>
          <w:color w:val="0B0E14"/>
          <w:sz w:val="21"/>
          <w:szCs w:val="21"/>
        </w:rPr>
        <w:t xml:space="preserve">      The three roles</w:t>
      </w:r>
    </w:p>
    <w:p>
      <w:pPr>
        <w:spacing w:after="100" w:line="288" w:lineRule="auto"/>
      </w:pPr>
      <w:r>
        <w:rPr>
          <w:rFonts w:ascii="Plus Jakarta Sans" w:hAnsi="Plus Jakarta Sans" w:cs="Segoe UI"/>
          <w:b/>
          <w:i w:val="0"/>
          <w:color w:val="3418E0"/>
          <w:sz w:val="18"/>
          <w:szCs w:val="18"/>
        </w:rPr>
        <w:t>04</w:t>
      </w:r>
      <w:r>
        <w:rPr>
          <w:rFonts w:ascii="Plus Jakarta Sans" w:hAnsi="Plus Jakarta Sans" w:cs="Segoe UI"/>
          <w:b/>
          <w:i w:val="0"/>
          <w:color w:val="0B0E14"/>
          <w:sz w:val="21"/>
          <w:szCs w:val="21"/>
        </w:rPr>
        <w:t xml:space="preserve">      Why a CSR sponsor joins</w:t>
      </w:r>
    </w:p>
    <w:p>
      <w:pPr>
        <w:spacing w:after="100" w:line="288" w:lineRule="auto"/>
      </w:pPr>
      <w:r>
        <w:rPr>
          <w:rFonts w:ascii="Plus Jakarta Sans" w:hAnsi="Plus Jakarta Sans" w:cs="Segoe UI"/>
          <w:b/>
          <w:i w:val="0"/>
          <w:color w:val="3418E0"/>
          <w:sz w:val="18"/>
          <w:szCs w:val="18"/>
        </w:rPr>
        <w:t>05</w:t>
      </w:r>
      <w:r>
        <w:rPr>
          <w:rFonts w:ascii="Plus Jakarta Sans" w:hAnsi="Plus Jakarta Sans" w:cs="Segoe UI"/>
          <w:b/>
          <w:i w:val="0"/>
          <w:color w:val="0B0E14"/>
          <w:sz w:val="21"/>
          <w:szCs w:val="21"/>
        </w:rPr>
        <w:t xml:space="preserve">      Why an NGO or development partner joins</w:t>
      </w:r>
    </w:p>
    <w:p>
      <w:pPr>
        <w:spacing w:after="100" w:line="288" w:lineRule="auto"/>
      </w:pPr>
      <w:r>
        <w:rPr>
          <w:rFonts w:ascii="Plus Jakarta Sans" w:hAnsi="Plus Jakarta Sans" w:cs="Segoe UI"/>
          <w:b/>
          <w:i w:val="0"/>
          <w:color w:val="3418E0"/>
          <w:sz w:val="18"/>
          <w:szCs w:val="18"/>
        </w:rPr>
        <w:t>06</w:t>
      </w:r>
      <w:r>
        <w:rPr>
          <w:rFonts w:ascii="Plus Jakarta Sans" w:hAnsi="Plus Jakarta Sans" w:cs="Segoe UI"/>
          <w:b/>
          <w:i w:val="0"/>
          <w:color w:val="0B0E14"/>
          <w:sz w:val="21"/>
          <w:szCs w:val="21"/>
        </w:rPr>
        <w:t xml:space="preserve">      Why a youth foundation joins</w:t>
      </w:r>
    </w:p>
    <w:p>
      <w:pPr>
        <w:spacing w:after="100" w:line="288" w:lineRule="auto"/>
      </w:pPr>
      <w:r>
        <w:rPr>
          <w:rFonts w:ascii="Plus Jakarta Sans" w:hAnsi="Plus Jakarta Sans" w:cs="Segoe UI"/>
          <w:b/>
          <w:i w:val="0"/>
          <w:color w:val="3418E0"/>
          <w:sz w:val="18"/>
          <w:szCs w:val="18"/>
        </w:rPr>
        <w:t>07</w:t>
      </w:r>
      <w:r>
        <w:rPr>
          <w:rFonts w:ascii="Plus Jakarta Sans" w:hAnsi="Plus Jakarta Sans" w:cs="Segoe UI"/>
          <w:b/>
          <w:i w:val="0"/>
          <w:color w:val="0B0E14"/>
          <w:sz w:val="21"/>
          <w:szCs w:val="21"/>
        </w:rPr>
        <w:t xml:space="preserve">      The ideas bank, and the rules that govern it</w:t>
      </w:r>
    </w:p>
    <w:p>
      <w:pPr>
        <w:spacing w:after="100" w:line="288" w:lineRule="auto"/>
      </w:pPr>
      <w:r>
        <w:rPr>
          <w:rFonts w:ascii="Plus Jakarta Sans" w:hAnsi="Plus Jakarta Sans" w:cs="Segoe UI"/>
          <w:b/>
          <w:i w:val="0"/>
          <w:color w:val="3418E0"/>
          <w:sz w:val="18"/>
          <w:szCs w:val="18"/>
        </w:rPr>
        <w:t>08</w:t>
      </w:r>
      <w:r>
        <w:rPr>
          <w:rFonts w:ascii="Plus Jakarta Sans" w:hAnsi="Plus Jakarta Sans" w:cs="Segoe UI"/>
          <w:b/>
          <w:i w:val="0"/>
          <w:color w:val="0B0E14"/>
          <w:sz w:val="21"/>
          <w:szCs w:val="21"/>
        </w:rPr>
        <w:t xml:space="preserve">      Sponsorship packages</w:t>
      </w:r>
    </w:p>
    <w:p>
      <w:pPr>
        <w:spacing w:after="100" w:line="288" w:lineRule="auto"/>
      </w:pPr>
      <w:r>
        <w:rPr>
          <w:rFonts w:ascii="Plus Jakarta Sans" w:hAnsi="Plus Jakarta Sans" w:cs="Segoe UI"/>
          <w:b/>
          <w:i w:val="0"/>
          <w:color w:val="3418E0"/>
          <w:sz w:val="18"/>
          <w:szCs w:val="18"/>
        </w:rPr>
        <w:t>09</w:t>
      </w:r>
      <w:r>
        <w:rPr>
          <w:rFonts w:ascii="Plus Jakarta Sans" w:hAnsi="Plus Jakarta Sans" w:cs="Segoe UI"/>
          <w:b/>
          <w:i w:val="0"/>
          <w:color w:val="0B0E14"/>
          <w:sz w:val="21"/>
          <w:szCs w:val="21"/>
        </w:rPr>
        <w:t xml:space="preserve">      In-kind support</w:t>
      </w:r>
    </w:p>
    <w:p>
      <w:pPr>
        <w:spacing w:after="100" w:line="288" w:lineRule="auto"/>
      </w:pPr>
      <w:r>
        <w:rPr>
          <w:rFonts w:ascii="Plus Jakarta Sans" w:hAnsi="Plus Jakarta Sans" w:cs="Segoe UI"/>
          <w:b/>
          <w:i w:val="0"/>
          <w:color w:val="3418E0"/>
          <w:sz w:val="18"/>
          <w:szCs w:val="18"/>
        </w:rPr>
        <w:t>10</w:t>
      </w:r>
      <w:r>
        <w:rPr>
          <w:rFonts w:ascii="Plus Jakarta Sans" w:hAnsi="Plus Jakarta Sans" w:cs="Segoe UI"/>
          <w:b/>
          <w:i w:val="0"/>
          <w:color w:val="0B0E14"/>
          <w:sz w:val="21"/>
          <w:szCs w:val="21"/>
        </w:rPr>
        <w:t xml:space="preserve">      The six months, and why this window</w:t>
      </w:r>
    </w:p>
    <w:p>
      <w:pPr>
        <w:spacing w:after="100" w:line="288" w:lineRule="auto"/>
      </w:pPr>
      <w:r>
        <w:rPr>
          <w:rFonts w:ascii="Plus Jakarta Sans" w:hAnsi="Plus Jakarta Sans" w:cs="Segoe UI"/>
          <w:b/>
          <w:i w:val="0"/>
          <w:color w:val="3418E0"/>
          <w:sz w:val="18"/>
          <w:szCs w:val="18"/>
        </w:rPr>
        <w:t>11</w:t>
      </w:r>
      <w:r>
        <w:rPr>
          <w:rFonts w:ascii="Plus Jakarta Sans" w:hAnsi="Plus Jakarta Sans" w:cs="Segoe UI"/>
          <w:b/>
          <w:i w:val="0"/>
          <w:color w:val="0B0E14"/>
          <w:sz w:val="21"/>
          <w:szCs w:val="21"/>
        </w:rPr>
        <w:t xml:space="preserve">      The arithmetic</w:t>
      </w:r>
    </w:p>
    <w:p>
      <w:pPr>
        <w:spacing w:after="100" w:line="288" w:lineRule="auto"/>
      </w:pPr>
      <w:r>
        <w:rPr>
          <w:rFonts w:ascii="Plus Jakarta Sans" w:hAnsi="Plus Jakarta Sans" w:cs="Segoe UI"/>
          <w:b/>
          <w:i w:val="0"/>
          <w:color w:val="3418E0"/>
          <w:sz w:val="18"/>
          <w:szCs w:val="18"/>
        </w:rPr>
        <w:t>12</w:t>
      </w:r>
      <w:r>
        <w:rPr>
          <w:rFonts w:ascii="Plus Jakarta Sans" w:hAnsi="Plus Jakarta Sans" w:cs="Segoe UI"/>
          <w:b/>
          <w:i w:val="0"/>
          <w:color w:val="0B0E14"/>
          <w:sz w:val="21"/>
          <w:szCs w:val="21"/>
        </w:rPr>
        <w:t xml:space="preserve">      Operations in the field</w:t>
      </w:r>
    </w:p>
    <w:p>
      <w:pPr>
        <w:spacing w:after="100" w:line="288" w:lineRule="auto"/>
      </w:pPr>
      <w:r>
        <w:rPr>
          <w:rFonts w:ascii="Plus Jakarta Sans" w:hAnsi="Plus Jakarta Sans" w:cs="Segoe UI"/>
          <w:b/>
          <w:i w:val="0"/>
          <w:color w:val="3418E0"/>
          <w:sz w:val="18"/>
          <w:szCs w:val="18"/>
        </w:rPr>
        <w:t>13</w:t>
      </w:r>
      <w:r>
        <w:rPr>
          <w:rFonts w:ascii="Plus Jakarta Sans" w:hAnsi="Plus Jakarta Sans" w:cs="Segoe UI"/>
          <w:b/>
          <w:i w:val="0"/>
          <w:color w:val="0B0E14"/>
          <w:sz w:val="21"/>
          <w:szCs w:val="21"/>
        </w:rPr>
        <w:t xml:space="preserve">      Every event in the wave</w:t>
      </w:r>
    </w:p>
    <w:p>
      <w:pPr>
        <w:spacing w:after="100" w:line="288" w:lineRule="auto"/>
      </w:pPr>
      <w:r>
        <w:rPr>
          <w:rFonts w:ascii="Plus Jakarta Sans" w:hAnsi="Plus Jakarta Sans" w:cs="Segoe UI"/>
          <w:b/>
          <w:i w:val="0"/>
          <w:color w:val="3418E0"/>
          <w:sz w:val="18"/>
          <w:szCs w:val="18"/>
        </w:rPr>
        <w:t>14</w:t>
      </w:r>
      <w:r>
        <w:rPr>
          <w:rFonts w:ascii="Plus Jakarta Sans" w:hAnsi="Plus Jakarta Sans" w:cs="Segoe UI"/>
          <w:b/>
          <w:i w:val="0"/>
          <w:color w:val="0B0E14"/>
          <w:sz w:val="21"/>
          <w:szCs w:val="21"/>
        </w:rPr>
        <w:t xml:space="preserve">      What StartPad gets back</w:t>
      </w:r>
    </w:p>
    <w:p>
      <w:pPr>
        <w:spacing w:after="100" w:line="288" w:lineRule="auto"/>
      </w:pPr>
      <w:r>
        <w:rPr>
          <w:rFonts w:ascii="Plus Jakarta Sans" w:hAnsi="Plus Jakarta Sans" w:cs="Segoe UI"/>
          <w:b/>
          <w:i w:val="0"/>
          <w:color w:val="3418E0"/>
          <w:sz w:val="18"/>
          <w:szCs w:val="18"/>
        </w:rPr>
        <w:t>15</w:t>
      </w:r>
      <w:r>
        <w:rPr>
          <w:rFonts w:ascii="Plus Jakarta Sans" w:hAnsi="Plus Jakarta Sans" w:cs="Segoe UI"/>
          <w:b/>
          <w:i w:val="0"/>
          <w:color w:val="0B0E14"/>
          <w:sz w:val="21"/>
          <w:szCs w:val="21"/>
        </w:rPr>
        <w:t xml:space="preserve">      Governance, measurement and risk</w:t>
      </w:r>
    </w:p>
    <w:p>
      <w:pPr>
        <w:spacing w:after="100" w:line="288" w:lineRule="auto"/>
      </w:pPr>
      <w:r>
        <w:rPr>
          <w:rFonts w:ascii="Plus Jakarta Sans" w:hAnsi="Plus Jakarta Sans" w:cs="Segoe UI"/>
          <w:b/>
          <w:i w:val="0"/>
          <w:color w:val="3418E0"/>
          <w:sz w:val="18"/>
          <w:szCs w:val="18"/>
        </w:rPr>
        <w:t>16</w:t>
      </w:r>
      <w:r>
        <w:rPr>
          <w:rFonts w:ascii="Plus Jakarta Sans" w:hAnsi="Plus Jakarta Sans" w:cs="Segoe UI"/>
          <w:b/>
          <w:i w:val="0"/>
          <w:color w:val="0B0E14"/>
          <w:sz w:val="21"/>
          <w:szCs w:val="21"/>
        </w:rPr>
        <w:t xml:space="preserve">      How to join</w:t>
      </w:r>
    </w:p>
    <w:p>
      <w:pPr>
        <w:spacing w:after="100" w:line="288" w:lineRule="auto"/>
      </w:pPr>
      <w:r>
        <w:rPr>
          <w:rFonts w:ascii="Plus Jakarta Sans" w:hAnsi="Plus Jakarta Sans" w:cs="Segoe UI"/>
          <w:b/>
          <w:i w:val="0"/>
          <w:color w:val="3418E0"/>
          <w:sz w:val="18"/>
          <w:szCs w:val="18"/>
        </w:rPr>
        <w:t>17</w:t>
      </w:r>
      <w:r>
        <w:rPr>
          <w:rFonts w:ascii="Plus Jakarta Sans" w:hAnsi="Plus Jakarta Sans" w:cs="Segoe UI"/>
          <w:b/>
          <w:i w:val="0"/>
          <w:color w:val="0B0E14"/>
          <w:sz w:val="21"/>
          <w:szCs w:val="21"/>
        </w:rPr>
        <w:t xml:space="preserve">      Appendix: the fifteen missions</w:t>
      </w:r>
    </w:p>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0"/>
          <w:szCs w:val="40"/>
        </w:rPr>
        <w:t>The initiative</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One Million First-Time Founders invites Egyptian corporates with a CSR budget, NGOs and development partners, and the youth foundations whose members fill the country's campuses, to carry one ambition together: that a first-time founder in Egypt should be given a method rather than a motivational speech.</w:t>
      </w:r>
    </w:p>
    <w:p>
      <w:pPr>
        <w:widowControl w:val="true"/>
        <w:spacing w:before="0" w:after="100" w:line="322" w:lineRule="auto"/>
      </w:pPr>
      <w:r>
        <w:rPr>
          <w:rFonts w:ascii="Plus Jakarta Sans" w:hAnsi="Plus Jakarta Sans" w:cs="Segoe UI"/>
          <w:b w:val="0"/>
          <w:i w:val="0"/>
          <w:color w:val="0B0E14"/>
          <w:sz w:val="19"/>
          <w:szCs w:val="19"/>
        </w:rPr>
        <w:t>A young Egyptian with an idea today has two options. They can read, watch and guess, which is what almost all of them do, or they can win a place in an accelerator, which almost none of them will. Between those two there is nothing: no structured path from a problem worth solving to a first customer, in Arabic, that an ordinary student in Minya or Assiut can start on a Tuesday evening.</w:t>
      </w:r>
    </w:p>
    <w:p>
      <w:pPr>
        <w:widowControl w:val="true"/>
        <w:spacing w:before="0" w:after="100" w:line="322" w:lineRule="auto"/>
      </w:pPr>
      <w:r>
        <w:rPr>
          <w:rFonts w:ascii="Plus Jakarta Sans" w:hAnsi="Plus Jakarta Sans" w:cs="Segoe UI"/>
          <w:b w:val="0"/>
          <w:i w:val="0"/>
          <w:color w:val="0B0E14"/>
          <w:sz w:val="19"/>
          <w:szCs w:val="19"/>
        </w:rPr>
        <w:t>StartPad is that path. Fifteen missions take a founder from a problem they have observed to a tested model, a prototype and a launch. Every submission is reviewed. The first three missions are free, for everyone, permanently. The rest is what sponsorship pays for.</w:t>
      </w:r>
    </w:p>
    <w:p>
      <w:pPr>
        <w:keepNext/>
        <w:widowControl w:val="true"/>
        <w:spacing w:before="280" w:after="100" w:line="288" w:lineRule="auto"/>
      </w:pPr>
      <w:r>
        <w:rPr>
          <w:rFonts w:ascii="Plus Jakarta Sans" w:hAnsi="Plus Jakarta Sans" w:cs="Segoe UI"/>
          <w:b/>
          <w:i w:val="0"/>
          <w:color w:val="0B0E14"/>
          <w:sz w:val="24"/>
          <w:szCs w:val="24"/>
        </w:rPr>
        <w:t>What this document is</w:t>
      </w:r>
    </w:p>
    <w:p>
      <w:pPr>
        <w:widowControl w:val="true"/>
        <w:spacing w:before="0" w:after="100" w:line="322" w:lineRule="auto"/>
      </w:pPr>
      <w:r>
        <w:rPr>
          <w:rFonts w:ascii="Plus Jakarta Sans" w:hAnsi="Plus Jakarta Sans" w:cs="Segoe UI"/>
          <w:b w:val="0"/>
          <w:i w:val="0"/>
          <w:color w:val="0B0E14"/>
          <w:sz w:val="19"/>
          <w:szCs w:val="19"/>
        </w:rPr>
        <w:t>A framework, not a brochure. It sets out the three partner roles and what each gives and gets, the sponsorship tiers and the in-kind menu, the six-month plan for 2027 and why that window and not another, the arithmetic behind every number quoted, the rules that govern the ideas bank, and the governance a partner is signing into.</w:t>
      </w:r>
    </w:p>
    <w:p>
      <w:pPr>
        <w:widowControl w:val="true"/>
        <w:spacing w:before="0" w:after="100" w:line="322" w:lineRule="auto"/>
      </w:pPr>
      <w:r>
        <w:rPr>
          <w:rFonts w:ascii="Plus Jakarta Sans" w:hAnsi="Plus Jakarta Sans" w:cs="Segoe UI"/>
          <w:b w:val="0"/>
          <w:i w:val="0"/>
          <w:color w:val="0B0E14"/>
          <w:sz w:val="19"/>
          <w:szCs w:val="19"/>
        </w:rPr>
        <w:t>It is written to be checked. Every figure in it is derived from a stated assumption with its driver written next to it, and none of them is a measured result, because the initiative has not run yet.</w:t>
      </w:r>
    </w:p>
    <w:p>
      <w:pPr>
        <w:keepNext/>
        <w:widowControl w:val="true"/>
        <w:spacing w:before="280" w:after="100" w:line="288" w:lineRule="auto"/>
      </w:pPr>
      <w:r>
        <w:rPr>
          <w:rFonts w:ascii="Plus Jakarta Sans" w:hAnsi="Plus Jakarta Sans" w:cs="Segoe UI"/>
          <w:b/>
          <w:i w:val="0"/>
          <w:color w:val="0B0E14"/>
          <w:sz w:val="24"/>
          <w:szCs w:val="24"/>
        </w:rPr>
        <w:t>Wave 1 at a glance</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1,200,000</w:t>
            </w:r>
          </w:p>
          <w:p>
            <w:pPr>
              <w:spacing w:after="0" w:line="293" w:lineRule="auto"/>
            </w:pPr>
            <w:r>
              <w:rPr>
                <w:rFonts w:ascii="Plus Jakarta Sans" w:hAnsi="Plus Jakarta Sans" w:cs="Segoe UI"/>
                <w:b w:val="0"/>
                <w:i w:val="0"/>
                <w:color w:val="3A4050"/>
                <w:sz w:val="15"/>
                <w:szCs w:val="15"/>
              </w:rPr>
              <w:t>people reached</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198,000</w:t>
            </w:r>
          </w:p>
          <w:p>
            <w:pPr>
              <w:spacing w:after="0" w:line="293" w:lineRule="auto"/>
            </w:pPr>
            <w:r>
              <w:rPr>
                <w:rFonts w:ascii="Plus Jakarta Sans" w:hAnsi="Plus Jakarta Sans" w:cs="Segoe UI"/>
                <w:b w:val="0"/>
                <w:i w:val="0"/>
                <w:color w:val="3A4050"/>
                <w:sz w:val="15"/>
                <w:szCs w:val="15"/>
              </w:rPr>
              <w:t>first-time founders registered</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20,100</w:t>
            </w:r>
          </w:p>
          <w:p>
            <w:pPr>
              <w:spacing w:after="0" w:line="293" w:lineRule="auto"/>
            </w:pPr>
            <w:r>
              <w:rPr>
                <w:rFonts w:ascii="Plus Jakarta Sans" w:hAnsi="Plus Jakarta Sans" w:cs="Segoe UI"/>
                <w:b w:val="0"/>
                <w:i w:val="0"/>
                <w:color w:val="3A4050"/>
                <w:sz w:val="15"/>
                <w:szCs w:val="15"/>
              </w:rPr>
              <w:t>through all 15 missions</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71,359</w:t>
            </w:r>
          </w:p>
          <w:p>
            <w:pPr>
              <w:spacing w:after="0" w:line="293" w:lineRule="auto"/>
            </w:pPr>
            <w:r>
              <w:rPr>
                <w:rFonts w:ascii="Plus Jakarta Sans" w:hAnsi="Plus Jakarta Sans" w:cs="Segoe UI"/>
                <w:b w:val="0"/>
                <w:i w:val="0"/>
                <w:color w:val="3A4050"/>
                <w:sz w:val="15"/>
                <w:szCs w:val="15"/>
              </w:rPr>
              <w:t>ideas in the bank</w:t>
            </w:r>
          </w:p>
        </w:tc>
      </w:tr>
    </w:tbl>
    <w:p>
      <w:pPr>
        <w:widowControl w:val="true"/>
        <w:spacing w:before="0" w:after="160" w:line="322" w:lineRule="auto"/>
      </w:pP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30</w:t>
            </w:r>
          </w:p>
          <w:p>
            <w:pPr>
              <w:spacing w:after="0" w:line="293" w:lineRule="auto"/>
            </w:pPr>
            <w:r>
              <w:rPr>
                <w:rFonts w:ascii="Plus Jakarta Sans" w:hAnsi="Plus Jakarta Sans" w:cs="Segoe UI"/>
                <w:b w:val="0"/>
                <w:i w:val="0"/>
                <w:color w:val="3A4050"/>
                <w:sz w:val="15"/>
                <w:szCs w:val="15"/>
              </w:rPr>
              <w:t>in-person cohorts</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2,010</w:t>
            </w:r>
          </w:p>
          <w:p>
            <w:pPr>
              <w:spacing w:after="0" w:line="293" w:lineRule="auto"/>
            </w:pPr>
            <w:r>
              <w:rPr>
                <w:rFonts w:ascii="Plus Jakarta Sans" w:hAnsi="Plus Jakarta Sans" w:cs="Segoe UI"/>
                <w:b w:val="0"/>
                <w:i w:val="0"/>
                <w:color w:val="3A4050"/>
                <w:sz w:val="15"/>
                <w:szCs w:val="15"/>
              </w:rPr>
              <w:t>ventures trading at month 12</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$190,500</w:t>
            </w:r>
          </w:p>
          <w:p>
            <w:pPr>
              <w:spacing w:after="0" w:line="293" w:lineRule="auto"/>
            </w:pPr>
            <w:r>
              <w:rPr>
                <w:rFonts w:ascii="Plus Jakarta Sans" w:hAnsi="Plus Jakarta Sans" w:cs="Segoe UI"/>
                <w:b w:val="0"/>
                <w:i w:val="0"/>
                <w:color w:val="3A4050"/>
                <w:sz w:val="15"/>
                <w:szCs w:val="15"/>
              </w:rPr>
              <w:t>budget at 50% coalition fill</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6</w:t>
            </w:r>
          </w:p>
          <w:p>
            <w:pPr>
              <w:spacing w:after="0" w:line="293" w:lineRule="auto"/>
            </w:pPr>
            <w:r>
              <w:rPr>
                <w:rFonts w:ascii="Plus Jakarta Sans" w:hAnsi="Plus Jakarta Sans" w:cs="Segoe UI"/>
                <w:b w:val="0"/>
                <w:i w:val="0"/>
                <w:color w:val="3A4050"/>
                <w:sz w:val="15"/>
                <w:szCs w:val="15"/>
              </w:rPr>
              <w:t>months, March to August 2027</w:t>
            </w:r>
          </w:p>
        </w:tc>
      </w:tr>
    </w:tbl>
    <w:p>
      <w:pPr>
        <w:widowControl w:val="true"/>
        <w:spacing w:before="0" w:after="16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million is not a six-month number, and this document will not pretend otherwise.</w:t>
      </w:r>
      <w:r>
        <w:rPr>
          <w:rFonts w:ascii="Plus Jakarta Sans" w:hAnsi="Plus Jakarta Sans" w:cs="Segoe UI"/>
          <w:b w:val="0"/>
          <w:i w:val="0"/>
          <w:color w:val="3A4050"/>
          <w:sz w:val="18"/>
          <w:szCs w:val="18"/>
        </w:rPr>
        <w:t xml:space="preserve"> Wave 1 registers about 198,000 first-time founders. The million is crossed in the fourth wave, in 2029, on these rates, and Section 11 shows the whole path. A partner who signs believing the million arrives in August 2027 becomes a problem at month six, so the number is stated plainly before anybody signs.</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0"/>
          <w:szCs w:val="40"/>
        </w:rPr>
        <w:t>What a first-time founder actually gets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The thing being sponsored is a method, not an event. This section is what a participant does, because every partner will be asked by somebody inside their own organisation what the money bought.</w:t>
      </w:r>
    </w:p>
    <w:p>
      <w:pPr>
        <w:keepNext/>
        <w:widowControl w:val="true"/>
        <w:spacing w:before="280" w:after="100" w:line="288" w:lineRule="auto"/>
      </w:pPr>
      <w:r>
        <w:rPr>
          <w:rFonts w:ascii="Plus Jakarta Sans" w:hAnsi="Plus Jakarta Sans" w:cs="Segoe UI"/>
          <w:b/>
          <w:i w:val="0"/>
          <w:color w:val="0B0E14"/>
          <w:sz w:val="24"/>
          <w:szCs w:val="24"/>
        </w:rPr>
        <w:t>Fifteen missions</w:t>
      </w:r>
    </w:p>
    <w:p>
      <w:pPr>
        <w:widowControl w:val="true"/>
        <w:spacing w:before="0" w:after="100" w:line="322" w:lineRule="auto"/>
      </w:pPr>
      <w:r>
        <w:rPr>
          <w:rFonts w:ascii="Plus Jakarta Sans" w:hAnsi="Plus Jakarta Sans" w:cs="Segoe UI"/>
          <w:b w:val="0"/>
          <w:i w:val="0"/>
          <w:color w:val="0B0E14"/>
          <w:sz w:val="19"/>
          <w:szCs w:val="19"/>
        </w:rPr>
        <w:t>A founder moves through fifteen missions in five phases: discovery, analysis, model, build and launch. Each mission asks a small number of hard questions, each one is submitted, and each submission is reviewed against a rubric rather than ticked off. A founder who finishes has a tested problem, a defined user, a business model, a prototype and a launch plan, and the evidence trail that produced each one.</w:t>
      </w:r>
    </w:p>
    <w:p>
      <w:pPr>
        <w:widowControl w:val="true"/>
        <w:spacing w:before="0" w:after="100" w:line="322" w:lineRule="auto"/>
      </w:pPr>
      <w:r>
        <w:rPr>
          <w:rFonts w:ascii="Plus Jakarta Sans" w:hAnsi="Plus Jakarta Sans" w:cs="Segoe UI"/>
          <w:b w:val="0"/>
          <w:i w:val="0"/>
          <w:color w:val="0B0E14"/>
          <w:sz w:val="19"/>
          <w:szCs w:val="19"/>
        </w:rPr>
        <w:t>Missions 01 to 03 are free to everybody in Egypt, forever, with no sponsor and no institution needed. That is deliberate: the free tier is how the initiative reaches a million people, and it is also the filter that tells us which of them are serious before anybody spends money on them.</w:t>
      </w:r>
    </w:p>
    <w:p>
      <w:pPr>
        <w:keepNext/>
        <w:widowControl w:val="true"/>
        <w:spacing w:before="280" w:after="100" w:line="288" w:lineRule="auto"/>
      </w:pPr>
      <w:r>
        <w:rPr>
          <w:rFonts w:ascii="Plus Jakarta Sans" w:hAnsi="Plus Jakarta Sans" w:cs="Segoe UI"/>
          <w:b/>
          <w:i w:val="0"/>
          <w:color w:val="0B0E14"/>
          <w:sz w:val="24"/>
          <w:szCs w:val="24"/>
        </w:rPr>
        <w:t>The three layers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platform, for everyone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fifteen missions, the tool library, the review, and the progress record. Arabic first. Works on a phone, because that is what the participant has.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cohort, for those a sponsor pays for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Six days in a room with a certified facilitator, missions every evening, and a showcase at the end. This is the part that changes completion rates, and it is the part that costs money.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community, for everyone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Chapters on campuses, ambassadors in governorates, and Mission Zero, the founder podcast, which is how a student in a city with no startup scene finds out that any of this exists.</w:t>
      </w:r>
    </w:p>
    <w:p>
      <w:pPr>
        <w:keepNext/>
        <w:widowControl w:val="true"/>
        <w:spacing w:before="280" w:after="100" w:line="288" w:lineRule="auto"/>
      </w:pPr>
      <w:r>
        <w:rPr>
          <w:rFonts w:ascii="Plus Jakarta Sans" w:hAnsi="Plus Jakarta Sans" w:cs="Segoe UI"/>
          <w:b/>
          <w:i w:val="0"/>
          <w:color w:val="0B0E14"/>
          <w:sz w:val="24"/>
          <w:szCs w:val="24"/>
        </w:rPr>
        <w:t>What the institution or sponsor receives</w:t>
      </w:r>
    </w:p>
    <w:p>
      <w:pPr>
        <w:widowControl w:val="true"/>
        <w:spacing w:before="0" w:after="100" w:line="322" w:lineRule="auto"/>
      </w:pPr>
      <w:r>
        <w:rPr>
          <w:rFonts w:ascii="Plus Jakarta Sans" w:hAnsi="Plus Jakarta Sans" w:cs="Segoe UI"/>
          <w:b w:val="0"/>
          <w:i w:val="0"/>
          <w:color w:val="0B0E14"/>
          <w:sz w:val="19"/>
          <w:szCs w:val="19"/>
        </w:rPr>
        <w:t>A cohort report: every participant named, what they built, what they completed, the facilitator's assessment and the showcase result. It is the artefact the buyer keeps, and in practice it closes more conversations than any description of the platform does.</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0"/>
          <w:szCs w:val="40"/>
        </w:rPr>
        <w:t>The three roles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Three kinds of organisation carry this initiative, and they are asked for three different things. Conflating them is the commonest way a coalition fails: a student organisation asked for sponsorship goes quiet, and a corporate asked only for reach never commits a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2494"/>
        <w:gridCol w:w="2608"/>
        <w:gridCol w:w="2948"/>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give</w:t>
            </w:r>
          </w:p>
        </w:tc>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get</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sponsor</w:t>
            </w:r>
          </w:p>
        </w:tc>
        <w:tc>
          <w:tcPr>
            <w:tcW w:type="dxa" w:w="24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Corporates with a CSR, sustainability or community investment budget, and the corporate and family foundations attached to them.</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Cash sponsorship at one of the tiers, in-kind support from the menu, and employee mentors and judges.</w:t>
            </w:r>
          </w:p>
        </w:tc>
        <w:tc>
          <w:tcPr>
            <w:tcW w:type="dxa" w:w="29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Named association with a national initiative, a reporting pack that survives audit, a pre-qualified venture pipeline, and the quarterly read on what young Egyptians are actually trying to build.</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development partner</w:t>
            </w:r>
          </w:p>
        </w:tc>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and international NGOs, philanthropic foundations, development agencies and UN agencies working on youth, livelihoods, employment or education.</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into their own beneficiary networks and governorates, staff time, venues, co-funding where they hold a relevant budget, and co-applicant status on joint proposals.</w:t>
            </w:r>
          </w:p>
        </w:tc>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method and the facilitator certification for their own staff, which they keep afterwards, a measured evidence base for their next donor proposal, and access to the sponsor coalition.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supporter</w:t>
            </w:r>
          </w:p>
        </w:tc>
        <w:tc>
          <w:tcPr>
            <w:tcW w:type="dxa" w:w="24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foundations and student organisations with members on campuses: Enactus, INJAZ, AIESEC, JCI, Hult Prize chapters, technical student branches and the youth volunteer networks.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students and members, their chapters as local hosts, and their leadership as certified facilitators.</w:t>
            </w:r>
          </w:p>
        </w:tc>
        <w:tc>
          <w:tcPr>
            <w:tcW w:type="dxa" w:w="29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full programme free for every member, a credential their leadership keeps after their term ends, a national stage at the showcase, better-prepared teams for their own competitions, and their own chapter's data.</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Community supporters are never asked for money</w:t>
      </w:r>
    </w:p>
    <w:p>
      <w:pPr>
        <w:widowControl w:val="true"/>
        <w:spacing w:before="0" w:after="100" w:line="322" w:lineRule="auto"/>
      </w:pPr>
      <w:r>
        <w:rPr>
          <w:rFonts w:ascii="Plus Jakarta Sans" w:hAnsi="Plus Jakarta Sans" w:cs="Segoe UI"/>
          <w:b w:val="0"/>
          <w:i w:val="0"/>
          <w:color w:val="0B0E14"/>
          <w:sz w:val="19"/>
          <w:szCs w:val="19"/>
        </w:rPr>
        <w:t>This is written into the charter and it is not a courtesy. A student organisation's currency is its members, its chapters and its leadership's time, and all three are worth more to this initiative than any cheque it could write. Enactus Egypt, INJAZ, AIESEC, the Hult Prize chapters and the technical student branches bring the single highest converting channel in the whole plan, because the invitation arrives from somebody the student already knows.</w:t>
      </w:r>
    </w:p>
    <w:p>
      <w:pPr>
        <w:keepNext/>
        <w:widowControl w:val="true"/>
        <w:spacing w:before="280" w:after="100" w:line="288" w:lineRule="auto"/>
      </w:pPr>
      <w:r>
        <w:rPr>
          <w:rFonts w:ascii="Plus Jakarta Sans" w:hAnsi="Plus Jakarta Sans" w:cs="Segoe UI"/>
          <w:b/>
          <w:i w:val="0"/>
          <w:color w:val="0B0E14"/>
          <w:sz w:val="24"/>
          <w:szCs w:val="24"/>
        </w:rPr>
        <w:t>Who is not asked to sponsor, and why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Government initiative and public agency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Patron and endorsement layer. A ministry or national initiative that lends its name, opens its institutions and counts the participants towards its own target is worth more than its budget, and asking it for money slows everything down.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Chamber, business association and network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Channel, not sponsor. One CSR committee meeting reaches thirty of the organisations on the invitation list.</w:t>
      </w:r>
    </w:p>
    <w:p>
      <w:pPr>
        <w:widowControl w:val="true"/>
        <w:spacing w:before="0" w:after="100" w:line="322" w:lineRule="auto"/>
      </w:pPr>
      <w:r>
        <w:rPr>
          <w:rFonts w:ascii="Plus Jakarta Sans" w:hAnsi="Plus Jakarta Sans" w:cs="Segoe UI"/>
          <w:b w:val="0"/>
          <w:i w:val="0"/>
          <w:color w:val="0B0E14"/>
          <w:sz w:val="19"/>
          <w:szCs w:val="19"/>
        </w:rPr>
        <w:t>A ministry that lends its name, opens its institutions and counts the participants towards its own national target is worth considerably more than its budget, and asking it for money slows everything else down. The patron relationships are secured before the coalition is announced, in the pre-wave months set out in Section 10.</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0"/>
          <w:szCs w:val="40"/>
        </w:rPr>
        <w:t>Why a CSR sponsor joins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corporate CSR team is not short of good causes. It is short of programmes that produce a number it can report, an asset it still has afterwards, and a reason for its own business to care. This section is the case, and the first three items are the ones that are not available anywhere else in Egypt.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See the direction of youth thinking before anyone else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participant states a problem before they state an idea. Across hundreds of thousands of them that becomes the first national read on what young Egyptians actually want to build: by sector, by governorate, by gender, by age, and by whether they are students, graduates or already trading. Nobody in Egypt publishes this today because nobody has the sample. A partner gets it quarterly, before it is published.</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Model your incubation and accelerator programmes on real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Most corporate accelerators are designed around what the sponsor finds interesting and then struggle to fill their cohorts. The direction report lets a sponsor design the opposite way round: open the track the applicants already exist for, in the governorate they are already in, at the stage they are actually at. For a partner who already runs an accelerator, this is the most valuable single thing in the package.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Reach into the ideas bank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idea developed on the platform, with the founder's consent, enters a searchable bank: the problem, the sector, the stage, the governorate, the team shape. Partners see the distribution by default and can run a themed call into it, which puts their own question to every participant in their sector and returns the consented answers. It is market research that pays for itself, and it is a recruitment and deal pipeline at the same time.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pre-qualified pipeline, not an application pile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ventures that reach the showcase have been through fifteen missions, a facilitator and an AI review. A sponsor's accelerator, prize or procurement team gets a shortlist that has already been filtered by work rather than by a form.</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generation that knows how a startup is actually built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awareness outcome is the one that outlives the wave. A million young people who understand how an idea becomes a customer, a cost structure and a company is a larger future market, a better talent pool and a healthier economy. It is also the single clearest thing a sponsor can say it paid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Reporting that survives an audit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Named participants, completion rates, governorate and gender disaggregation, cost per participant and cost per venture formed, mapped to SDG 4, 5, 8, 9 and 10, and written so it can go into an annual or GRI report without being rewritten.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Cost per outcome far below running it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corporate that builds this alone pays for curriculum, platform, facilitator recruitment and measurement before it reaches its first participant. Joining a coalition that already has all four means the whole contribution goes to delivery.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Employee engagement that is measured, not photographed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Staff serve as mentors and judges, hours are logged, and the hours come back in the closing report. CSR teams are asked for this number every year and usually have to estimate 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Name recognition tied to something real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governorate, a sector or one of the fifteen missions carried under the partner's name, in Arabic and English, in front of every participant in the country.</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direction report and the ideas bank are the differentiator.</w:t>
      </w:r>
      <w:r>
        <w:rPr>
          <w:rFonts w:ascii="Plus Jakarta Sans" w:hAnsi="Plus Jakarta Sans" w:cs="Segoe UI"/>
          <w:b w:val="0"/>
          <w:i w:val="0"/>
          <w:color w:val="3A4050"/>
          <w:sz w:val="18"/>
          <w:szCs w:val="18"/>
        </w:rPr>
        <w:t xml:space="preserve"> Any organisation can sponsor training. Nobody in Egypt can currently tell a partner what hundreds of thousands of young people are trying to build, by sector and by governorate, because nobody has the sample. A partner that has it can design its accelerator around demand that already exists instead of guessing, which is why that single benefit is usually worth more than the sponsorship costs.</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0"/>
          <w:szCs w:val="40"/>
        </w:rPr>
        <w:t>Why an NGO or development partner joins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An NGO is being asked for reach, staff time, venues and beneficiary networks, and in most cases for no money at all. What it gets back is capability it keeps, evidence it can use with its own donors, and access to a room full of corporate budgets.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Keep the method after the programme ends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Partner staff are certified as facilitators on the same standard as everyone else. When the wave closes, the organisation still has the capability, the curriculum access and the certification, which is the opposite of how most funded projects leave their implementers.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An evidence base for the next proposal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measured programme with baselines, disaggregation and an independent evaluation is the hardest thing for an NGO to fund on its own and the first thing its next donor asks for. The initiative produces it and shares 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Move beneficiaries from relief to income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Productive families grants, savings groups and vocational training all stop at the point where a business has to be designed. That is exactly where the fifteen missions start. This is the transition every social programme is asked to evidence and almost none can.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Reach the corporates you cannot reach alone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sponsor coalition is in the room every month. For an Egyptian NGO, the partner council is access to twenty corporate CSR decision makers that would otherwise take two years to build.</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See where ambition actually is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direction report, broken down by governorate, tells a development organisation where young people are trying to build and in what sectors. That shapes their own programme design, their site selection and their own funding case.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No cash is required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partner's contribution can be entirely reach, staff time, venues and beneficiary networks. Co-funding is welcome where a relevant budget exists, and is never the price of entry.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Joint proposals, with the platform cost already carried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 a shared bid the NGO is the implementer with the community relationships and the registration; the initiative supplies the method, the technology and the measurement. Neither side has to fund the other's half.</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transition nobody can evidence.</w:t>
      </w:r>
      <w:r>
        <w:rPr>
          <w:rFonts w:ascii="Plus Jakarta Sans" w:hAnsi="Plus Jakarta Sans" w:cs="Segoe UI"/>
          <w:b w:val="0"/>
          <w:i w:val="0"/>
          <w:color w:val="3A4050"/>
          <w:sz w:val="18"/>
          <w:szCs w:val="18"/>
        </w:rPr>
        <w:t xml:space="preserve"> Productive families grants, savings groups and vocational training all stop at exactly the point where a business has to be designed, and that is where the fifteen missions start. An organisation that can show beneficiaries moving from a grant to a trading business has the strongest sentence available in its next proposal, and almost none of them can write it today.</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0"/>
          <w:szCs w:val="40"/>
        </w:rPr>
        <w:t>Why a youth foundation joins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youth foundation or student organisation is asked for its members, its chapters and ten of its leadership. It is never asked for money. What it gets is a member benefit it can name, a credential its leadership keeps, and a national stage.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Your members get the whole thing free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member of a community supporter gets the full fifteen-mission programme for the wave, not the free first three. That is a concrete, nameable member benefit, which is the currency every student organisation is short of.</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Your leadership leaves with a credential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Up to ten of a chapter's leadership are certified as facilitators on the national standard. They keep it after their term ends, and it is the first line on a CV that is otherwise all committee titles.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Better teams in your own competition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Enactus, Hult or Social Venture Prize team that has been through fifteen missions arrives at its own national round with a tested problem, a model and a prototype rather than a deck. The chapters that do this will place higher, and placing higher is what their own sponsors pay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national stage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Chapters host, chapters are named, and the best teams from every chapter reach the national showcase in front of the sponsor coalition and the patron ministries.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Your own chapter's data</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chapter gets its own read: what its members are building, how it compares to the national picture, and how its completion rates track. It is the first evidence a chapter has ever been able to show its faculty or its own sponsors.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Help raising your own sponsorship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Co-branding with a national initiative and a named sponsor coalition makes a chapter's own sponsorship request materially easier, and the initiative will say so in writing to their prospects.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Nobody asks you for money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Community supporters are never asked to sponsor. The relationship is members and chapters in, programme and certification out, and it is written that way in the charter.</w:t>
      </w:r>
    </w:p>
    <w:p>
      <w:pPr>
        <w:keepNext/>
        <w:widowControl w:val="true"/>
        <w:spacing w:before="280" w:after="100" w:line="288" w:lineRule="auto"/>
      </w:pPr>
      <w:r>
        <w:rPr>
          <w:rFonts w:ascii="Plus Jakarta Sans" w:hAnsi="Plus Jakarta Sans" w:cs="Segoe UI"/>
          <w:b/>
          <w:i w:val="0"/>
          <w:color w:val="0B0E14"/>
          <w:sz w:val="24"/>
          <w:szCs w:val="24"/>
        </w:rPr>
        <w:t>The chapter charter</w:t>
      </w:r>
    </w:p>
    <w:p>
      <w:pPr>
        <w:widowControl w:val="true"/>
        <w:spacing w:before="0" w:after="100" w:line="322" w:lineRule="auto"/>
      </w:pPr>
      <w:r>
        <w:rPr>
          <w:rFonts w:ascii="Plus Jakarta Sans" w:hAnsi="Plus Jakarta Sans" w:cs="Segoe UI"/>
          <w:b w:val="0"/>
          <w:i w:val="0"/>
          <w:color w:val="0B0E14"/>
          <w:sz w:val="19"/>
          <w:szCs w:val="19"/>
        </w:rPr>
        <w:t>Each community supporter signs a one-page charter rather than a sponsorship agreement. It says what the chapter does, what it receives, that no money is asked for in either direction, and that it renews annually, because student leadership turns over every summer and a relationship that is not re-signed each year quietly stops existing.</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chapter provides</w:t>
      </w:r>
      <w:r>
        <w:rPr>
          <w:rFonts w:ascii="Plus Jakarta Sans" w:hAnsi="Plus Jakarta Sans" w:cs="Segoe UI"/>
          <w:b w:val="0"/>
          <w:i w:val="0"/>
          <w:color w:val="0B0E14"/>
          <w:sz w:val="19"/>
          <w:szCs w:val="19"/>
        </w:rPr>
        <w:t xml:space="preserve"> a named lead, a host venue for at least two sessions in the wave, and the invitation to its own members.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chapter receives</w:t>
      </w:r>
      <w:r>
        <w:rPr>
          <w:rFonts w:ascii="Plus Jakarta Sans" w:hAnsi="Plus Jakarta Sans" w:cs="Segoe UI"/>
          <w:b w:val="0"/>
          <w:i w:val="0"/>
          <w:color w:val="0B0E14"/>
          <w:sz w:val="19"/>
          <w:szCs w:val="19"/>
        </w:rPr>
        <w:t xml:space="preserve"> the full programme free for every member, up to ten certified facilitators, its own data, its name on the national map, and places at the showcase.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Neither side pays the other.</w:t>
      </w:r>
      <w:r>
        <w:rPr>
          <w:rFonts w:ascii="Plus Jakarta Sans" w:hAnsi="Plus Jakarta Sans" w:cs="Segoe UI"/>
          <w:b w:val="0"/>
          <w:i w:val="0"/>
          <w:color w:val="0B0E14"/>
          <w:sz w:val="19"/>
          <w:szCs w:val="19"/>
        </w:rPr>
        <w:t xml:space="preserve"> If a chapter wants to raise its own sponsorship, the initiative will write to its prospects in support.</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0"/>
          <w:szCs w:val="40"/>
        </w:rPr>
        <w:t>The ideas bank, and the rules that govern it</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The ideas bank is the asset the initiative leaves behind, and it is the part that would be most damaging to get wrong. A programme that harvests young people's ideas for its sponsors is not a programme, it is an extraction, and it would deserve to fail. These rules are published to participants and written into every sponsorship agreement.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it is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participant states a problem before they state an idea, and works it through fifteen missions. The bank is the structured record of that: problem, sector, stage, governorate, team shape, and what the venture became.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partners see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Distribution and direction only. Counts, shares, trends, and breakdowns by sector, governorate, gender, age and stage. No individual idea, no individual founder, no contact details.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a themed call is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partner may put one question to every participant in a sector or governorate. Participants choose whether to answer and whether to be identified. Only the answers of those who opt in are returned, and they are told who is asking and why before they answer.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Consent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Consent is asked for at registration, in Arabic, in plain language, separately for the anonymous aggregate and for any identified sharing. It can be withdrawn at any time from the account, and withdrawal removes the record from future reports.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Who owns the idea</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founder. Nothing in the initiative transfers, licenses or encumbers a participant's intellectual property, and no partner acquires any right of first refusal over a venture by sponsoring. Any partner who wants a commercial relationship with a venture negotiates it with the venture, directly, afterwards.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Under-18s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Participants under eighteen are in the aggregate only. No identified sharing, no themed calls, no contact, under any tier, with guardian consent recorded at registration and safeguarding rules above 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is never sold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bank is not a lead list and is not sold. Access is a benefit of partnership for the wave, it ends when the partnership ends, and it carries a written undertaking not to re-identify or re-sell.</w:t>
      </w:r>
    </w:p>
    <w:p>
      <w:pPr>
        <w:widowControl w:val="true"/>
        <w:spacing w:before="240" w:after="240" w:line="302" w:lineRule="auto"/>
        <w:ind w:left="227"/>
      </w:pPr>
      <w:r>
        <w:rPr>
          <w:rFonts w:ascii="Plus Jakarta Sans" w:hAnsi="Plus Jakarta Sans" w:cs="Segoe UI"/>
          <w:b/>
          <w:i w:val="0"/>
          <w:color w:val="3418E0"/>
          <w:sz w:val="26"/>
          <w:szCs w:val="26"/>
        </w:rPr>
        <w:t>The founder owns the idea. Sponsorship buys direction and distribution, never ownership and never a right of first refusal.</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0"/>
          <w:szCs w:val="40"/>
        </w:rPr>
        <w:t>Sponsorship packages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Four cash tiers, an in-kind route into any of them, and a charter for community supporters. Slots are capped, because a tier anybody can buy is not worth buying, and a coalition of forty equal logos gives nobody a reason to be first.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020"/>
        <w:gridCol w:w="1360"/>
        <w:gridCol w:w="737"/>
        <w:gridCol w:w="4706"/>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Tier</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USD</w:t>
            </w:r>
          </w:p>
        </w:tc>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EGP</w:t>
            </w:r>
          </w:p>
        </w:tc>
        <w:tc>
          <w:tcPr>
            <w:tcW w:type="dxa" w:w="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Slots</w:t>
            </w:r>
          </w:p>
        </w:tc>
        <w:tc>
          <w:tcPr>
            <w:tcW w:type="dxa" w:w="47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buys</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Founding Partner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$40,000</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2,128,800</w:t>
            </w:r>
          </w:p>
        </w:tc>
        <w:tc>
          <w:tcPr>
            <w:tcW w:type="dxa" w:w="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7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4,400 founders through all 15 missions, and 6 in-person cohorts</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Partner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1,064,400</w:t>
            </w:r>
          </w:p>
        </w:tc>
        <w:tc>
          <w:tcPr>
            <w:tcW w:type="dxa" w:w="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 founders through all 15 missions, and 3 in-person cohorts</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Governorate Partner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$8,000</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425,760</w:t>
            </w:r>
          </w:p>
        </w:tc>
        <w:tc>
          <w:tcPr>
            <w:tcW w:type="dxa" w:w="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47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 founders through all 15 missions, and 2 in-person cohorts</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Partner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159,660</w:t>
            </w:r>
          </w:p>
        </w:tc>
        <w:tc>
          <w:tcPr>
            <w:tcW w:type="dxa" w:w="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 founders through all 15 missions</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In-kind Partner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cash</w:t>
            </w:r>
          </w:p>
        </w:tc>
        <w:tc>
          <w:tcPr>
            <w:tcW w:type="dxa" w:w="1361"/>
            <w:tcMar>
              <w:top w:w="73" w:type="dxa"/>
              <w:start w:w="90" w:type="dxa"/>
              <w:bottom w:w="73" w:type="dxa"/>
              <w:end w:w="79" w:type="dxa"/>
            </w:tcMar>
          </w:tcPr>
          <w:p>
            <w:pPr>
              <w:spacing w:after="0" w:line="288" w:lineRule="auto"/>
            </w:pPr>
          </w:p>
        </w:tc>
        <w:tc>
          <w:tcPr>
            <w:tcW w:type="dxa" w:w="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Uncapped</w:t>
            </w:r>
          </w:p>
        </w:tc>
        <w:tc>
          <w:tcPr>
            <w:tcW w:type="dxa" w:w="47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Anything on the in-kind menu, valued at its market rate and credited at the cash tier it matches.</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Supporter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cash</w:t>
            </w:r>
          </w:p>
        </w:tc>
        <w:tc>
          <w:tcPr>
            <w:tcW w:type="dxa" w:w="1361"/>
            <w:shd w:val="clear" w:fill="F5F6F8"/>
            <w:tcMar>
              <w:top w:w="73" w:type="dxa"/>
              <w:start w:w="90" w:type="dxa"/>
              <w:bottom w:w="73" w:type="dxa"/>
              <w:end w:w="79" w:type="dxa"/>
            </w:tcMar>
          </w:tcPr>
          <w:p>
            <w:pPr>
              <w:spacing w:after="0" w:line="288" w:lineRule="auto"/>
            </w:pPr>
          </w:p>
        </w:tc>
        <w:tc>
          <w:tcPr>
            <w:tcW w:type="dxa" w:w="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Uncapped</w:t>
            </w:r>
          </w:p>
        </w:tc>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Members, chapters and leadership time. No cash is asked for, ever.</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Every price above is the sum of what it buys, at $5.00 a sponsored founder and $3,000 an in-person cohort of 25. There is no overhead percentage hidden in it: the shared costs sit inside those two unit prices and are the lines in the budget table in Section 11.</w:t>
      </w:r>
    </w:p>
    <w:p>
      <w:pPr>
        <w:widowControl w:val="true"/>
        <w:spacing w:before="0" w:after="100" w:line="322" w:lineRule="auto"/>
      </w:pPr>
      <w:r>
        <w:rPr>
          <w:rFonts w:ascii="Plus Jakarta Sans" w:hAnsi="Plus Jakarta Sans" w:cs="Segoe UI"/>
          <w:b w:val="0"/>
          <w:i w:val="0"/>
          <w:color w:val="0B0E14"/>
          <w:sz w:val="19"/>
          <w:szCs w:val="19"/>
        </w:rPr>
        <w:t>Full coalition value if every capped slot sells is $381,000, which is EGP 20,276,820. The wave is planned and budgeted at 50% of that, which is $190,500 or EGP 10,138,410, and every number in this document is quoted at that fill rather than at the optimistic one.</w:t>
      </w:r>
    </w:p>
    <w:p>
      <w:pPr>
        <w:keepNext/>
        <w:widowControl w:val="true"/>
        <w:spacing w:before="280" w:after="100" w:line="288" w:lineRule="auto"/>
      </w:pPr>
      <w:r>
        <w:rPr>
          <w:rFonts w:ascii="Plus Jakarta Sans" w:hAnsi="Plus Jakarta Sans" w:cs="Segoe UI"/>
          <w:b/>
          <w:i w:val="0"/>
          <w:color w:val="0B0E14"/>
          <w:sz w:val="24"/>
          <w:szCs w:val="24"/>
        </w:rPr>
        <w:t>Founding Partner</w:t>
      </w:r>
    </w:p>
    <w:p>
      <w:pPr>
        <w:widowControl w:val="true"/>
        <w:spacing w:before="0" w:after="100" w:line="322" w:lineRule="auto"/>
      </w:pPr>
      <w:r>
        <w:rPr>
          <w:rFonts w:ascii="Plus Jakarta Sans" w:hAnsi="Plus Jakarta Sans" w:cs="Segoe UI"/>
          <w:b/>
          <w:i w:val="0"/>
          <w:color w:val="0B0E14"/>
          <w:sz w:val="19"/>
          <w:szCs w:val="19"/>
        </w:rPr>
        <w:t>$40,000</w:t>
      </w:r>
      <w:r>
        <w:rPr>
          <w:rFonts w:ascii="Plus Jakarta Sans" w:hAnsi="Plus Jakarta Sans" w:cs="Segoe UI"/>
          <w:b w:val="0"/>
          <w:i w:val="0"/>
          <w:color w:val="0B0E14"/>
          <w:sz w:val="19"/>
          <w:szCs w:val="19"/>
        </w:rPr>
        <w:t xml:space="preserve">  |  EGP 2,128,800  |  3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Named as a Founding Partner of the initiative, in Arabic and English, on every surface it has: the platform, the launch, the showcase, the national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seat on the steering committee, which sets the governorate plan and signs off the national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governorate or a sector of their choosing carried under their name for the whole wave.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quarterly direction report on what young Egyptians are building, by sector, governorate, gender and age, before it is published.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themed call into the ideas bank: a question put to every participant in their sector, with consented responses returned to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First look at the ventures from the showcase, for their own accelerator, prize, procurement or hiring.</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40 of their staff certified as mentors and judges, with hours logged and reported back for their own employee engagement numbers.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closing report with named participants, completion rates, governorate and gender disaggregation, and SDG mapping, written to go straight into their own annual report.</w:t>
      </w:r>
    </w:p>
    <w:p>
      <w:pPr>
        <w:keepNext/>
        <w:widowControl w:val="true"/>
        <w:spacing w:before="280" w:after="100" w:line="288" w:lineRule="auto"/>
      </w:pPr>
      <w:r>
        <w:rPr>
          <w:rFonts w:ascii="Plus Jakarta Sans" w:hAnsi="Plus Jakarta Sans" w:cs="Segoe UI"/>
          <w:b/>
          <w:i w:val="0"/>
          <w:color w:val="0B0E14"/>
          <w:sz w:val="24"/>
          <w:szCs w:val="24"/>
        </w:rPr>
        <w:t>Lead Partner</w:t>
      </w:r>
    </w:p>
    <w:p>
      <w:pPr>
        <w:widowControl w:val="true"/>
        <w:spacing w:before="0" w:after="100" w:line="322" w:lineRule="auto"/>
      </w:pPr>
      <w:r>
        <w:rPr>
          <w:rFonts w:ascii="Plus Jakarta Sans" w:hAnsi="Plus Jakarta Sans" w:cs="Segoe UI"/>
          <w:b/>
          <w:i w:val="0"/>
          <w:color w:val="0B0E14"/>
          <w:sz w:val="19"/>
          <w:szCs w:val="19"/>
        </w:rPr>
        <w:t>$20,000</w:t>
      </w:r>
      <w:r>
        <w:rPr>
          <w:rFonts w:ascii="Plus Jakarta Sans" w:hAnsi="Plus Jakarta Sans" w:cs="Segoe UI"/>
          <w:b w:val="0"/>
          <w:i w:val="0"/>
          <w:color w:val="0B0E14"/>
          <w:sz w:val="19"/>
          <w:szCs w:val="19"/>
        </w:rPr>
        <w:t xml:space="preserve">  |  EGP 1,064,400  |  6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Named as a Lead Partner across the initiative's surfaces.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seat on the partner council, which meets monthly.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One governorate wave or one competition season under their name.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quarterly direction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20 staff certified as mentors and judges.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closing report, disaggregated and SDG mapped.</w:t>
      </w:r>
    </w:p>
    <w:p>
      <w:pPr>
        <w:keepNext/>
        <w:widowControl w:val="true"/>
        <w:spacing w:before="280" w:after="100" w:line="288" w:lineRule="auto"/>
      </w:pPr>
      <w:r>
        <w:rPr>
          <w:rFonts w:ascii="Plus Jakarta Sans" w:hAnsi="Plus Jakarta Sans" w:cs="Segoe UI"/>
          <w:b/>
          <w:i w:val="0"/>
          <w:color w:val="0B0E14"/>
          <w:sz w:val="24"/>
          <w:szCs w:val="24"/>
        </w:rPr>
        <w:t>Governorate Partner</w:t>
      </w:r>
    </w:p>
    <w:p>
      <w:pPr>
        <w:widowControl w:val="true"/>
        <w:spacing w:before="0" w:after="100" w:line="322" w:lineRule="auto"/>
      </w:pPr>
      <w:r>
        <w:rPr>
          <w:rFonts w:ascii="Plus Jakarta Sans" w:hAnsi="Plus Jakarta Sans" w:cs="Segoe UI"/>
          <w:b/>
          <w:i w:val="0"/>
          <w:color w:val="0B0E14"/>
          <w:sz w:val="19"/>
          <w:szCs w:val="19"/>
        </w:rPr>
        <w:t>$8,000</w:t>
      </w:r>
      <w:r>
        <w:rPr>
          <w:rFonts w:ascii="Plus Jakarta Sans" w:hAnsi="Plus Jakarta Sans" w:cs="Segoe UI"/>
          <w:b w:val="0"/>
          <w:i w:val="0"/>
          <w:color w:val="0B0E14"/>
          <w:sz w:val="19"/>
          <w:szCs w:val="19"/>
        </w:rPr>
        <w:t xml:space="preserve">  |  EGP 425,760  |  12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One named governorate for the wave, which is the version of this that an oil, cement or industrial sponsor can fund out of an existing licence-to-operate budget.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Two cohorts, a local showcase and a governorate report with named participants.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direction report for their governorate.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10 staff as mentors and judges.</w:t>
      </w:r>
    </w:p>
    <w:p>
      <w:pPr>
        <w:keepNext/>
        <w:widowControl w:val="true"/>
        <w:spacing w:before="280" w:after="100" w:line="288" w:lineRule="auto"/>
      </w:pPr>
      <w:r>
        <w:rPr>
          <w:rFonts w:ascii="Plus Jakarta Sans" w:hAnsi="Plus Jakarta Sans" w:cs="Segoe UI"/>
          <w:b/>
          <w:i w:val="0"/>
          <w:color w:val="0B0E14"/>
          <w:sz w:val="24"/>
          <w:szCs w:val="24"/>
        </w:rPr>
        <w:t>Mission Partner</w:t>
      </w:r>
    </w:p>
    <w:p>
      <w:pPr>
        <w:widowControl w:val="true"/>
        <w:spacing w:before="0" w:after="100" w:line="322" w:lineRule="auto"/>
      </w:pPr>
      <w:r>
        <w:rPr>
          <w:rFonts w:ascii="Plus Jakarta Sans" w:hAnsi="Plus Jakarta Sans" w:cs="Segoe UI"/>
          <w:b/>
          <w:i w:val="0"/>
          <w:color w:val="0B0E14"/>
          <w:sz w:val="19"/>
          <w:szCs w:val="19"/>
        </w:rPr>
        <w:t>$3,000</w:t>
      </w:r>
      <w:r>
        <w:rPr>
          <w:rFonts w:ascii="Plus Jakarta Sans" w:hAnsi="Plus Jakarta Sans" w:cs="Segoe UI"/>
          <w:b w:val="0"/>
          <w:i w:val="0"/>
          <w:color w:val="0B0E14"/>
          <w:sz w:val="19"/>
          <w:szCs w:val="19"/>
        </w:rPr>
        <w:t xml:space="preserve">  |  EGP 159,660  |  15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One of the fifteen missions carried under their name, which every participant in the country passes through.</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sector's slice of the direction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Named on the platform and in the closing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Staff as mentors on their own mission.</w:t>
      </w:r>
    </w:p>
    <w:p>
      <w:pPr>
        <w:keepNext/>
        <w:widowControl w:val="true"/>
        <w:spacing w:before="280" w:after="100" w:line="288" w:lineRule="auto"/>
      </w:pPr>
      <w:r>
        <w:rPr>
          <w:rFonts w:ascii="Plus Jakarta Sans" w:hAnsi="Plus Jakarta Sans" w:cs="Segoe UI"/>
          <w:b/>
          <w:i w:val="0"/>
          <w:color w:val="0B0E14"/>
          <w:sz w:val="24"/>
          <w:szCs w:val="24"/>
        </w:rPr>
        <w:t>In-kind Partner</w:t>
      </w:r>
    </w:p>
    <w:p>
      <w:pPr>
        <w:widowControl w:val="true"/>
        <w:spacing w:before="0" w:after="100" w:line="322" w:lineRule="auto"/>
      </w:pPr>
      <w:r>
        <w:rPr>
          <w:rFonts w:ascii="Plus Jakarta Sans" w:hAnsi="Plus Jakarta Sans" w:cs="Segoe UI"/>
          <w:b/>
          <w:i w:val="0"/>
          <w:color w:val="0B0E14"/>
          <w:sz w:val="19"/>
          <w:szCs w:val="19"/>
        </w:rPr>
        <w:t>No cash</w:t>
      </w:r>
      <w:r>
        <w:rPr>
          <w:rFonts w:ascii="Plus Jakarta Sans" w:hAnsi="Plus Jakarta Sans" w:cs="Segoe UI"/>
          <w:b w:val="0"/>
          <w:i w:val="0"/>
          <w:color w:val="0B0E14"/>
          <w:sz w:val="19"/>
          <w:szCs w:val="19"/>
        </w:rPr>
        <w:t xml:space="preserve">  |  CSR sponsor or NGO and development partner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Credited at the tier their contribution values at, with the same benefits. Media airtime at a rate card value of EGP 1.1 million is a Lead Partner.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This is how a telco, a broadcaster or a venue owner joins without a cash approval, and it is usually faster.</w:t>
      </w:r>
    </w:p>
    <w:p>
      <w:pPr>
        <w:keepNext/>
        <w:widowControl w:val="true"/>
        <w:spacing w:before="280" w:after="100" w:line="288" w:lineRule="auto"/>
      </w:pPr>
      <w:r>
        <w:rPr>
          <w:rFonts w:ascii="Plus Jakarta Sans" w:hAnsi="Plus Jakarta Sans" w:cs="Segoe UI"/>
          <w:b/>
          <w:i w:val="0"/>
          <w:color w:val="0B0E14"/>
          <w:sz w:val="24"/>
          <w:szCs w:val="24"/>
        </w:rPr>
        <w:t>Community Supporter</w:t>
      </w:r>
    </w:p>
    <w:p>
      <w:pPr>
        <w:widowControl w:val="true"/>
        <w:spacing w:before="0" w:after="100" w:line="322" w:lineRule="auto"/>
      </w:pPr>
      <w:r>
        <w:rPr>
          <w:rFonts w:ascii="Plus Jakarta Sans" w:hAnsi="Plus Jakarta Sans" w:cs="Segoe UI"/>
          <w:b/>
          <w:i w:val="0"/>
          <w:color w:val="0B0E14"/>
          <w:sz w:val="19"/>
          <w:szCs w:val="19"/>
        </w:rPr>
        <w:t>No cash</w:t>
      </w:r>
      <w:r>
        <w:rPr>
          <w:rFonts w:ascii="Plus Jakarta Sans" w:hAnsi="Plus Jakarta Sans" w:cs="Segoe UI"/>
          <w:b w:val="0"/>
          <w:i w:val="0"/>
          <w:color w:val="0B0E14"/>
          <w:sz w:val="19"/>
          <w:szCs w:val="19"/>
        </w:rPr>
        <w:t xml:space="preserve">  |  Community supporter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member gets the full fifteen-mission programme free for the wave.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10 of their leadership certified as facilitators, a credential they keep after their term ends.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chapter named as a host, and their university on the national map.</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own chapter's data: what their members are building, which they can show their faculty and their own sponsors.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Teams going into their own competition season already through fifteen missions.</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0"/>
          <w:szCs w:val="40"/>
        </w:rPr>
        <w:t>In-kind support</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In-kind is valued at its market or rate card value and credited at the cash tier it matches, with every benefit of that tier. A broadcaster giving airtime worth $75,000 is a Lead Partner. For a media owner, a venue owner or a telco this is usually faster than a cash approval, and for several of them it is the only realistic route.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927"/>
        <w:gridCol w:w="4536"/>
        <w:gridCol w:w="1134"/>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accept</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has it</w:t>
            </w:r>
          </w:p>
        </w:tc>
        <w:tc>
          <w:tcPr>
            <w:tcW w:type="dxa" w:w="45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Media and airtime</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Telecom, broadcast, outdoor</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is the initiative's scarcest input and the cheapest thing a media owner can give. Valued at rate card.</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 and halls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corporates, hotels, youth centres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cohort needs a room for six days. A sponsor with branches in nine governorates solves delivery in nine governorates.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Connectivity and devices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Telecom, technology</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Data bundles and loan devices are the difference between a registered account and a completed mission in low-income governorates.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credits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Technology, hyperscalers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Directly reduces the cost per review, which is the one cost that scales with participants.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 and judge hours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sponsor</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Logged, reported back, and the cheapest employee engagement a CSR team will ever buy.</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Medium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Prizes and seed grants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foundations, corporates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turns a showcase into a reason to finish. Small amounts, large effect on completion.</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Medium</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Company formation and legal</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Law firms, accountants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Registration, tax card and a first set of accounts for the ventures that make it. The step most first-time founders stall on.</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Bank accounts and payments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fintech</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business account opened for a new venture is worth more to it than a certificate, and it makes the sponsor the venture's first bank.</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Internships and first contracts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Corporates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For participants whose idea does not become a business, which is most of them. This is the honest second outcome.</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Medium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Transport and logistics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Logistics, automotive</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Moves facilitators and participants between governorates, which is a real line in the budget.</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Printing and materials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Printing, paper, FMCG</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Workbooks and showcase materials.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Catering</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FMCG, food and beverage</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Six-day cohorts feed people. Easy for a food company to approve.</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val="0"/>
          <w:i w:val="0"/>
          <w:color w:val="3A4050"/>
          <w:sz w:val="18"/>
          <w:szCs w:val="18"/>
        </w:rPr>
        <w:t>The four highest-value items on this list are reach, venues, connectivity and company formation. Reach because it is the initiative's scarcest input; venues because every cohort needs a room for six days and a sponsor with branches in nine governorates solves delivery in nine governorates; connectivity because it is the difference between a registered account and a completed mission in a low-income governorate; and company formation because registration is the step most first-time founders stall on, after everything else has gone right.</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0"/>
          <w:szCs w:val="40"/>
        </w:rPr>
        <w:t>The six months, and why this window</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Wave 1, March to August 2027. The window is chosen around the Egyptian year rather than around a financial one, because the participants are students and the calendar decides what is possible.</w:t>
      </w:r>
    </w:p>
    <w:p>
      <w:pPr>
        <w:keepNext/>
        <w:widowControl w:val="true"/>
        <w:spacing w:before="280" w:after="100" w:line="288" w:lineRule="auto"/>
      </w:pPr>
      <w:r>
        <w:rPr>
          <w:rFonts w:ascii="Plus Jakarta Sans" w:hAnsi="Plus Jakarta Sans" w:cs="Segoe UI"/>
          <w:b/>
          <w:i w:val="0"/>
          <w:color w:val="0B0E14"/>
          <w:sz w:val="24"/>
          <w:szCs w:val="24"/>
        </w:rPr>
        <w:t>Why not January</w:t>
      </w:r>
    </w:p>
    <w:p>
      <w:pPr>
        <w:widowControl w:val="true"/>
        <w:spacing w:before="0" w:after="100" w:line="322" w:lineRule="auto"/>
      </w:pPr>
      <w:r>
        <w:rPr>
          <w:rFonts w:ascii="Plus Jakarta Sans" w:hAnsi="Plus Jakarta Sans" w:cs="Segoe UI"/>
          <w:b w:val="0"/>
          <w:i w:val="0"/>
          <w:color w:val="0B0E14"/>
          <w:sz w:val="19"/>
          <w:szCs w:val="19"/>
        </w:rPr>
        <w:t>Ramadan falls in February and the first days of March 2027, with Eid al-Fitr in the first half of March. A wave launched in January loses its second month to a season in which no campus activity happens and no corporate approval moves. Launching immediately after Eid puts the first month into the strongest part of the spring term instead. Religious dates here are approximate and should be confirmed nearer the time.</w:t>
      </w:r>
    </w:p>
    <w:p>
      <w:pPr>
        <w:keepNext/>
        <w:widowControl w:val="true"/>
        <w:spacing w:before="280" w:after="100" w:line="288" w:lineRule="auto"/>
      </w:pPr>
      <w:r>
        <w:rPr>
          <w:rFonts w:ascii="Plus Jakarta Sans" w:hAnsi="Plus Jakarta Sans" w:cs="Segoe UI"/>
          <w:b/>
          <w:i w:val="0"/>
          <w:color w:val="0B0E14"/>
          <w:sz w:val="24"/>
          <w:szCs w:val="24"/>
        </w:rPr>
        <w:t>Why six months and not twelve</w:t>
      </w:r>
    </w:p>
    <w:p>
      <w:pPr>
        <w:widowControl w:val="true"/>
        <w:spacing w:before="0" w:after="100" w:line="322" w:lineRule="auto"/>
      </w:pPr>
      <w:r>
        <w:rPr>
          <w:rFonts w:ascii="Plus Jakarta Sans" w:hAnsi="Plus Jakarta Sans" w:cs="Segoe UI"/>
          <w:b w:val="0"/>
          <w:i w:val="0"/>
          <w:color w:val="0B0E14"/>
          <w:sz w:val="19"/>
          <w:szCs w:val="19"/>
        </w:rPr>
        <w:t>Because a six-month wave ends while the coalition still remembers why it joined, produces a closing report inside one reporting year, and lets a partner decide about the next wave on evidence rather than on faith. The wave is designed to be extended, not repeated from scratch: the facilitator pool, the chapters and the content all persist, which is why the second wave costs less per founder than the first.</w:t>
      </w:r>
    </w:p>
    <w:p>
      <w:pPr>
        <w:keepNext/>
        <w:widowControl w:val="true"/>
        <w:spacing w:before="280" w:after="100" w:line="288" w:lineRule="auto"/>
      </w:pPr>
      <w:r>
        <w:rPr>
          <w:rFonts w:ascii="Plus Jakarta Sans" w:hAnsi="Plus Jakarta Sans" w:cs="Segoe UI"/>
          <w:b/>
          <w:i w:val="0"/>
          <w:color w:val="0B0E14"/>
          <w:sz w:val="24"/>
          <w:szCs w:val="24"/>
        </w:rPr>
        <w:t>Before the wave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474"/>
        <w:gridCol w:w="2041"/>
        <w:gridCol w:w="5896"/>
      </w:tblGrid>
      <w:tr>
        <w:trPr>
          <w:tblHeader w:val="true"/>
        </w:trPr>
        <w:tc>
          <w:tcPr>
            <w:tcW w:type="dxa" w:w="14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happens</w:t>
            </w:r>
          </w:p>
        </w:tc>
        <w:tc>
          <w:tcPr>
            <w:tcW w:type="dxa" w:w="58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there</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October 2026</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Assemble the coalition</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First approaches to the Founding and Lead tiers, and to the patron ministries. Nothing is announced until three Founding Partners have signed.</w:t>
            </w:r>
          </w:p>
        </w:tc>
      </w:tr>
      <w:tr>
        <w:trPr>
          <w:cantSplit w:val="true"/>
        </w:trPr>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November 2026</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Patron endorsement</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Memoranda with the national initiative and the relevant ministries. These cost them nothing and are worth more than their money.</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December 2026</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Community supporters</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Charters signed with the youth foundations and student organisations. Their leadership years are already underway, so this is the right moment, not the summer.</w:t>
            </w:r>
          </w:p>
        </w:tc>
      </w:tr>
      <w:tr>
        <w:trPr>
          <w:cantSplit w:val="true"/>
        </w:trPr>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January 2027</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the facilitators</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facilitator pool and the chapter leadership are certified before the wave opens, not during it.</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February 2027</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Localise and rehearse</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content finalised, platform load tested, two rehearsal cohorts run with a partner NGO. Ramadan month; no public launch.</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The wave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1304"/>
        <w:gridCol w:w="5329"/>
        <w:gridCol w:w="1701"/>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w:t>
            </w:r>
          </w:p>
        </w:tc>
        <w:tc>
          <w:tcPr>
            <w:tcW w:type="dxa" w:w="130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53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happens</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 month end</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1</w:t>
            </w:r>
            <w:r>
              <w:rPr>
                <w:rFonts w:ascii="Plus Jakarta Sans" w:hAnsi="Plus Jakarta Sans"/>
                <w:sz w:val="17"/>
              </w:rPr>
              <w:br/>
            </w:r>
            <w:r>
              <w:rPr>
                <w:rFonts w:ascii="Plus Jakarta Sans" w:hAnsi="Plus Jakarta Sans" w:cs="Segoe UI"/>
                <w:b/>
                <w:i w:val="0"/>
                <w:color w:val="0B0E14"/>
                <w:sz w:val="17"/>
                <w:szCs w:val="17"/>
              </w:rPr>
              <w:t>March 2027</w:t>
            </w:r>
          </w:p>
        </w:tc>
        <w:tc>
          <w:tcPr>
            <w:tcW w:type="dxa" w:w="130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Launch</w:t>
            </w:r>
          </w:p>
        </w:tc>
        <w:tc>
          <w:tcPr>
            <w:tcW w:type="dxa" w:w="53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launch after Eid al-Fitr, with the coalition on stage and the patron ministries present. Platform opens. All 150 chapters activate in the same week, which is the only way a launch number looks like a launch.</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 registered</w:t>
            </w:r>
            <w:r>
              <w:rPr>
                <w:rFonts w:ascii="Plus Jakarta Sans" w:hAnsi="Plus Jakarta Sans"/>
                <w:sz w:val="17"/>
              </w:rPr>
              <w:br/>
            </w:r>
            <w:r>
              <w:rPr>
                <w:rFonts w:ascii="Plus Jakarta Sans" w:hAnsi="Plus Jakarta Sans" w:cs="Segoe UI"/>
                <w:b w:val="0"/>
                <w:i w:val="0"/>
                <w:color w:val="3A4050"/>
                <w:sz w:val="17"/>
                <w:szCs w:val="17"/>
              </w:rPr>
              <w:t>2 cohorts</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2</w:t>
            </w:r>
            <w:r>
              <w:rPr>
                <w:rFonts w:ascii="Plus Jakarta Sans" w:hAnsi="Plus Jakarta Sans"/>
                <w:sz w:val="17"/>
              </w:rPr>
              <w:br/>
            </w:r>
            <w:r>
              <w:rPr>
                <w:rFonts w:ascii="Plus Jakarta Sans" w:hAnsi="Plus Jakarta Sans" w:cs="Segoe UI"/>
                <w:b/>
                <w:i w:val="0"/>
                <w:color w:val="0B0E14"/>
                <w:sz w:val="17"/>
                <w:szCs w:val="17"/>
              </w:rPr>
              <w:t>April 2027</w:t>
            </w:r>
          </w:p>
        </w:tc>
        <w:tc>
          <w:tcPr>
            <w:tcW w:type="dxa" w:w="130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peak</w:t>
            </w:r>
          </w:p>
        </w:tc>
        <w:tc>
          <w:tcPr>
            <w:tcW w:type="dxa" w:w="53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strongest campus month of the Egyptian year. Ambassador recruitment, the first governorate waves, and the first cohorts in volume.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120,780 registered</w:t>
            </w:r>
            <w:r>
              <w:rPr>
                <w:rFonts w:ascii="Plus Jakarta Sans" w:hAnsi="Plus Jakarta Sans"/>
                <w:sz w:val="17"/>
              </w:rPr>
              <w:br/>
            </w:r>
            <w:r>
              <w:rPr>
                <w:rFonts w:ascii="Plus Jakarta Sans" w:hAnsi="Plus Jakarta Sans" w:cs="Segoe UI"/>
                <w:b w:val="0"/>
                <w:i w:val="0"/>
                <w:color w:val="3A4050"/>
                <w:sz w:val="17"/>
                <w:szCs w:val="17"/>
              </w:rPr>
              <w:t>9 cohorts</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3</w:t>
            </w:r>
            <w:r>
              <w:rPr>
                <w:rFonts w:ascii="Plus Jakarta Sans" w:hAnsi="Plus Jakarta Sans"/>
                <w:sz w:val="17"/>
              </w:rPr>
              <w:br/>
            </w:r>
            <w:r>
              <w:rPr>
                <w:rFonts w:ascii="Plus Jakarta Sans" w:hAnsi="Plus Jakarta Sans" w:cs="Segoe UI"/>
                <w:b/>
                <w:i w:val="0"/>
                <w:color w:val="0B0E14"/>
                <w:sz w:val="17"/>
                <w:szCs w:val="17"/>
              </w:rPr>
              <w:t>May 2027</w:t>
            </w:r>
          </w:p>
        </w:tc>
        <w:tc>
          <w:tcPr>
            <w:tcW w:type="dxa" w:w="130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Exams, so go online</w:t>
            </w:r>
          </w:p>
        </w:tc>
        <w:tc>
          <w:tcPr>
            <w:tcW w:type="dxa" w:w="53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exams run through May. Campus activity stops and the wave moves to the NGO networks, the youth centres and online delivery. Mid-wave report to the partner council.</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160,380 registered</w:t>
            </w:r>
            <w:r>
              <w:rPr>
                <w:rFonts w:ascii="Plus Jakarta Sans" w:hAnsi="Plus Jakarta Sans"/>
                <w:sz w:val="17"/>
              </w:rPr>
              <w:br/>
            </w:r>
            <w:r>
              <w:rPr>
                <w:rFonts w:ascii="Plus Jakarta Sans" w:hAnsi="Plus Jakarta Sans" w:cs="Segoe UI"/>
                <w:b w:val="0"/>
                <w:i w:val="0"/>
                <w:color w:val="3A4050"/>
                <w:sz w:val="17"/>
                <w:szCs w:val="17"/>
              </w:rPr>
              <w:t>2 cohorts</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4</w:t>
            </w:r>
            <w:r>
              <w:rPr>
                <w:rFonts w:ascii="Plus Jakarta Sans" w:hAnsi="Plus Jakarta Sans"/>
                <w:sz w:val="17"/>
              </w:rPr>
              <w:br/>
            </w:r>
            <w:r>
              <w:rPr>
                <w:rFonts w:ascii="Plus Jakarta Sans" w:hAnsi="Plus Jakarta Sans" w:cs="Segoe UI"/>
                <w:b/>
                <w:i w:val="0"/>
                <w:color w:val="0B0E14"/>
                <w:sz w:val="17"/>
                <w:szCs w:val="17"/>
              </w:rPr>
              <w:t>June 2027</w:t>
            </w:r>
          </w:p>
        </w:tc>
        <w:tc>
          <w:tcPr>
            <w:tcW w:type="dxa" w:w="130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Summer opens</w:t>
            </w:r>
          </w:p>
        </w:tc>
        <w:tc>
          <w:tcPr>
            <w:tcW w:type="dxa" w:w="53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Exams end mid-month and the summer intensives begin, which is when young people have six consecutive days to give.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180,180 registered</w:t>
            </w:r>
            <w:r>
              <w:rPr>
                <w:rFonts w:ascii="Plus Jakarta Sans" w:hAnsi="Plus Jakarta Sans"/>
                <w:sz w:val="17"/>
              </w:rPr>
              <w:br/>
            </w:r>
            <w:r>
              <w:rPr>
                <w:rFonts w:ascii="Plus Jakarta Sans" w:hAnsi="Plus Jakarta Sans" w:cs="Segoe UI"/>
                <w:b w:val="0"/>
                <w:i w:val="0"/>
                <w:color w:val="3A4050"/>
                <w:sz w:val="17"/>
                <w:szCs w:val="17"/>
              </w:rPr>
              <w:t>8 cohorts</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5</w:t>
            </w:r>
            <w:r>
              <w:rPr>
                <w:rFonts w:ascii="Plus Jakarta Sans" w:hAnsi="Plus Jakarta Sans"/>
                <w:sz w:val="17"/>
              </w:rPr>
              <w:br/>
            </w:r>
            <w:r>
              <w:rPr>
                <w:rFonts w:ascii="Plus Jakarta Sans" w:hAnsi="Plus Jakarta Sans" w:cs="Segoe UI"/>
                <w:b/>
                <w:i w:val="0"/>
                <w:color w:val="0B0E14"/>
                <w:sz w:val="17"/>
                <w:szCs w:val="17"/>
              </w:rPr>
              <w:t>July 2027</w:t>
            </w:r>
          </w:p>
        </w:tc>
        <w:tc>
          <w:tcPr>
            <w:tcW w:type="dxa" w:w="130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Peak delivery</w:t>
            </w:r>
          </w:p>
        </w:tc>
        <w:tc>
          <w:tcPr>
            <w:tcW w:type="dxa" w:w="53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heaviest in-person month of the wave, with governorate showcases running in parallel. The first national read of the ideas bank goes to partners.</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192,060 registered</w:t>
            </w:r>
            <w:r>
              <w:rPr>
                <w:rFonts w:ascii="Plus Jakarta Sans" w:hAnsi="Plus Jakarta Sans"/>
                <w:sz w:val="17"/>
              </w:rPr>
              <w:br/>
            </w:r>
            <w:r>
              <w:rPr>
                <w:rFonts w:ascii="Plus Jakarta Sans" w:hAnsi="Plus Jakarta Sans" w:cs="Segoe UI"/>
                <w:b w:val="0"/>
                <w:i w:val="0"/>
                <w:color w:val="3A4050"/>
                <w:sz w:val="17"/>
                <w:szCs w:val="17"/>
              </w:rPr>
              <w:t>9 cohorts</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6</w:t>
            </w:r>
            <w:r>
              <w:rPr>
                <w:rFonts w:ascii="Plus Jakarta Sans" w:hAnsi="Plus Jakarta Sans"/>
                <w:sz w:val="17"/>
              </w:rPr>
              <w:br/>
            </w:r>
            <w:r>
              <w:rPr>
                <w:rFonts w:ascii="Plus Jakarta Sans" w:hAnsi="Plus Jakarta Sans" w:cs="Segoe UI"/>
                <w:b/>
                <w:i w:val="0"/>
                <w:color w:val="0B0E14"/>
                <w:sz w:val="17"/>
                <w:szCs w:val="17"/>
              </w:rPr>
              <w:t>August 2027</w:t>
            </w:r>
          </w:p>
        </w:tc>
        <w:tc>
          <w:tcPr>
            <w:tcW w:type="dxa" w:w="130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Showcase and close</w:t>
            </w:r>
          </w:p>
        </w:tc>
        <w:tc>
          <w:tcPr>
            <w:tcW w:type="dxa" w:w="53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showcase and demo day: the best teams from every governorate, in front of the coalition, the ministries and the press. Closing report, independent evaluation commissioned, and the extension decision taken with the partners in the room.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198,000 registered</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Month three is planned as an online month.</w:t>
      </w:r>
      <w:r>
        <w:rPr>
          <w:rFonts w:ascii="Plus Jakarta Sans" w:hAnsi="Plus Jakarta Sans" w:cs="Segoe UI"/>
          <w:b w:val="0"/>
          <w:i w:val="0"/>
          <w:color w:val="3A4050"/>
          <w:sz w:val="18"/>
          <w:szCs w:val="18"/>
        </w:rPr>
        <w:t xml:space="preserve"> Egyptian university exams run through May and into mid-June. Campus activity stops whether or not a programme plans for it, so the wave moves to the NGO networks, the youth centres and online delivery, and the mid-wave report is written in the month when nobody is available to be trained anyway.</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0"/>
          <w:szCs w:val="40"/>
        </w:rPr>
        <w:t>The arithmetic</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Every number quoted in this document is built from the coalition rather than asserted. This section shows the construction so a partner can disagree with an assumption rather than with a conclusion.</w:t>
      </w:r>
    </w:p>
    <w:p>
      <w:pPr>
        <w:keepNext/>
        <w:widowControl w:val="true"/>
        <w:spacing w:before="280" w:after="100" w:line="288" w:lineRule="auto"/>
      </w:pPr>
      <w:r>
        <w:rPr>
          <w:rFonts w:ascii="Plus Jakarta Sans" w:hAnsi="Plus Jakarta Sans" w:cs="Segoe UI"/>
          <w:b/>
          <w:i w:val="0"/>
          <w:color w:val="0B0E14"/>
          <w:sz w:val="24"/>
          <w:szCs w:val="24"/>
        </w:rPr>
        <w:t>Where the reach comes from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01"/>
        <w:gridCol w:w="1020"/>
        <w:gridCol w:w="1247"/>
        <w:gridCol w:w="1020"/>
        <w:gridCol w:w="4422"/>
      </w:tblGrid>
      <w:tr>
        <w:trPr>
          <w:tblHeader w:val="true"/>
        </w:trPr>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Partners</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Reach each</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Register</w:t>
            </w:r>
          </w:p>
        </w:tc>
        <w:tc>
          <w:tcPr>
            <w:tcW w:type="dxa" w:w="44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supporter chapters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44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 university and youth chapters, each reaching about 3,000 members and fellow students. The highest converting channel because the invitation comes from someone the student already knows.</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sponsor channels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44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 sponsors reaching their own employees, customers, retail networks, social audiences and foundation beneficiaries.</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development partner networks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44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partners reaching their branch networks, beneficiary lists and governorate programmes, mostly outside Cairo.</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press and organic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90,000</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44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podcast, launch and showcase press, and organic traffic to the platform.</w:t>
            </w:r>
          </w:p>
        </w:tc>
      </w:tr>
      <w:tr>
        <w:trPr>
          <w:cantSplit w:val="true"/>
        </w:trPr>
        <w:tc>
          <w:tcPr>
            <w:tcW w:type="dxa" w:w="170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020"/>
            <w:shd w:val="clear" w:fill="CBF24A"/>
            <w:tcMar>
              <w:top w:w="73" w:type="dxa"/>
              <w:start w:w="90" w:type="dxa"/>
              <w:bottom w:w="73" w:type="dxa"/>
              <w:end w:w="79" w:type="dxa"/>
            </w:tcMar>
          </w:tcPr>
          <w:p>
            <w:pPr>
              <w:spacing w:after="0" w:line="288" w:lineRule="auto"/>
            </w:pPr>
          </w:p>
        </w:tc>
        <w:tc>
          <w:tcPr>
            <w:tcW w:type="dxa" w:w="124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1,200,000</w:t>
            </w:r>
          </w:p>
        </w:tc>
        <w:tc>
          <w:tcPr>
            <w:tcW w:type="dxa" w:w="102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w:t>
            </w:r>
          </w:p>
        </w:tc>
        <w:tc>
          <w:tcPr>
            <w:tcW w:type="dxa" w:w="44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Weighted by channel, not assumed.</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The funnel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1"/>
        <w:gridCol w:w="1134"/>
        <w:gridCol w:w="5896"/>
      </w:tblGrid>
      <w:tr>
        <w:trPr>
          <w:tblHeader w:val="true"/>
        </w:trPr>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Wave 1</w:t>
            </w:r>
          </w:p>
        </w:tc>
        <w:tc>
          <w:tcPr>
            <w:tcW w:type="dxa" w:w="58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means</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People reached</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Sum of every channel's reach, before anybody registers.</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founders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198,000</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Accounts created on the platform during the wave.</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01 completed</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104,940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real act of work, and the first honest number.</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Missions 01 to 03 completed</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58,766</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end of the free tier, and the ceiling on what sponsorship can buy.</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full journeys, all 15 missions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20,100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coalition buys at 50% fill, at $5.00 a founder.</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cohort seats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Delivered in cohorts of 25, with certified facilitators.</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run</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Each one is six days, a room, two facilitators and a showcase, at $3,000.</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Ideas in the bank</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71,359</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Consented, structured, and the asset the wave leaves behind.</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Ventures trading at month 12</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Measured twelve months after the wave closes, not at the end of it.</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The conversion rates, and why each one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08"/>
        <w:gridCol w:w="1134"/>
        <w:gridCol w:w="5670"/>
      </w:tblGrid>
      <w:tr>
        <w:trPr>
          <w:tblHeader w:val="true"/>
        </w:trPr>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Rate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Assumed</w:t>
            </w:r>
          </w:p>
        </w:tc>
        <w:tc>
          <w:tcPr>
            <w:tcW w:type="dxa" w:w="56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w:t>
            </w:r>
          </w:p>
        </w:tc>
      </w:tr>
      <w:tr>
        <w:trPr>
          <w:cantSplit w:val="true"/>
        </w:trPr>
        <w:tc>
          <w:tcPr>
            <w:tcW w:type="dxa" w:w="26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account to Mission 01 complete</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free first three missions are the filter. Roughly half of registrations finish the first one.</w:t>
            </w:r>
          </w:p>
        </w:tc>
      </w:tr>
      <w:tr>
        <w:trPr>
          <w:cantSplit w:val="true"/>
        </w:trPr>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01 complete to Missions 01-03 complete</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free tier ends here. This is the honest conversion from curiosity to effort.</w:t>
            </w:r>
          </w:p>
        </w:tc>
      </w:tr>
      <w:tr>
        <w:trPr>
          <w:cantSplit w:val="true"/>
        </w:trPr>
        <w:tc>
          <w:tcPr>
            <w:tcW w:type="dxa" w:w="26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Ideas entering the bank, as a share of Mission 01 completers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01 is where a problem becomes a stated idea.</w:t>
            </w:r>
          </w:p>
        </w:tc>
      </w:tr>
      <w:tr>
        <w:trPr>
          <w:cantSplit w:val="true"/>
        </w:trPr>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Ventures trading at month 12, as a share of sponsored journeys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that matters and the one nobody else reports. Ten per cent is deliberately conservative.</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What it costs, and what it buys</w:t>
      </w:r>
    </w:p>
    <w:p>
      <w:pPr>
        <w:widowControl w:val="true"/>
        <w:spacing w:before="0" w:after="100" w:line="322" w:lineRule="auto"/>
      </w:pPr>
      <w:r>
        <w:rPr>
          <w:rFonts w:ascii="Plus Jakarta Sans" w:hAnsi="Plus Jakarta Sans" w:cs="Segoe UI"/>
          <w:b w:val="0"/>
          <w:i w:val="0"/>
          <w:color w:val="0B0E14"/>
          <w:sz w:val="19"/>
          <w:szCs w:val="19"/>
        </w:rPr>
        <w:t>The whole wave, at 50% coalition fill. Programme management is the balancing line rather than a guess: every other line is a real quantity at a real price, and if the sponsorship raised moves, the thing that flexes is how much coordination the wave can afford, not how many founders it serves.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4706"/>
        <w:gridCol w:w="1609"/>
        <w:gridCol w:w="2105"/>
        <w:gridCol w:w="990"/>
      </w:tblGrid>
      <w:tr>
        <w:trPr>
          <w:tblHeader w:val="true"/>
        </w:trPr>
        <w:tc>
          <w:tcPr>
            <w:tcW w:type="dxa" w:w="47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Budget line</w:t>
            </w:r>
          </w:p>
        </w:tc>
        <w:tc>
          <w:tcPr>
            <w:tcW w:type="dxa" w:w="16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USD</w:t>
            </w:r>
          </w:p>
        </w:tc>
        <w:tc>
          <w:tcPr>
            <w:tcW w:type="dxa" w:w="21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EGP</w:t>
            </w:r>
          </w:p>
        </w:tc>
        <w:tc>
          <w:tcPr>
            <w:tcW w:type="dxa" w:w="9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30 in-person cohorts at $3,000</w:t>
            </w:r>
          </w:p>
        </w:tc>
        <w:tc>
          <w:tcPr>
            <w:tcW w:type="dxa" w:w="16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$90,000</w:t>
            </w:r>
          </w:p>
        </w:tc>
        <w:tc>
          <w:tcPr>
            <w:tcW w:type="dxa" w:w="21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4,789,800</w:t>
            </w:r>
          </w:p>
        </w:tc>
        <w:tc>
          <w:tcPr>
            <w:tcW w:type="dxa" w:w="9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and field activation</w:t>
            </w:r>
          </w:p>
        </w:tc>
        <w:tc>
          <w:tcPr>
            <w:tcW w:type="dxa" w:w="16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$38,320</w:t>
            </w:r>
          </w:p>
        </w:tc>
        <w:tc>
          <w:tcPr>
            <w:tcW w:type="dxa" w:w="21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2,039,390</w:t>
            </w:r>
          </w:p>
        </w:tc>
        <w:tc>
          <w:tcPr>
            <w:tcW w:type="dxa" w:w="9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AI review and infrastructure</w:t>
            </w:r>
          </w:p>
        </w:tc>
        <w:tc>
          <w:tcPr>
            <w:tcW w:type="dxa" w:w="16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21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1,383,720</w:t>
            </w:r>
          </w:p>
        </w:tc>
        <w:tc>
          <w:tcPr>
            <w:tcW w:type="dxa" w:w="9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Content, Arabic production and localisation</w:t>
            </w:r>
          </w:p>
        </w:tc>
        <w:tc>
          <w:tcPr>
            <w:tcW w:type="dxa" w:w="16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$12,500</w:t>
            </w:r>
          </w:p>
        </w:tc>
        <w:tc>
          <w:tcPr>
            <w:tcW w:type="dxa" w:w="21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665,250</w:t>
            </w:r>
          </w:p>
        </w:tc>
        <w:tc>
          <w:tcPr>
            <w:tcW w:type="dxa" w:w="9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Measurement, evaluation and reporting</w:t>
            </w:r>
          </w:p>
        </w:tc>
        <w:tc>
          <w:tcPr>
            <w:tcW w:type="dxa" w:w="16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w:t>
            </w:r>
          </w:p>
        </w:tc>
        <w:tc>
          <w:tcPr>
            <w:tcW w:type="dxa" w:w="210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478,980</w:t>
            </w:r>
          </w:p>
        </w:tc>
        <w:tc>
          <w:tcPr>
            <w:tcW w:type="dxa" w:w="9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management and coordination</w:t>
            </w:r>
          </w:p>
        </w:tc>
        <w:tc>
          <w:tcPr>
            <w:tcW w:type="dxa" w:w="16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$14,680</w:t>
            </w:r>
          </w:p>
        </w:tc>
        <w:tc>
          <w:tcPr>
            <w:tcW w:type="dxa" w:w="210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781,270</w:t>
            </w:r>
          </w:p>
        </w:tc>
        <w:tc>
          <w:tcPr>
            <w:tcW w:type="dxa" w:w="9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470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61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$190,500</w:t>
            </w:r>
          </w:p>
        </w:tc>
        <w:tc>
          <w:tcPr>
            <w:tcW w:type="dxa" w:w="210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EGP 10,138,410</w:t>
            </w:r>
          </w:p>
        </w:tc>
        <w:tc>
          <w:tcPr>
            <w:tcW w:type="dxa" w:w="99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100%</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two unit prices this rests on are not invented for this document. $5.00 a sponsored founder is the national initiative seat price in the company's financial model, year one, described there as priced for a ministry buying tens of thousands. $3,000 for an in-person cohort of 25 is the model's own direct cost of $1,770 plus the field, which Section 12 itemises.</w:t>
      </w:r>
    </w:p>
    <w:p>
      <w:pPr>
        <w:keepNext/>
        <w:widowControl w:val="true"/>
        <w:spacing w:before="280" w:after="100" w:line="288" w:lineRule="auto"/>
      </w:pPr>
      <w:r>
        <w:rPr>
          <w:rFonts w:ascii="Plus Jakarta Sans" w:hAnsi="Plus Jakarta Sans" w:cs="Segoe UI"/>
          <w:b/>
          <w:i w:val="0"/>
          <w:color w:val="0B0E14"/>
          <w:sz w:val="24"/>
          <w:szCs w:val="24"/>
        </w:rPr>
        <w:t>Cost per outcome</w:t>
      </w:r>
    </w:p>
    <w:p>
      <w:pPr>
        <w:widowControl w:val="true"/>
        <w:spacing w:before="0" w:after="100" w:line="322" w:lineRule="auto"/>
      </w:pPr>
      <w:r>
        <w:rPr>
          <w:rFonts w:ascii="Plus Jakarta Sans" w:hAnsi="Plus Jakarta Sans" w:cs="Segoe UI"/>
          <w:b w:val="0"/>
          <w:i w:val="0"/>
          <w:color w:val="0B0E14"/>
          <w:sz w:val="19"/>
          <w:szCs w:val="19"/>
        </w:rPr>
        <w:t>The numbers a partner's finance function will ask for, and the ones most programmes cannot produce.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443"/>
        <w:gridCol w:w="1701"/>
        <w:gridCol w:w="2268"/>
      </w:tblGrid>
      <w:tr>
        <w:trPr>
          <w:tblHeader w:val="true"/>
        </w:trPr>
        <w:tc>
          <w:tcPr>
            <w:tcW w:type="dxa" w:w="54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USD</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EGP</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person reached</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$0.16</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8.45</w:t>
            </w:r>
          </w:p>
        </w:tc>
      </w:tr>
      <w:tr>
        <w:trPr>
          <w:cantSplit w:val="true"/>
        </w:trPr>
        <w:tc>
          <w:tcPr>
            <w:tcW w:type="dxa" w:w="54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registered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$0.96</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51.20</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founder completing the free tier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172.52</w:t>
            </w:r>
          </w:p>
        </w:tc>
      </w:tr>
      <w:tr>
        <w:trPr>
          <w:cantSplit w:val="true"/>
        </w:trPr>
        <w:tc>
          <w:tcPr>
            <w:tcW w:type="dxa" w:w="54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sponsored founder, all 15 missions</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266.10</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in-person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6,386.40</w:t>
            </w:r>
          </w:p>
        </w:tc>
      </w:tr>
      <w:tr>
        <w:trPr>
          <w:cantSplit w:val="true"/>
        </w:trPr>
        <w:tc>
          <w:tcPr>
            <w:tcW w:type="dxa" w:w="54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venture trading at month 12</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$94.78</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5,043.99</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sponsored founder and the in-person seat are prices, not averages.</w:t>
      </w:r>
      <w:r>
        <w:rPr>
          <w:rFonts w:ascii="Plus Jakarta Sans" w:hAnsi="Plus Jakarta Sans" w:cs="Segoe UI"/>
          <w:b w:val="0"/>
          <w:i w:val="0"/>
          <w:color w:val="3A4050"/>
          <w:sz w:val="18"/>
          <w:szCs w:val="18"/>
        </w:rPr>
        <w:t xml:space="preserve"> They are what a partner pays and what the wave spends, and they are equal because the wave takes no margin: the surplus on the budget above is nil by design. StartPad's own return is elsewhere, and Section 14 sets it out rather than leaving a partner to wonder about it.</w:t>
      </w:r>
    </w:p>
    <w:p>
      <w:pPr>
        <w:keepNext/>
        <w:widowControl w:val="true"/>
        <w:spacing w:before="280" w:after="100" w:line="288" w:lineRule="auto"/>
      </w:pPr>
      <w:r>
        <w:rPr>
          <w:rFonts w:ascii="Plus Jakarta Sans" w:hAnsi="Plus Jakarta Sans" w:cs="Segoe UI"/>
          <w:b/>
          <w:i w:val="0"/>
          <w:color w:val="0B0E14"/>
          <w:sz w:val="24"/>
          <w:szCs w:val="24"/>
        </w:rPr>
        <w:t>And when is the million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20"/>
        <w:gridCol w:w="1927"/>
        <w:gridCol w:w="1927"/>
        <w:gridCol w:w="4536"/>
      </w:tblGrid>
      <w:tr>
        <w:trPr>
          <w:tblHeader w:val="true"/>
        </w:trPr>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Wave</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Where</w:t>
            </w:r>
          </w:p>
        </w:tc>
        <w:tc>
          <w:tcPr>
            <w:tcW w:type="dxa" w:w="45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adds</w:t>
            </w:r>
          </w:p>
        </w:tc>
      </w:tr>
      <w:tr>
        <w:trPr>
          <w:cantSplit w:val="true"/>
        </w:trPr>
        <w:tc>
          <w:tcPr>
            <w:tcW w:type="dxa" w:w="10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1</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August 2027</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12 governorates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wave this framework covers. Proves the unit economics and builds the coalition.</w:t>
            </w:r>
          </w:p>
        </w:tc>
      </w:tr>
      <w:tr>
        <w:trPr>
          <w:cantSplit w:val="true"/>
        </w:trPr>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2</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2027 to February 2028</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20 governorates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extension. Same coalition, wider geography, lower cost per founder because the facilitator pool and the chapters already exist.</w:t>
            </w:r>
          </w:p>
        </w:tc>
      </w:tr>
      <w:tr>
        <w:trPr>
          <w:cantSplit w:val="true"/>
        </w:trPr>
        <w:tc>
          <w:tcPr>
            <w:tcW w:type="dxa" w:w="10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3</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August 2028</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all 27 governorates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coverage, with the schools and technical education systems carrying volume the university system cannot.</w:t>
            </w:r>
          </w:p>
        </w:tc>
      </w:tr>
      <w:tr>
        <w:trPr>
          <w:cantSplit w:val="true"/>
        </w:trPr>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4</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2028 to February 2029</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plus the region</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million is crossed inside this wave on these rates. Anything faster needs either a national initiative mandating participation or a step change in sponsorship.</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Anything faster than this needs either a national initiative that mandates participation across the university and technical education systems, or a step change in sponsorship. Both are possible. Neither is assumed here.</w:t>
      </w: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0"/>
          <w:szCs w:val="40"/>
        </w:rPr>
        <w:t>Operations in the field</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budget written in Cairo for a programme that runs in Qena is wrong in one predictable way: it leaves out the cost of getting there. This section is that cost, stated in full, because it is the difference between a governorate programme that happens and one that is announced.</w:t>
      </w:r>
    </w:p>
    <w:p>
      <w:pPr>
        <w:keepNext/>
        <w:widowControl w:val="true"/>
        <w:spacing w:before="280" w:after="100" w:line="288" w:lineRule="auto"/>
      </w:pPr>
      <w:r>
        <w:rPr>
          <w:rFonts w:ascii="Plus Jakarta Sans" w:hAnsi="Plus Jakarta Sans" w:cs="Segoe UI"/>
          <w:b/>
          <w:i w:val="0"/>
          <w:color w:val="0B0E14"/>
          <w:sz w:val="24"/>
          <w:szCs w:val="24"/>
        </w:rPr>
        <w:t>What an in-person cohort actually costs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61"/>
        <w:gridCol w:w="1020"/>
        <w:gridCol w:w="1134"/>
        <w:gridCol w:w="680"/>
        <w:gridCol w:w="3515"/>
      </w:tblGrid>
      <w:tr>
        <w:trPr>
          <w:tblHeader w:val="true"/>
        </w:trPr>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USD</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EGP</w:t>
            </w:r>
          </w:p>
        </w:tc>
        <w:tc>
          <w:tcPr>
            <w:tcW w:type="dxa" w:w="68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Field</w:t>
            </w:r>
          </w:p>
        </w:tc>
        <w:tc>
          <w:tcPr>
            <w:tcW w:type="dxa" w:w="351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0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two certified facilitators, six days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54,284</w:t>
            </w:r>
          </w:p>
        </w:tc>
        <w:tc>
          <w:tcPr>
            <w:tcW w:type="dxa" w:w="680"/>
            <w:tcMar>
              <w:top w:w="73" w:type="dxa"/>
              <w:start w:w="90" w:type="dxa"/>
              <w:bottom w:w="73" w:type="dxa"/>
              <w:end w:w="79" w:type="dxa"/>
            </w:tcMar>
          </w:tcPr>
          <w:p>
            <w:pPr>
              <w:spacing w:after="0" w:line="288" w:lineRule="auto"/>
            </w:pPr>
          </w:p>
        </w:tc>
        <w:tc>
          <w:tcPr>
            <w:tcW w:type="dxa" w:w="351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 the financial model, at $85 a facilitator day</w:t>
            </w:r>
          </w:p>
        </w:tc>
      </w:tr>
      <w:tr>
        <w:trPr>
          <w:cantSplit w:val="true"/>
        </w:trPr>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Materials for 25 participants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23,949</w:t>
            </w:r>
          </w:p>
        </w:tc>
        <w:tc>
          <w:tcPr>
            <w:tcW w:type="dxa" w:w="680"/>
            <w:shd w:val="clear" w:fill="F5F6F8"/>
            <w:tcMar>
              <w:top w:w="73" w:type="dxa"/>
              <w:start w:w="90" w:type="dxa"/>
              <w:bottom w:w="73" w:type="dxa"/>
              <w:end w:w="79" w:type="dxa"/>
            </w:tcMar>
          </w:tcPr>
          <w:p>
            <w:pPr>
              <w:spacing w:after="0" w:line="288" w:lineRule="auto"/>
            </w:pPr>
          </w:p>
        </w:tc>
        <w:tc>
          <w:tcPr>
            <w:tcW w:type="dxa" w:w="351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 the financial model</w:t>
            </w:r>
          </w:p>
        </w:tc>
      </w:tr>
      <w:tr>
        <w:trPr>
          <w:cantSplit w:val="true"/>
        </w:trPr>
        <w:tc>
          <w:tcPr>
            <w:tcW w:type="dxa" w:w="30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Showcase and bazaar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15,966</w:t>
            </w:r>
          </w:p>
        </w:tc>
        <w:tc>
          <w:tcPr>
            <w:tcW w:type="dxa" w:w="680"/>
            <w:tcMar>
              <w:top w:w="73" w:type="dxa"/>
              <w:start w:w="90" w:type="dxa"/>
              <w:bottom w:w="73" w:type="dxa"/>
              <w:end w:w="79" w:type="dxa"/>
            </w:tcMar>
          </w:tcPr>
          <w:p>
            <w:pPr>
              <w:spacing w:after="0" w:line="288" w:lineRule="auto"/>
            </w:pPr>
          </w:p>
        </w:tc>
        <w:tc>
          <w:tcPr>
            <w:tcW w:type="dxa" w:w="351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 the financial model</w:t>
            </w:r>
          </w:p>
        </w:tc>
      </w:tr>
      <w:tr>
        <w:trPr>
          <w:cantSplit w:val="true"/>
        </w:trPr>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Intercity transport: three people, return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1,863</w:t>
            </w:r>
          </w:p>
        </w:tc>
        <w:tc>
          <w:tcPr>
            <w:tcW w:type="dxa" w:w="6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Yes</w:t>
            </w:r>
          </w:p>
        </w:tc>
        <w:tc>
          <w:tcPr>
            <w:tcW w:type="dxa" w:w="351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facilitators and a coordinator, about EGP 600 each return</w:t>
            </w:r>
          </w:p>
        </w:tc>
      </w:tr>
      <w:tr>
        <w:trPr>
          <w:cantSplit w:val="true"/>
        </w:trPr>
        <w:tc>
          <w:tcPr>
            <w:tcW w:type="dxa" w:w="30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Local transport for six delivery days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1,064</w:t>
            </w:r>
          </w:p>
        </w:tc>
        <w:tc>
          <w:tcPr>
            <w:tcW w:type="dxa" w:w="6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Yes</w:t>
            </w:r>
          </w:p>
        </w:tc>
        <w:tc>
          <w:tcPr>
            <w:tcW w:type="dxa" w:w="351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About EGP 150 a day across the team</w:t>
            </w:r>
          </w:p>
        </w:tc>
      </w:tr>
      <w:tr>
        <w:trPr>
          <w:cantSplit w:val="true"/>
        </w:trPr>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Accommodation: two rooms, seven nights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12,773</w:t>
            </w:r>
          </w:p>
        </w:tc>
        <w:tc>
          <w:tcPr>
            <w:tcW w:type="dxa" w:w="6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Yes</w:t>
            </w:r>
          </w:p>
        </w:tc>
        <w:tc>
          <w:tcPr>
            <w:tcW w:type="dxa" w:w="351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About EGP 900 a room a night, outside the home governorate</w:t>
            </w:r>
          </w:p>
        </w:tc>
      </w:tr>
      <w:tr>
        <w:trPr>
          <w:cantSplit w:val="true"/>
        </w:trPr>
        <w:tc>
          <w:tcPr>
            <w:tcW w:type="dxa" w:w="30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Daily allowance: three people, eight days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9,580</w:t>
            </w:r>
          </w:p>
        </w:tc>
        <w:tc>
          <w:tcPr>
            <w:tcW w:type="dxa" w:w="6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Yes</w:t>
            </w:r>
          </w:p>
        </w:tc>
        <w:tc>
          <w:tcPr>
            <w:tcW w:type="dxa" w:w="351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400 a person a day, paid in advance, not reimbursed after</w:t>
            </w:r>
          </w:p>
        </w:tc>
      </w:tr>
      <w:tr>
        <w:trPr>
          <w:cantSplit w:val="true"/>
        </w:trPr>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Shipping the materials to the governorate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532</w:t>
            </w:r>
          </w:p>
        </w:tc>
        <w:tc>
          <w:tcPr>
            <w:tcW w:type="dxa" w:w="6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Yes</w:t>
            </w:r>
          </w:p>
        </w:tc>
        <w:tc>
          <w:tcPr>
            <w:tcW w:type="dxa" w:w="3515"/>
            <w:shd w:val="clear" w:fill="F5F6F8"/>
            <w:tcMar>
              <w:top w:w="73" w:type="dxa"/>
              <w:start w:w="90" w:type="dxa"/>
              <w:bottom w:w="73" w:type="dxa"/>
              <w:end w:w="79" w:type="dxa"/>
            </w:tcMar>
          </w:tcPr>
          <w:p>
            <w:pPr>
              <w:spacing w:after="0" w:line="288" w:lineRule="auto"/>
            </w:pPr>
          </w:p>
        </w:tc>
      </w:tr>
      <w:tr>
        <w:trPr>
          <w:cantSplit w:val="true"/>
        </w:trPr>
        <w:tc>
          <w:tcPr>
            <w:tcW w:type="dxa" w:w="30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 and catering, where the host does not donate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13,837</w:t>
            </w:r>
          </w:p>
        </w:tc>
        <w:tc>
          <w:tcPr>
            <w:tcW w:type="dxa" w:w="6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Yes</w:t>
            </w:r>
          </w:p>
        </w:tc>
        <w:tc>
          <w:tcPr>
            <w:tcW w:type="dxa" w:w="351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usually donates the room. A youth centre usually does not</w:t>
            </w:r>
          </w:p>
        </w:tc>
      </w:tr>
      <w:tr>
        <w:trPr>
          <w:cantSplit w:val="true"/>
        </w:trPr>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certification and quality assurance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12,241</w:t>
            </w:r>
          </w:p>
        </w:tc>
        <w:tc>
          <w:tcPr>
            <w:tcW w:type="dxa" w:w="680"/>
            <w:shd w:val="clear" w:fill="F5F6F8"/>
            <w:tcMar>
              <w:top w:w="73" w:type="dxa"/>
              <w:start w:w="90" w:type="dxa"/>
              <w:bottom w:w="73" w:type="dxa"/>
              <w:end w:w="79" w:type="dxa"/>
            </w:tcMar>
          </w:tcPr>
          <w:p>
            <w:pPr>
              <w:spacing w:after="0" w:line="288" w:lineRule="auto"/>
            </w:pPr>
          </w:p>
        </w:tc>
        <w:tc>
          <w:tcPr>
            <w:tcW w:type="dxa" w:w="3515"/>
            <w:shd w:val="clear" w:fill="F5F6F8"/>
            <w:tcMar>
              <w:top w:w="73" w:type="dxa"/>
              <w:start w:w="90" w:type="dxa"/>
              <w:bottom w:w="73" w:type="dxa"/>
              <w:end w:w="79" w:type="dxa"/>
            </w:tcMar>
          </w:tcPr>
          <w:p>
            <w:pPr>
              <w:spacing w:after="0" w:line="288" w:lineRule="auto"/>
            </w:pPr>
          </w:p>
        </w:tc>
      </w:tr>
      <w:tr>
        <w:trPr>
          <w:cantSplit w:val="true"/>
        </w:trPr>
        <w:tc>
          <w:tcPr>
            <w:tcW w:type="dxa" w:w="30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reporting and showcase media</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9,047</w:t>
            </w:r>
          </w:p>
        </w:tc>
        <w:tc>
          <w:tcPr>
            <w:tcW w:type="dxa" w:w="680"/>
            <w:tcMar>
              <w:top w:w="73" w:type="dxa"/>
              <w:start w:w="90" w:type="dxa"/>
              <w:bottom w:w="73" w:type="dxa"/>
              <w:end w:w="79" w:type="dxa"/>
            </w:tcMar>
          </w:tcPr>
          <w:p>
            <w:pPr>
              <w:spacing w:after="0" w:line="288" w:lineRule="auto"/>
            </w:pPr>
          </w:p>
        </w:tc>
        <w:tc>
          <w:tcPr>
            <w:tcW w:type="dxa" w:w="3515"/>
            <w:tcMar>
              <w:top w:w="73" w:type="dxa"/>
              <w:start w:w="90" w:type="dxa"/>
              <w:bottom w:w="73" w:type="dxa"/>
              <w:end w:w="79" w:type="dxa"/>
            </w:tcMar>
          </w:tcPr>
          <w:p>
            <w:pPr>
              <w:spacing w:after="0" w:line="288" w:lineRule="auto"/>
            </w:pPr>
          </w:p>
        </w:tc>
      </w:tr>
      <w:tr>
        <w:trPr>
          <w:cantSplit w:val="true"/>
        </w:trPr>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4,524</w:t>
            </w:r>
          </w:p>
        </w:tc>
        <w:tc>
          <w:tcPr>
            <w:tcW w:type="dxa" w:w="680"/>
            <w:shd w:val="clear" w:fill="F5F6F8"/>
            <w:tcMar>
              <w:top w:w="73" w:type="dxa"/>
              <w:start w:w="90" w:type="dxa"/>
              <w:bottom w:w="73" w:type="dxa"/>
              <w:end w:w="79" w:type="dxa"/>
            </w:tcMar>
          </w:tcPr>
          <w:p>
            <w:pPr>
              <w:spacing w:after="0" w:line="288" w:lineRule="auto"/>
            </w:pPr>
          </w:p>
        </w:tc>
        <w:tc>
          <w:tcPr>
            <w:tcW w:type="dxa" w:w="351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cohort that has to be moved a week costs money nobody budgeted</w:t>
            </w:r>
          </w:p>
        </w:tc>
      </w:tr>
      <w:tr>
        <w:trPr>
          <w:cantSplit w:val="true"/>
        </w:trPr>
        <w:tc>
          <w:tcPr>
            <w:tcW w:type="dxa" w:w="306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02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$3,000</w:t>
            </w:r>
          </w:p>
        </w:tc>
        <w:tc>
          <w:tcPr>
            <w:tcW w:type="dxa" w:w="113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159,660</w:t>
            </w:r>
          </w:p>
        </w:tc>
        <w:tc>
          <w:tcPr>
            <w:tcW w:type="dxa" w:w="680"/>
            <w:shd w:val="clear" w:fill="CBF24A"/>
            <w:tcMar>
              <w:top w:w="73" w:type="dxa"/>
              <w:start w:w="90" w:type="dxa"/>
              <w:bottom w:w="73" w:type="dxa"/>
              <w:end w:w="79" w:type="dxa"/>
            </w:tcMar>
          </w:tcPr>
          <w:p>
            <w:pPr>
              <w:spacing w:after="0" w:line="288" w:lineRule="auto"/>
            </w:pPr>
          </w:p>
        </w:tc>
        <w:tc>
          <w:tcPr>
            <w:tcW w:type="dxa" w:w="351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 seats, six delivery days</w:t>
            </w:r>
          </w:p>
        </w:tc>
      </w:tr>
    </w:tbl>
    <w:p>
      <w:pPr>
        <w:widowControl w:val="true"/>
        <w:spacing w:before="0" w:after="140" w:line="322" w:lineRule="auto"/>
      </w:pP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$745</w:t>
            </w:r>
          </w:p>
          <w:p>
            <w:pPr>
              <w:spacing w:after="0" w:line="293" w:lineRule="auto"/>
            </w:pPr>
            <w:r>
              <w:rPr>
                <w:rFonts w:ascii="Plus Jakarta Sans" w:hAnsi="Plus Jakarta Sans" w:cs="Segoe UI"/>
                <w:b w:val="0"/>
                <w:i w:val="0"/>
                <w:color w:val="3A4050"/>
                <w:sz w:val="15"/>
                <w:szCs w:val="15"/>
              </w:rPr>
              <w:t>field cost in every cohort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25%</w:t>
            </w:r>
          </w:p>
          <w:p>
            <w:pPr>
              <w:spacing w:after="0" w:line="293" w:lineRule="auto"/>
            </w:pPr>
            <w:r>
              <w:rPr>
                <w:rFonts w:ascii="Plus Jakarta Sans" w:hAnsi="Plus Jakarta Sans" w:cs="Segoe UI"/>
                <w:b w:val="0"/>
                <w:i w:val="0"/>
                <w:color w:val="3A4050"/>
                <w:sz w:val="15"/>
                <w:szCs w:val="15"/>
              </w:rPr>
              <w:t>of the cohort price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$22,350</w:t>
            </w:r>
          </w:p>
          <w:p>
            <w:pPr>
              <w:spacing w:after="0" w:line="293" w:lineRule="auto"/>
            </w:pPr>
            <w:r>
              <w:rPr>
                <w:rFonts w:ascii="Plus Jakarta Sans" w:hAnsi="Plus Jakarta Sans" w:cs="Segoe UI"/>
                <w:b w:val="0"/>
                <w:i w:val="0"/>
                <w:color w:val="3A4050"/>
                <w:sz w:val="15"/>
                <w:szCs w:val="15"/>
              </w:rPr>
              <w:t>across 30 cohorts in the wave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8</w:t>
            </w:r>
          </w:p>
          <w:p>
            <w:pPr>
              <w:spacing w:after="0" w:line="293" w:lineRule="auto"/>
            </w:pPr>
            <w:r>
              <w:rPr>
                <w:rFonts w:ascii="Plus Jakarta Sans" w:hAnsi="Plus Jakarta Sans" w:cs="Segoe UI"/>
                <w:b w:val="0"/>
                <w:i w:val="0"/>
                <w:color w:val="3A4050"/>
                <w:sz w:val="15"/>
                <w:szCs w:val="15"/>
              </w:rPr>
              <w:t>days away for six delivery days</w:t>
            </w:r>
          </w:p>
        </w:tc>
      </w:tr>
    </w:tbl>
    <w:p>
      <w:pPr>
        <w:widowControl w:val="true"/>
        <w:spacing w:before="0" w:after="160" w:line="322" w:lineRule="auto"/>
      </w:pPr>
    </w:p>
    <w:p>
      <w:pPr>
        <w:keepNext/>
        <w:widowControl w:val="true"/>
        <w:spacing w:before="280" w:after="100" w:line="288" w:lineRule="auto"/>
      </w:pPr>
      <w:r>
        <w:rPr>
          <w:rFonts w:ascii="Plus Jakarta Sans" w:hAnsi="Plus Jakarta Sans" w:cs="Segoe UI"/>
          <w:b/>
          <w:i w:val="0"/>
          <w:color w:val="0B0E14"/>
          <w:sz w:val="24"/>
          <w:szCs w:val="24"/>
        </w:rPr>
        <w:t>The rules that make it work</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allowance is paid in advance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EGP 400 a person a day, in hand before the team travels. A certified facilitator is a freelancer, not a salaried employee, and cannot float a week of expenses and wait for a reimbursement cycle. A programme that reimburses after the fact loses its best facilitators to whoever pays up front.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Travel is two facilitators and a coordinator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Two facilitators deliver and one coordinator runs the room, the venue, the host relationship and the showcase. Sending two people and asking one of them to coordinate is how cohorts fail in week one.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Eight days away for six delivery days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travel day each side. Pretending a team can arrive and deliver the same morning is the commonest way a governorate budget turns out to be wrong.</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venue is the first thing to ask the host for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university or a corporate branch donating the room takes $260 off the cohort, which goes straight back into founders sponsored. This is the single highest-value item on the in-kind menu for a governorate partner.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Recruit facilitators where the cohorts are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facilitator certified in Assiut removes the travel, the accommodation and most of the allowance from every cohort they run. The certification programme is targeted at the governorates with the most cohorts for exactly this reason, and it is why the second wave costs less per founder than the first.</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single highest-value thing a governorate partner can do is donate the room.</w:t>
      </w:r>
      <w:r>
        <w:rPr>
          <w:rFonts w:ascii="Plus Jakarta Sans" w:hAnsi="Plus Jakarta Sans" w:cs="Segoe UI"/>
          <w:b w:val="0"/>
          <w:i w:val="0"/>
          <w:color w:val="3A4050"/>
          <w:sz w:val="18"/>
          <w:szCs w:val="18"/>
        </w:rPr>
        <w:t xml:space="preserve"> It takes $260 off every cohort, and that saving goes straight back into founders sponsored rather than into a surplus. A university, a corporate branch or a youth centre with a hall is worth more to this initiative in kind than most of them would write a cheque for.</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0"/>
          <w:szCs w:val="40"/>
        </w:rPr>
        <w:t>Every event in the wave</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The events are not decoration. They are how 150 chapters activate in the same week, how twelve governorates get opened, and how a wave ends with something a partner can photograph and report. This is every one of them, with what it costs.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1020"/>
        <w:gridCol w:w="1020"/>
        <w:gridCol w:w="1247"/>
        <w:gridCol w:w="3288"/>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Event</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many</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Each</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Total</w:t>
            </w:r>
          </w:p>
        </w:tc>
        <w:tc>
          <w:tcPr>
            <w:tcW w:type="dxa" w:w="32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launch, Cairo</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w:t>
            </w:r>
          </w:p>
        </w:tc>
        <w:tc>
          <w:tcPr>
            <w:tcW w:type="dxa" w:w="32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2027</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Chapter activation visits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$7,000</w:t>
            </w:r>
          </w:p>
        </w:tc>
        <w:tc>
          <w:tcPr>
            <w:tcW w:type="dxa" w:w="328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April 2027</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awareness sessions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32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May 2027</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Governorate partner and host meetings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$7,920</w:t>
            </w:r>
          </w:p>
        </w:tc>
        <w:tc>
          <w:tcPr>
            <w:tcW w:type="dxa" w:w="328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August 2027</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Governorate showcases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$10,200</w:t>
            </w:r>
          </w:p>
        </w:tc>
        <w:tc>
          <w:tcPr>
            <w:tcW w:type="dxa" w:w="32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May to July 2027</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council meetings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328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Monthly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Judge and mentor briefings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32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Before each showcase wave</w:t>
            </w:r>
          </w:p>
        </w:tc>
      </w:tr>
      <w:tr>
        <w:trPr>
          <w:cantSplit w:val="true"/>
        </w:trPr>
        <w:tc>
          <w:tcPr>
            <w:tcW w:type="dxa" w:w="283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020"/>
            <w:shd w:val="clear" w:fill="CBF24A"/>
            <w:tcMar>
              <w:top w:w="73" w:type="dxa"/>
              <w:start w:w="90" w:type="dxa"/>
              <w:bottom w:w="73" w:type="dxa"/>
              <w:end w:w="79" w:type="dxa"/>
            </w:tcMar>
          </w:tcPr>
          <w:p>
            <w:pPr>
              <w:spacing w:after="0" w:line="288" w:lineRule="auto"/>
            </w:pPr>
          </w:p>
        </w:tc>
        <w:tc>
          <w:tcPr>
            <w:tcW w:type="dxa" w:w="1020"/>
            <w:shd w:val="clear" w:fill="CBF24A"/>
            <w:tcMar>
              <w:top w:w="73" w:type="dxa"/>
              <w:start w:w="90" w:type="dxa"/>
              <w:bottom w:w="73" w:type="dxa"/>
              <w:end w:w="79" w:type="dxa"/>
            </w:tcMar>
          </w:tcPr>
          <w:p>
            <w:pPr>
              <w:spacing w:after="0" w:line="288" w:lineRule="auto"/>
            </w:pPr>
          </w:p>
        </w:tc>
        <w:tc>
          <w:tcPr>
            <w:tcW w:type="dxa" w:w="124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$38,320</w:t>
            </w:r>
          </w:p>
        </w:tc>
        <w:tc>
          <w:tcPr>
            <w:tcW w:type="dxa" w:w="32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1, March to August 2027</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What each one is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National launch, Cairo</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coalition on stage, the patron ministries present, the press in the room. Nothing is announced until three Founding Partners have signed, so this event is the proof the coalition exists.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Chapter activation visits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150 chapters, visited in 40 clustered trips. A chapter that has been visited activates. A chapter that has only been emailed does not, and that is the whole difference between 150 chapters and 40.</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Campus awareness sessions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hour on a campus, run with the chapter, that turns a poster into registrations. Five per governorate.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Governorate partner and host meetings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Twelve governorates, three visits each: open the relationship, agree the venues, run the showcase.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Governorate showcases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Venue, judges' travel, prizes and media. Six of them, in the governorates carrying the most cohorts.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Partner council meetings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hour, one dashboard, and the room where partners meet each other, which several of them will value more than the reporting.</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Judge and mentor briefings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staff cannot judge well without being briefed, and a badly judged showcase costs a renewal.</w:t>
      </w:r>
    </w:p>
    <w:p>
      <w:pPr>
        <w:widowControl w:val="true"/>
        <w:spacing w:before="0" w:after="100" w:line="322" w:lineRule="auto"/>
      </w:pPr>
      <w:r>
        <w:rPr>
          <w:rFonts w:ascii="Plus Jakarta Sans" w:hAnsi="Plus Jakarta Sans" w:cs="Segoe UI"/>
          <w:b w:val="0"/>
          <w:i w:val="0"/>
          <w:color w:val="0B0E14"/>
          <w:sz w:val="19"/>
          <w:szCs w:val="19"/>
        </w:rPr>
        <w:t>That is $1.91 of every sponsored founder's $5.00, and the second largest line in the budget after delivery. It is also the line most likely to be cut by somebody reading quickly, which would be a mistake: a chapter that has been visited activates, and a chapter that has only been emailed does not.</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Beside these, every one of the 30 cohorts ends with its own showcase</w:t>
      </w:r>
      <w:r>
        <w:rPr>
          <w:rFonts w:ascii="Plus Jakarta Sans" w:hAnsi="Plus Jakarta Sans" w:cs="Segoe UI"/>
          <w:b w:val="0"/>
          <w:i w:val="0"/>
          <w:color w:val="3A4050"/>
          <w:sz w:val="18"/>
          <w:szCs w:val="18"/>
        </w:rPr>
        <w:t xml:space="preserve"> for its participants and its host institution, with the host's own students presenting. Those sit inside the $3,000 cohort cost rather than in the events line, which is why the events table does not list thirty showcases.</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0"/>
          <w:szCs w:val="40"/>
        </w:rPr>
        <w:t>What StartPad gets back</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partner is entitled to ask what the company running this gets out of it, and a framework that does not answer invites the worst assumption. The answer is that wave one takes no margin from sponsorship at all, and the return is somewhere else.</w:t>
      </w:r>
    </w:p>
    <w:p>
      <w:pPr>
        <w:keepNext/>
        <w:widowControl w:val="true"/>
        <w:spacing w:before="280" w:after="100" w:line="288" w:lineRule="auto"/>
      </w:pPr>
      <w:r>
        <w:rPr>
          <w:rFonts w:ascii="Plus Jakarta Sans" w:hAnsi="Plus Jakarta Sans" w:cs="Segoe UI"/>
          <w:b/>
          <w:i w:val="0"/>
          <w:color w:val="0B0E14"/>
          <w:sz w:val="24"/>
          <w:szCs w:val="24"/>
        </w:rPr>
        <w:t>No margin on the sponsorship</w:t>
      </w:r>
    </w:p>
    <w:p>
      <w:pPr>
        <w:widowControl w:val="true"/>
        <w:spacing w:before="0" w:after="100" w:line="322" w:lineRule="auto"/>
      </w:pPr>
      <w:r>
        <w:rPr>
          <w:rFonts w:ascii="Plus Jakarta Sans" w:hAnsi="Plus Jakarta Sans" w:cs="Segoe UI"/>
          <w:b w:val="0"/>
          <w:i w:val="0"/>
          <w:color w:val="0B0E14"/>
          <w:sz w:val="19"/>
          <w:szCs w:val="19"/>
        </w:rPr>
        <w:t>The budget in Section 11 balances to nil. Every dollar raised is spent on delivery, events, platform, content, measurement and the coordination to run it. The programme management line of $14,680 pays for a programme manager, a field coordinator and part-time admin at Egyptian salaries. It is cost recovery, not profit.</w:t>
      </w:r>
    </w:p>
    <w:p>
      <w:pPr>
        <w:keepNext/>
        <w:widowControl w:val="true"/>
        <w:spacing w:before="280" w:after="100" w:line="288" w:lineRule="auto"/>
      </w:pPr>
      <w:r>
        <w:rPr>
          <w:rFonts w:ascii="Plus Jakarta Sans" w:hAnsi="Plus Jakarta Sans" w:cs="Segoe UI"/>
          <w:b/>
          <w:i w:val="0"/>
          <w:color w:val="0B0E14"/>
          <w:sz w:val="24"/>
          <w:szCs w:val="24"/>
        </w:rPr>
        <w:t>What the company puts in that nobody pays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1"/>
        <w:gridCol w:w="1020"/>
        <w:gridCol w:w="1247"/>
        <w:gridCol w:w="4762"/>
      </w:tblGrid>
      <w:tr>
        <w:trPr>
          <w:tblHeader w:val="true"/>
        </w:trPr>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USD</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EGP</w:t>
            </w:r>
          </w:p>
        </w:tc>
        <w:tc>
          <w:tcPr>
            <w:tcW w:type="dxa" w:w="47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and executive time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$8,800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468,336</w:t>
            </w:r>
          </w:p>
        </w:tc>
        <w:tc>
          <w:tcPr>
            <w:tcW w:type="dxa" w:w="47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About 0.4 of a full-time equivalent across the chief executive and chief commercial officer for eleven months, at the capped salaries in the financial model.</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engineering for the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478,980</w:t>
            </w:r>
          </w:p>
        </w:tc>
        <w:tc>
          <w:tcPr>
            <w:tcW w:type="dxa" w:w="47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Bulk provisioning, the partner dashboard, the consent flow and the ideas bank aggregation. Built for this and kept afterwards.</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Coalition building before any money arrives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$9,400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500,268</w:t>
            </w:r>
          </w:p>
        </w:tc>
        <w:tc>
          <w:tcPr>
            <w:tcW w:type="dxa" w:w="47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October 2026 to February 2027. Five months of approaches, memoranda and charters, funded by the company because sponsorship cannot be spent before it is raised.</w:t>
            </w:r>
          </w:p>
        </w:tc>
      </w:tr>
      <w:tr>
        <w:trPr>
          <w:cantSplit w:val="true"/>
        </w:trPr>
        <w:tc>
          <w:tcPr>
            <w:tcW w:type="dxa" w:w="238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02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$27,200</w:t>
            </w:r>
          </w:p>
        </w:tc>
        <w:tc>
          <w:tcPr>
            <w:tcW w:type="dxa" w:w="124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1,447,584</w:t>
            </w:r>
          </w:p>
        </w:tc>
        <w:tc>
          <w:tcPr>
            <w:tcW w:type="dxa" w:w="476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Time and engineering, not recovered</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What comes back in the twelve months after the wave</w:t>
      </w:r>
    </w:p>
    <w:p>
      <w:pPr>
        <w:widowControl w:val="true"/>
        <w:spacing w:before="0" w:after="100" w:line="322" w:lineRule="auto"/>
      </w:pPr>
      <w:r>
        <w:rPr>
          <w:rFonts w:ascii="Plus Jakarta Sans" w:hAnsi="Plus Jakarta Sans" w:cs="Segoe UI"/>
          <w:b w:val="0"/>
          <w:i w:val="0"/>
          <w:color w:val="0B0E14"/>
          <w:sz w:val="19"/>
          <w:szCs w:val="19"/>
        </w:rPr>
        <w:t>Priced at the financial model's own prices, so a reader with both documents cannot find two different numbers for the same product.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75"/>
        <w:gridCol w:w="1247"/>
        <w:gridCol w:w="4989"/>
      </w:tblGrid>
      <w:tr>
        <w:trPr>
          <w:tblHeader w:val="true"/>
        </w:trPr>
        <w:tc>
          <w:tcPr>
            <w:tcW w:type="dxa" w:w="31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USD</w:t>
            </w:r>
          </w:p>
        </w:tc>
        <w:tc>
          <w:tcPr>
            <w:tcW w:type="dxa" w:w="49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is counted</w:t>
            </w:r>
          </w:p>
        </w:tc>
      </w:tr>
      <w:tr>
        <w:trPr>
          <w:cantSplit w:val="true"/>
        </w:trPr>
        <w:tc>
          <w:tcPr>
            <w:tcW w:type="dxa" w:w="317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subscriptions from 38,666 unsponsored completers</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$23,200</w:t>
            </w:r>
          </w:p>
        </w:tc>
        <w:tc>
          <w:tcPr>
            <w:tcW w:type="dxa" w:w="498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1,547 subscriptions at $15</w:t>
            </w:r>
          </w:p>
        </w:tc>
      </w:tr>
      <w:tr>
        <w:trPr>
          <w:cantSplit w:val="true"/>
        </w:trPr>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sold to host institutions</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$17,850</w:t>
            </w:r>
          </w:p>
        </w:tc>
        <w:tc>
          <w:tcPr>
            <w:tcW w:type="dxa" w:w="498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cohorts at $3,500</w:t>
            </w:r>
          </w:p>
        </w:tc>
      </w:tr>
      <w:tr>
        <w:trPr>
          <w:cantSplit w:val="true"/>
        </w:trPr>
        <w:tc>
          <w:tcPr>
            <w:tcW w:type="dxa" w:w="317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licences</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$15,750</w:t>
            </w:r>
          </w:p>
        </w:tc>
        <w:tc>
          <w:tcPr>
            <w:tcW w:type="dxa" w:w="498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licences at $7,500</w:t>
            </w:r>
          </w:p>
        </w:tc>
      </w:tr>
      <w:tr>
        <w:trPr>
          <w:cantSplit w:val="true"/>
        </w:trPr>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 from sponsors</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$32,400</w:t>
            </w:r>
          </w:p>
        </w:tc>
        <w:tc>
          <w:tcPr>
            <w:tcW w:type="dxa" w:w="498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programmes at $12,000</w:t>
            </w:r>
          </w:p>
        </w:tc>
      </w:tr>
      <w:tr>
        <w:trPr>
          <w:cantSplit w:val="true"/>
        </w:trPr>
        <w:tc>
          <w:tcPr>
            <w:tcW w:type="dxa" w:w="317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programmes won on the evidence base</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$17,280</w:t>
            </w:r>
          </w:p>
        </w:tc>
        <w:tc>
          <w:tcPr>
            <w:tcW w:type="dxa" w:w="498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programme at $12,000</w:t>
            </w:r>
          </w:p>
        </w:tc>
      </w:tr>
      <w:tr>
        <w:trPr>
          <w:cantSplit w:val="true"/>
        </w:trPr>
        <w:tc>
          <w:tcPr>
            <w:tcW w:type="dxa" w:w="317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4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$106,480</w:t>
            </w:r>
          </w:p>
        </w:tc>
        <w:tc>
          <w:tcPr>
            <w:tcW w:type="dxa" w:w="498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Twelve months after the wave closes</w:t>
            </w:r>
          </w:p>
        </w:tc>
      </w:tr>
    </w:tbl>
    <w:p>
      <w:pPr>
        <w:widowControl w:val="true"/>
        <w:spacing w:before="0" w:after="140" w:line="322" w:lineRule="auto"/>
      </w:pP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$27,200</w:t>
            </w:r>
          </w:p>
          <w:p>
            <w:pPr>
              <w:spacing w:after="0" w:line="293" w:lineRule="auto"/>
            </w:pPr>
            <w:r>
              <w:rPr>
                <w:rFonts w:ascii="Plus Jakarta Sans" w:hAnsi="Plus Jakarta Sans" w:cs="Segoe UI"/>
                <w:b w:val="0"/>
                <w:i w:val="0"/>
                <w:color w:val="3A4050"/>
                <w:sz w:val="15"/>
                <w:szCs w:val="15"/>
              </w:rPr>
              <w:t>StartPad puts in</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$106,480</w:t>
            </w:r>
          </w:p>
          <w:p>
            <w:pPr>
              <w:spacing w:after="0" w:line="293" w:lineRule="auto"/>
            </w:pPr>
            <w:r>
              <w:rPr>
                <w:rFonts w:ascii="Plus Jakarta Sans" w:hAnsi="Plus Jakarta Sans" w:cs="Segoe UI"/>
                <w:b w:val="0"/>
                <w:i w:val="0"/>
                <w:color w:val="3A4050"/>
                <w:sz w:val="15"/>
                <w:szCs w:val="15"/>
              </w:rPr>
              <w:t>comes back in 12 months</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3.9x</w:t>
            </w:r>
          </w:p>
          <w:p>
            <w:pPr>
              <w:spacing w:after="0" w:line="293" w:lineRule="auto"/>
            </w:pPr>
            <w:r>
              <w:rPr>
                <w:rFonts w:ascii="Plus Jakarta Sans" w:hAnsi="Plus Jakarta Sans" w:cs="Segoe UI"/>
                <w:b w:val="0"/>
                <w:i w:val="0"/>
                <w:color w:val="3A4050"/>
                <w:sz w:val="15"/>
                <w:szCs w:val="15"/>
              </w:rPr>
              <w:t>on what the company put in</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0</w:t>
            </w:r>
          </w:p>
          <w:p>
            <w:pPr>
              <w:spacing w:after="0" w:line="293" w:lineRule="auto"/>
            </w:pPr>
            <w:r>
              <w:rPr>
                <w:rFonts w:ascii="Plus Jakarta Sans" w:hAnsi="Plus Jakarta Sans" w:cs="Segoe UI"/>
                <w:b w:val="0"/>
                <w:i w:val="0"/>
                <w:color w:val="3A4050"/>
                <w:sz w:val="15"/>
                <w:szCs w:val="15"/>
              </w:rPr>
              <w:t>margin taken from sponsorship</w:t>
            </w:r>
          </w:p>
        </w:tc>
      </w:tr>
    </w:tbl>
    <w:p>
      <w:pPr>
        <w:widowControl w:val="true"/>
        <w:spacing w:before="0" w:after="160" w:line="322" w:lineRule="auto"/>
      </w:pPr>
    </w:p>
    <w:p>
      <w:pPr>
        <w:keepNext/>
        <w:widowControl w:val="true"/>
        <w:spacing w:before="280" w:after="100" w:line="288" w:lineRule="auto"/>
      </w:pPr>
      <w:r>
        <w:rPr>
          <w:rFonts w:ascii="Plus Jakarta Sans" w:hAnsi="Plus Jakarta Sans" w:cs="Segoe UI"/>
          <w:b/>
          <w:i w:val="0"/>
          <w:color w:val="0B0E14"/>
          <w:sz w:val="24"/>
          <w:szCs w:val="24"/>
        </w:rPr>
        <w:t>And what is not in that number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certified facilitator pool across twelve governorates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Capacity is the binding constraint on every commercial engine in the business plan. The initiative pays to certify facilitators where the cohorts are, and every one of them removes travel, accommodation and most of the allowance from every future cohort in that governorate.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198,000 registered accounts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engine's entire addressable base in year one, acquired at $0.96 a head by somebody else's money.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71,359 consented ideas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ideas bank and the direction report. No competitor in Egypt has the sample, and it is the basis of the company's own incubation product as well as a sponsor benefit.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30 host institutions with a delivered cohort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one holds a cohort report with its own students named in it, which is the reference that opens the next institution.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An audited delivery record at national scale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thing that makes donor and ministry procurement possible, and the thing a four-year-old company cannot otherwise buy.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coalition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Twenty to thirty organisations that have worked with the company for six months and have seen its reporting.</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Why this is in a document sent to sponsors.</w:t>
      </w:r>
      <w:r>
        <w:rPr>
          <w:rFonts w:ascii="Plus Jakarta Sans" w:hAnsi="Plus Jakarta Sans" w:cs="Segoe UI"/>
          <w:b w:val="0"/>
          <w:i w:val="0"/>
          <w:color w:val="3A4050"/>
          <w:sz w:val="18"/>
          <w:szCs w:val="18"/>
        </w:rPr>
        <w:t xml:space="preserve"> Because a sponsor who discovers it later will assume the worst version of it, and because the return being real is what makes the initiative durable. A programme the operator loses money on for six months is a campaign. A programme that builds the operator's capability while it serves the sponsor's purpose is an institution, and it will still be running in 2029.</w:t>
      </w:r>
    </w:p>
    <w:p>
      <w:pPr>
        <w:keepNext/>
        <w:pageBreakBefore w:val="true"/>
        <w:spacing w:before="0" w:after="20"/>
      </w:pPr>
      <w:r>
        <w:rPr>
          <w:rFonts w:ascii="Plus Jakarta Sans" w:hAnsi="Plus Jakarta Sans" w:cs="Segoe UI"/>
          <w:b/>
          <w:i w:val="0"/>
          <w:color w:val="3418E0"/>
          <w:spacing w:val="28"/>
          <w:sz w:val="16"/>
          <w:szCs w:val="16"/>
        </w:rPr>
        <w:t>SECTION 15</w:t>
      </w:r>
    </w:p>
    <w:p>
      <w:pPr>
        <w:keepNext/>
        <w:spacing w:before="40" w:after="120"/>
      </w:pPr>
      <w:r>
        <w:rPr>
          <w:rFonts w:ascii="Plus Jakarta Sans" w:hAnsi="Plus Jakarta Sans" w:cs="Segoe UI"/>
          <w:b/>
          <w:i w:val="0"/>
          <w:color w:val="0B0E14"/>
          <w:sz w:val="40"/>
          <w:szCs w:val="40"/>
        </w:rPr>
        <w:t>Governance, measurement and risk</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coalition of twenty organisations needs to know who decides what, who is accountable when something fails, and what it will be told and when. This section is what a partner is signing into.</w:t>
      </w:r>
    </w:p>
    <w:p>
      <w:pPr>
        <w:keepNext/>
        <w:widowControl w:val="true"/>
        <w:spacing w:before="280" w:after="100" w:line="288" w:lineRule="auto"/>
      </w:pPr>
      <w:r>
        <w:rPr>
          <w:rFonts w:ascii="Plus Jakarta Sans" w:hAnsi="Plus Jakarta Sans" w:cs="Segoe UI"/>
          <w:b/>
          <w:i w:val="0"/>
          <w:color w:val="0B0E14"/>
          <w:sz w:val="24"/>
          <w:szCs w:val="24"/>
        </w:rPr>
        <w:t>Who decides what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Steering committee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Founding Partners, StartPad, and an observer from each patron ministry. Meets at month zero, three and six. Sets the governorate plan, approves the national report, and decides the extension.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Partner council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partner at every tier, plus the community supporter leads. Monthly, one hour, one dashboard. This is also where partners meet each other, which several of them will value more than the reporting.</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Community council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chapter and youth foundation leads, monthly, run by them rather than by us. It owns the charter, the chapter league table and the showcase selection rules.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Delivery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is accountable for delivery, the platform, the facilitator standard and the measurement. One organisation is accountable so that when something fails there is no argument about whose it was.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Safeguarding lead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named person, with a written policy, a reporting route and vetting for everyone who works with under-18s. Non-negotiable, and the first thing a serious partner will ask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Data protection lead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named person accountable for consent, the ideas bank rules, retention and the Egyptian data protection law. Partners receive the policy before they sign, not after.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Independent evaluation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Commissioned at month six from an evaluator the steering committee chooses and StartPad does not, and published whatever it says.</w:t>
      </w:r>
    </w:p>
    <w:p>
      <w:pPr>
        <w:keepNext/>
        <w:widowControl w:val="true"/>
        <w:spacing w:before="280" w:after="100" w:line="288" w:lineRule="auto"/>
      </w:pPr>
      <w:r>
        <w:rPr>
          <w:rFonts w:ascii="Plus Jakarta Sans" w:hAnsi="Plus Jakarta Sans" w:cs="Segoe UI"/>
          <w:b/>
          <w:i w:val="0"/>
          <w:color w:val="0B0E14"/>
          <w:sz w:val="24"/>
          <w:szCs w:val="24"/>
        </w:rPr>
        <w:t>What gets measured, and when partners see it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01"/>
        <w:gridCol w:w="1247"/>
        <w:gridCol w:w="1360"/>
        <w:gridCol w:w="5103"/>
      </w:tblGrid>
      <w:tr>
        <w:trPr>
          <w:tblHeader w:val="true"/>
        </w:trPr>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often</w:t>
            </w:r>
          </w:p>
        </w:tc>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Where</w:t>
            </w:r>
          </w:p>
        </w:tc>
        <w:tc>
          <w:tcPr>
            <w:tcW w:type="dxa" w:w="51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Detail</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 and registration</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Dashboard</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By channel, by partner, by governorate. Every partner sees their own line and the national total.</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Completion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Dashboard</w:t>
            </w:r>
          </w:p>
        </w:tc>
        <w:tc>
          <w:tcPr>
            <w:tcW w:type="dxa" w:w="51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01, missions 01 to 03, and full journeys. Disaggregated by sex, age band, governorate and whether the participant is a student, a graduate or already trading.</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quality</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cohort</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 completion, facilitator rating and the showcase result. The institution keeps this one.</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Direction report</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Quarterly</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 to partners</w:t>
            </w:r>
          </w:p>
        </w:tc>
        <w:tc>
          <w:tcPr>
            <w:tcW w:type="dxa" w:w="51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participants are building, by sector, governorate, gender, age and stage. Partners receive it before publication.</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Ventures formed</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 6, month 12, month 18</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Follow-up survey</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Registered, trading, employing, or funded. Measured after the wave closes, because measuring at the end of a programme measures enthusiasm.</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outcome</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 6 and month 12</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Closing report</w:t>
            </w:r>
          </w:p>
        </w:tc>
        <w:tc>
          <w:tcPr>
            <w:tcW w:type="dxa" w:w="51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registered founder, per full journey, per in-person seat and per venture trading. Published with the assumptions next to them.</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SDG mapping</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 6</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Closing report</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SDG 4 quality education, 5 gender equality, 8 decent work and economic growth, 9 industry innovation and infrastructure, 10 reduced inequalities, with the indicator each claim rests on.</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What could go wrong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54"/>
        <w:gridCol w:w="5896"/>
        <w:gridCol w:w="1360"/>
      </w:tblGrid>
      <w:tr>
        <w:trPr>
          <w:tblHeader w:val="true"/>
        </w:trPr>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58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is handled</w:t>
            </w:r>
          </w:p>
        </w:tc>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Status</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coalition does not fill</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Likely, at least at first. The wave is designed to run at 50 per cent of the capped tiers, and the funnel above is quoted at that fill. Below 30 per cent the governorate count drops rather than the quality.</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Planned for</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Registration without completion</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commonest failure in free digital programmes. Mitigated by the chapter channel, which converts because the invitation is personal, and by publishing the completion rate rather than the registration number as the headline.</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Mitigated</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capacity</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Thirty cohorts in twelve governorates needs a certified pool that exists before the wave opens rather than one recruited during it, which is why certification runs in January 2027 and why facilitators are recruited where the cohorts are.</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Mitigated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partner expects exclusivity over the ideas</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Refused in writing, in the charter and in the sponsorship agreement. The founder owns the idea. A partner who cannot accept this is not a partner for this initiative.</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Governed</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 involving a minor</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risk that ends the initiative if it is handled badly. Named lead, written policy, vetting, no identified data on under-18s, and a reporting route that goes to the steering committee the same week.</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Governed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Religious and academic calendar</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Ramadan in February, exams in May, summer from June. Built into the month plan rather than discovered in it.</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Planned for</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cost</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Sponsorship priced in dollars, cost base largely in Egyptian pounds. Devaluation helps delivery and hurts nothing in this wave; the reverse would be absorbed by reducing governorate count.</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Monitored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million is read as a six-month promise</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It is not, and the framework says so in the arithmetic. Wave 1 delivers roughly 198,000 registered founders. Any partner who signs believing otherwise will be a problem at month six, so the number is stated plainly before they sign.</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Stated</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risk that ends the initiative is a safeguarding failure involving a minor.</w:t>
      </w:r>
      <w:r>
        <w:rPr>
          <w:rFonts w:ascii="Plus Jakarta Sans" w:hAnsi="Plus Jakarta Sans" w:cs="Segoe UI"/>
          <w:b w:val="0"/>
          <w:i w:val="0"/>
          <w:color w:val="3A4050"/>
          <w:sz w:val="18"/>
          <w:szCs w:val="18"/>
        </w:rPr>
        <w:t xml:space="preserve"> It is handled with a named lead, a written policy, vetting for everyone who works with under-18s, no identified data on under-18s under any sponsorship tier, and a reporting route that reaches the steering committee in the same week. A partner should ask to see the policy before signing, and will be given it.</w:t>
      </w:r>
    </w:p>
    <w:p>
      <w:pPr>
        <w:keepNext/>
        <w:pageBreakBefore w:val="true"/>
        <w:spacing w:before="0" w:after="20"/>
      </w:pPr>
      <w:r>
        <w:rPr>
          <w:rFonts w:ascii="Plus Jakarta Sans" w:hAnsi="Plus Jakarta Sans" w:cs="Segoe UI"/>
          <w:b/>
          <w:i w:val="0"/>
          <w:color w:val="3418E0"/>
          <w:spacing w:val="28"/>
          <w:sz w:val="16"/>
          <w:szCs w:val="16"/>
        </w:rPr>
        <w:t>SECTION 16</w:t>
      </w:r>
    </w:p>
    <w:p>
      <w:pPr>
        <w:keepNext/>
        <w:spacing w:before="40" w:after="120"/>
      </w:pPr>
      <w:r>
        <w:rPr>
          <w:rFonts w:ascii="Plus Jakarta Sans" w:hAnsi="Plus Jakarta Sans" w:cs="Segoe UI"/>
          <w:b/>
          <w:i w:val="0"/>
          <w:color w:val="0B0E14"/>
          <w:sz w:val="40"/>
          <w:szCs w:val="40"/>
        </w:rPr>
        <w:t>How to join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Four steps, two weeks for a corporate, longer for a foundation board. The first step is twenty minutes and does not involve a deck.</w:t>
      </w:r>
    </w:p>
    <w:p>
      <w:pPr>
        <w:spacing w:after="120" w:line="317" w:lineRule="auto"/>
        <w:ind w:left="510" w:hanging="510"/>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Step one, a conversation</w:t>
      </w:r>
      <w:r>
        <w:rPr>
          <w:rFonts w:ascii="Plus Jakarta Sans" w:hAnsi="Plus Jakarta Sans" w:cs="Segoe UI"/>
          <w:b w:val="0"/>
          <w:i w:val="0"/>
          <w:color w:val="0B0E14"/>
          <w:sz w:val="19"/>
          <w:szCs w:val="19"/>
        </w:rPr>
        <w:t xml:space="preserve">  Twenty minutes. We show one cohort report and the direction report mock-up, and ask what the partner's own programme is trying to achieve. No deck.</w:t>
      </w:r>
    </w:p>
    <w:p>
      <w:pPr>
        <w:spacing w:after="120" w:line="317" w:lineRule="auto"/>
        <w:ind w:left="510" w:hanging="510"/>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Step two, a tier and a shape</w:t>
      </w:r>
      <w:r>
        <w:rPr>
          <w:rFonts w:ascii="Plus Jakarta Sans" w:hAnsi="Plus Jakarta Sans" w:cs="Segoe UI"/>
          <w:b w:val="0"/>
          <w:i w:val="0"/>
          <w:color w:val="0B0E14"/>
          <w:sz w:val="19"/>
          <w:szCs w:val="19"/>
        </w:rPr>
        <w:t xml:space="preserve">  Cash tier, in-kind equivalent, or community charter. A written one-page summary of what they give, what they get, and which governorate or sector carries their name.</w:t>
      </w:r>
    </w:p>
    <w:p>
      <w:pPr>
        <w:spacing w:after="120" w:line="317" w:lineRule="auto"/>
        <w:ind w:left="510" w:hanging="510"/>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Step three, the paperwork</w:t>
      </w:r>
      <w:r>
        <w:rPr>
          <w:rFonts w:ascii="Plus Jakarta Sans" w:hAnsi="Plus Jakarta Sans" w:cs="Segoe UI"/>
          <w:b w:val="0"/>
          <w:i w:val="0"/>
          <w:color w:val="0B0E14"/>
          <w:sz w:val="19"/>
          <w:szCs w:val="19"/>
        </w:rPr>
        <w:t xml:space="preserve">  Sponsorship agreement or community charter, the safeguarding and data policies, and the partner's own due diligence pack. Two weeks for a corporate, longer for a foundation board.</w:t>
      </w:r>
    </w:p>
    <w:p>
      <w:pPr>
        <w:spacing w:after="120" w:line="317" w:lineRule="auto"/>
        <w:ind w:left="510" w:hanging="510"/>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Step four, the council</w:t>
      </w:r>
      <w:r>
        <w:rPr>
          <w:rFonts w:ascii="Plus Jakarta Sans" w:hAnsi="Plus Jakarta Sans" w:cs="Segoe UI"/>
          <w:b w:val="0"/>
          <w:i w:val="0"/>
          <w:color w:val="0B0E14"/>
          <w:sz w:val="19"/>
          <w:szCs w:val="19"/>
        </w:rPr>
        <w:t xml:space="preserve">  They are in the partner council from the month they sign, whether or not the wave has started.</w:t>
      </w:r>
    </w:p>
    <w:p>
      <w:pPr>
        <w:keepNext/>
        <w:widowControl w:val="true"/>
        <w:spacing w:before="280" w:after="100" w:line="288" w:lineRule="auto"/>
      </w:pPr>
      <w:r>
        <w:rPr>
          <w:rFonts w:ascii="Plus Jakarta Sans" w:hAnsi="Plus Jakarta Sans" w:cs="Segoe UI"/>
          <w:b/>
          <w:i w:val="0"/>
          <w:color w:val="0B0E14"/>
          <w:sz w:val="24"/>
          <w:szCs w:val="24"/>
        </w:rPr>
        <w:t>What a partner should ask for before signing</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safeguarding policy and the name of the safeguarding lead.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data protection policy, the consent text participants see, and the ideas bank rules in Section 7.</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sample cohort report, and the template of the closing report they will receive.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current coalition: who has signed, at what tier, and which governorates and sectors are already taken.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assumptions behind Section 11, which are in the workbook that accompanies this document and are editable.</w:t>
      </w:r>
    </w:p>
    <w:p>
      <w:pPr>
        <w:keepNext/>
        <w:widowControl w:val="true"/>
        <w:spacing w:before="280" w:after="100" w:line="288" w:lineRule="auto"/>
      </w:pPr>
      <w:r>
        <w:rPr>
          <w:rFonts w:ascii="Plus Jakarta Sans" w:hAnsi="Plus Jakarta Sans" w:cs="Segoe UI"/>
          <w:b/>
          <w:i w:val="0"/>
          <w:color w:val="0B0E14"/>
          <w:sz w:val="24"/>
          <w:szCs w:val="24"/>
        </w:rPr>
        <w:t>What the initiative will ask them for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named counterpart who can make a decision, not only relay one.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own reporting requirements, in writing, before the wave starts rather than at month five.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governorate or sector preference, so the coalition can be assembled without two partners claiming the same ground.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For in-kind partners, the rate card or market value they want the contribution credited at.</w:t>
      </w:r>
    </w:p>
    <w:p>
      <w:pPr>
        <w:widowControl w:val="true"/>
        <w:spacing w:before="240" w:after="240" w:line="302" w:lineRule="auto"/>
        <w:ind w:left="227"/>
      </w:pPr>
      <w:r>
        <w:rPr>
          <w:rFonts w:ascii="Plus Jakarta Sans" w:hAnsi="Plus Jakarta Sans" w:cs="Segoe UI"/>
          <w:b/>
          <w:i w:val="0"/>
          <w:color w:val="3418E0"/>
          <w:sz w:val="26"/>
          <w:szCs w:val="26"/>
        </w:rPr>
        <w:t>Three Founding Partners, and the rest of the coalition sells itself. That is the whole critical path.</w:t>
      </w:r>
    </w:p>
    <w:p>
      <w:pPr>
        <w:keepNext/>
        <w:pageBreakBefore w:val="true"/>
        <w:spacing w:before="0" w:after="20"/>
      </w:pPr>
      <w:r>
        <w:rPr>
          <w:rFonts w:ascii="Plus Jakarta Sans" w:hAnsi="Plus Jakarta Sans" w:cs="Segoe UI"/>
          <w:b/>
          <w:i w:val="0"/>
          <w:color w:val="3418E0"/>
          <w:spacing w:val="28"/>
          <w:sz w:val="16"/>
          <w:szCs w:val="16"/>
        </w:rPr>
        <w:t>SECTION 17</w:t>
      </w:r>
    </w:p>
    <w:p>
      <w:pPr>
        <w:keepNext/>
        <w:spacing w:before="40" w:after="120"/>
      </w:pPr>
      <w:r>
        <w:rPr>
          <w:rFonts w:ascii="Plus Jakarta Sans" w:hAnsi="Plus Jakarta Sans" w:cs="Segoe UI"/>
          <w:b/>
          <w:i w:val="0"/>
          <w:color w:val="0B0E14"/>
          <w:sz w:val="40"/>
          <w:szCs w:val="40"/>
        </w:rPr>
        <w:t>Appendix: the fifteen missions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What a participant actually does, in order. Missions 01 to 03 are free to everybody in Egypt.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7"/>
        <w:gridCol w:w="2041"/>
        <w:gridCol w:w="1247"/>
        <w:gridCol w:w="1020"/>
        <w:gridCol w:w="4536"/>
      </w:tblGrid>
      <w:tr>
        <w:trPr>
          <w:tblHeader w:val="true"/>
        </w:trPr>
        <w:tc>
          <w:tcPr>
            <w:tcW w:type="dxa" w:w="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Time</w:t>
            </w:r>
          </w:p>
        </w:tc>
        <w:tc>
          <w:tcPr>
            <w:tcW w:type="dxa" w:w="45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Problem Analysis</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Discovery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Understand problems, key facts, and research insights</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Problem Definition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Discovery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Identify users and their specific problems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Importance/Frequency Matrix</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Analysis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hour</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Prioritize problems based on impact and frequency</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Problem Statements</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Analysis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Create clear, actionable problem statements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05</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 Selection</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Use value/impact matrix to select best ideas</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06</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 Description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 problem-solution canvas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07</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Solution Hypothesis Test</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Validate your solution hypothesis</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08</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Model Canvas</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Model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 comprehensive business model</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09</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Build Prototype</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5-10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Create prototype or Figma design</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Solution Hypothesis Test (Prototype)</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Further validation with prototype</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Service Selection</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Strategy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Define go-to-market strategy</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 Validation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Test market readiness and demand</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Build MVP</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 minimum viable product</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Product-Market Fit Test</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5-10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Validate product-market fit</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15</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 to Market</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Launch</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10-20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Execute launch strategy</w:t>
            </w:r>
          </w:p>
        </w:tc>
      </w:tr>
    </w:tbl>
    <w:p>
      <w:pPr>
        <w:widowControl w:val="true"/>
        <w:spacing w:before="0" w:after="140" w:line="322" w:lineRule="auto"/>
      </w:pPr>
    </w:p>
    <w:sectPr w:rsidR="00FC693F" w:rsidRPr="0006063C" w:rsidSect="00034616">
      <w:headerReference w:type="default" r:id="rId9"/>
      <w:footerReference w:type="default" r:id="rId10"/>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Wave 1, March to August 2027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ONE MILLION FIRST-TIME FOUNDERS  |  EGYPT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Million First-Time Founders: sponsorship framework</dc:title>
  <dc:subject>Sponsorship framework, Egypt, Wave 1, March to August 2027</dc:subject>
  <dc:creator>StartPad</dc:creator>
  <cp:keywords/>
  <dc:description/>
  <cp:lastModifiedBy>StartPad</cp:lastModifiedBy>
  <cp:revision>1</cp:revision>
  <dcterms:created xsi:type="dcterms:W3CDTF">2024-01-01T00:00:00Z</dcterms:created>
  <dcterms:modified xsi:type="dcterms:W3CDTF">2024-01-01T00:00:00Z</dcterms:modified>
  <cp:category/>
</cp:coreProperties>
</file>