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520"/>
      </w:pPr>
      <w:r>
        <w:drawing>
          <wp:inline xmlns:a="http://schemas.openxmlformats.org/drawingml/2006/main" xmlns:pic="http://schemas.openxmlformats.org/drawingml/2006/picture">
            <wp:extent cx="1224000" cy="813009"/>
            <wp:docPr id="1" name="Picture 1"/>
            <wp:cNvGraphicFramePr>
              <a:graphicFrameLocks noChangeAspect="1"/>
            </wp:cNvGraphicFramePr>
            <a:graphic>
              <a:graphicData uri="http://schemas.openxmlformats.org/drawingml/2006/picture">
                <pic:pic>
                  <pic:nvPicPr>
                    <pic:cNvPr id="0" name="startpad_logo.png"/>
                    <pic:cNvPicPr/>
                  </pic:nvPicPr>
                  <pic:blipFill>
                    <a:blip r:embed="rId11"/>
                    <a:stretch>
                      <a:fillRect/>
                    </a:stretch>
                  </pic:blipFill>
                  <pic:spPr>
                    <a:xfrm>
                      <a:off x="0" y="0"/>
                      <a:ext cx="1224000" cy="813009"/>
                    </a:xfrm>
                    <a:prstGeom prst="rect"/>
                  </pic:spPr>
                </pic:pic>
              </a:graphicData>
            </a:graphic>
          </wp:inline>
        </w:drawing>
      </w:r>
    </w:p>
    <w:p>
      <w:pPr>
        <w:shd w:val="clear" w:fill="CBF24A"/>
        <w:spacing w:after="0"/>
      </w:pPr>
      <w:r>
        <w:rPr>
          <w:sz w:val="4"/>
        </w:rPr>
        <w:t xml:space="preserve">  </w:t>
      </w:r>
    </w:p>
    <w:p>
      <w:pPr>
        <w:keepLines w:val="true"/>
        <w:widowControl w:val="true"/>
        <w:spacing w:before="440" w:after="0" w:line="245" w:lineRule="auto"/>
      </w:pPr>
      <w:r>
        <w:rPr>
          <w:rFonts w:ascii="Plus Jakarta Sans" w:hAnsi="Plus Jakarta Sans" w:cs="Segoe UI"/>
          <w:b/>
          <w:i w:val="0"/>
          <w:color w:val="0B0E14"/>
          <w:sz w:val="84"/>
          <w:szCs w:val="84"/>
        </w:rPr>
        <w:t>Business Plan</w:t>
      </w:r>
    </w:p>
    <w:p>
      <w:pPr>
        <w:keepLines w:val="true"/>
        <w:widowControl w:val="true"/>
        <w:spacing w:before="120" w:after="320" w:line="312" w:lineRule="auto"/>
      </w:pPr>
      <w:r>
        <w:rPr>
          <w:rFonts w:ascii="Plus Jakarta Sans" w:hAnsi="Plus Jakarta Sans" w:cs="Segoe UI"/>
          <w:b w:val="0"/>
          <w:i w:val="0"/>
          <w:color w:val="3A4050"/>
          <w:sz w:val="29"/>
          <w:szCs w:val="29"/>
        </w:rPr>
        <w:t>Egypt and Saudi Arabia · Years one to three</w:t>
      </w:r>
    </w:p>
    <w:p>
      <w:pPr>
        <w:pBdr>
          <w:bottom w:val="single" w:sz="8" w:color="0B0E14"/>
        </w:pBdr>
        <w:spacing w:before="0" w:after="280"/>
      </w:pPr>
    </w:p>
    <w:p>
      <w:pPr>
        <w:keepLines w:val="true"/>
        <w:widowControl w:val="true"/>
        <w:spacing w:before="0" w:after="400" w:line="341" w:lineRule="auto"/>
      </w:pPr>
      <w:r>
        <w:rPr>
          <w:rFonts w:ascii="Plus Jakarta Sans" w:hAnsi="Plus Jakarta Sans" w:cs="Segoe UI"/>
          <w:b w:val="0"/>
          <w:i w:val="0"/>
          <w:color w:val="0B0E14"/>
          <w:sz w:val="22"/>
          <w:szCs w:val="22"/>
        </w:rPr>
        <w:t>A gamified, AI-native venture-building platform that takes MENA founders from a raw idea to a live product in fifteen guided missions — and the institutional business built around it.</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2353"/>
        <w:gridCol w:w="2353"/>
        <w:gridCol w:w="2353"/>
        <w:gridCol w:w="2353"/>
      </w:tblGrid>
      <w:tr>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$390.2m</w:t>
            </w:r>
          </w:p>
          <w:p>
            <w:pPr>
              <w:spacing w:after="0" w:line="293" w:lineRule="auto"/>
            </w:pPr>
            <w:r>
              <w:rPr>
                <w:rFonts w:ascii="Plus Jakarta Sans" w:hAnsi="Plus Jakarta Sans" w:cs="Segoe UI"/>
                <w:b w:val="0"/>
                <w:i w:val="0"/>
                <w:color w:val="3A4050"/>
                <w:sz w:val="15"/>
                <w:szCs w:val="15"/>
              </w:rPr>
              <w:t>Total addressable market, Egypt and KSA</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$43.3m</w:t>
            </w:r>
          </w:p>
          <w:p>
            <w:pPr>
              <w:spacing w:after="0" w:line="293" w:lineRule="auto"/>
            </w:pPr>
            <w:r>
              <w:rPr>
                <w:rFonts w:ascii="Plus Jakarta Sans" w:hAnsi="Plus Jakarta Sans" w:cs="Segoe UI"/>
                <w:b w:val="0"/>
                <w:i w:val="0"/>
                <w:color w:val="3A4050"/>
                <w:sz w:val="15"/>
                <w:szCs w:val="15"/>
              </w:rPr>
              <w:t>Serviceable available market</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$597k</w:t>
            </w:r>
          </w:p>
          <w:p>
            <w:pPr>
              <w:spacing w:after="0" w:line="293" w:lineRule="auto"/>
            </w:pPr>
            <w:r>
              <w:rPr>
                <w:rFonts w:ascii="Plus Jakarta Sans" w:hAnsi="Plus Jakarta Sans" w:cs="Segoe UI"/>
                <w:b w:val="0"/>
                <w:i w:val="0"/>
                <w:color w:val="3A4050"/>
                <w:sz w:val="15"/>
                <w:szCs w:val="15"/>
              </w:rPr>
              <w:t>Year-one revenue</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$800k</w:t>
            </w:r>
          </w:p>
          <w:p>
            <w:pPr>
              <w:spacing w:after="0" w:line="293" w:lineRule="auto"/>
            </w:pPr>
            <w:r>
              <w:rPr>
                <w:rFonts w:ascii="Plus Jakarta Sans" w:hAnsi="Plus Jakarta Sans" w:cs="Segoe UI"/>
                <w:b w:val="0"/>
                <w:i w:val="0"/>
                <w:color w:val="3A4050"/>
                <w:sz w:val="15"/>
                <w:szCs w:val="15"/>
              </w:rPr>
              <w:t>Capital required</w:t>
            </w:r>
          </w:p>
        </w:tc>
      </w:tr>
    </w:tbl>
    <w:p>
      <w:pPr>
        <w:keepLines w:val="true"/>
        <w:widowControl w:val="true"/>
        <w:spacing w:before="0" w:after="160" w:line="322" w:lineRule="auto"/>
      </w:pPr>
    </w:p>
    <w:p>
      <w:pPr>
        <w:keepLines w:val="true"/>
        <w:widowControl w:val="true"/>
        <w:spacing w:before="0" w:after="560" w:line="322" w:lineRule="auto"/>
      </w:pPr>
    </w:p>
    <w:tbl>
      <w:tblPr>
        <w:tblW w:type="auto" w:w="0"/>
        <w:tblBorders>
          <w:top w:val="single" w:sz="2" w:color="FFFFFF"/>
          <w:left w:val="single" w:sz="2" w:color="FFFFFF"/>
          <w:bottom w:val="single" w:sz="2" w:color="FFFFFF"/>
          <w:right w:val="single" w:sz="2" w:color="FFFFFF"/>
          <w:insideH w:val="single" w:sz="2" w:color="FFFFFF"/>
          <w:insideV w:val="single" w:sz="2" w:color="FFFFFF"/>
        </w:tblBorders>
        <w:tblLook w:firstColumn="1" w:firstRow="1" w:lastColumn="0" w:lastRow="0" w:noHBand="0" w:noVBand="1" w:val="04A0"/>
      </w:tblPr>
      <w:tblGrid>
        <w:gridCol w:w="4706"/>
        <w:gridCol w:w="4706"/>
      </w:tblGrid>
      <w:tr>
        <w:tc>
          <w:tcPr>
            <w:tcW w:type="dxa" w:w="4706"/>
            <w:tcMar>
              <w:top w:w="56" w:type="dxa"/>
              <w:start w:w="0" w:type="dxa"/>
              <w:bottom w:w="56" w:type="dxa"/>
              <w:end w:w="56" w:type="dxa"/>
            </w:tcMar>
          </w:tcPr>
          <w:p>
            <w:pPr>
              <w:spacing w:after="20"/>
            </w:pPr>
            <w:r>
              <w:rPr>
                <w:rFonts w:ascii="Plus Jakarta Sans" w:hAnsi="Plus Jakarta Sans" w:cs="Segoe UI"/>
                <w:b/>
                <w:i w:val="0"/>
                <w:color w:val="9AA0AF"/>
                <w:spacing w:val="24"/>
                <w:sz w:val="14"/>
                <w:szCs w:val="14"/>
              </w:rPr>
              <w:t>PLANNING PERIOD</w:t>
            </w:r>
          </w:p>
          <w:p>
            <w:pPr>
              <w:spacing w:after="0"/>
            </w:pPr>
            <w:r>
              <w:rPr>
                <w:rFonts w:ascii="Plus Jakarta Sans" w:hAnsi="Plus Jakarta Sans" w:cs="Segoe UI"/>
                <w:b/>
                <w:i w:val="0"/>
                <w:color w:val="0B0E14"/>
                <w:sz w:val="19"/>
                <w:szCs w:val="19"/>
              </w:rPr>
              <w:t>October 2026 – September 2029</w:t>
            </w:r>
          </w:p>
        </w:tc>
        <w:tc>
          <w:tcPr>
            <w:tcW w:type="dxa" w:w="4706"/>
            <w:tcMar>
              <w:top w:w="56" w:type="dxa"/>
              <w:start w:w="0" w:type="dxa"/>
              <w:bottom w:w="56" w:type="dxa"/>
              <w:end w:w="56" w:type="dxa"/>
            </w:tcMar>
          </w:tcPr>
          <w:p>
            <w:pPr>
              <w:spacing w:after="20"/>
            </w:pPr>
            <w:r>
              <w:rPr>
                <w:rFonts w:ascii="Plus Jakarta Sans" w:hAnsi="Plus Jakarta Sans" w:cs="Segoe UI"/>
                <w:b/>
                <w:i w:val="0"/>
                <w:color w:val="9AA0AF"/>
                <w:spacing w:val="24"/>
                <w:sz w:val="14"/>
                <w:szCs w:val="14"/>
              </w:rPr>
              <w:t>MARKETS</w:t>
            </w:r>
          </w:p>
          <w:p>
            <w:pPr>
              <w:spacing w:after="0"/>
            </w:pPr>
            <w:r>
              <w:rPr>
                <w:rFonts w:ascii="Plus Jakarta Sans" w:hAnsi="Plus Jakarta Sans" w:cs="Segoe UI"/>
                <w:b/>
                <w:i w:val="0"/>
                <w:color w:val="0B0E14"/>
                <w:sz w:val="19"/>
                <w:szCs w:val="19"/>
              </w:rPr>
              <w:t>Egypt · Saudi Arabia</w:t>
            </w:r>
          </w:p>
        </w:tc>
      </w:tr>
    </w:tbl>
    <w:p>
      <w:r>
        <w:br w:type="page"/>
      </w:r>
    </w:p>
    <w:p>
      <w:pPr>
        <w:keepLines w:val="true"/>
        <w:widowControl w:val="true"/>
        <w:spacing w:before="0" w:after="80" w:line="322" w:lineRule="auto"/>
      </w:pPr>
      <w:r>
        <w:rPr>
          <w:rFonts w:ascii="Plus Jakarta Sans" w:hAnsi="Plus Jakarta Sans" w:cs="Segoe UI"/>
          <w:b/>
          <w:i w:val="0"/>
          <w:color w:val="0B0E14"/>
          <w:sz w:val="38"/>
          <w:szCs w:val="38"/>
        </w:rPr>
        <w:t>Contents</w:t>
      </w:r>
    </w:p>
    <w:p>
      <w:pPr>
        <w:pBdr>
          <w:bottom w:val="single" w:sz="10" w:color="3418E0"/>
        </w:pBdr>
        <w:spacing w:before="0" w:after="200"/>
      </w:pPr>
    </w:p>
    <w:tbl>
      <w:tblPr>
        <w:tblW w:type="auto" w:w="0"/>
        <w:tblBorders>
          <w:top w:val="single" w:sz="2" w:color="FFFFFF"/>
          <w:left w:val="single" w:sz="2" w:color="FFFFFF"/>
          <w:bottom w:val="single" w:sz="2" w:color="FFFFFF"/>
          <w:right w:val="single" w:sz="2" w:color="FFFFFF"/>
          <w:insideH w:val="single" w:sz="2" w:color="FFFFFF"/>
          <w:insideV w:val="single" w:sz="2" w:color="FFFFFF"/>
        </w:tblBorders>
        <w:tblLook w:firstColumn="1" w:firstRow="1" w:lastColumn="0" w:lastRow="0" w:noHBand="0" w:noVBand="1" w:val="04A0"/>
      </w:tblPr>
      <w:tblGrid>
        <w:gridCol w:w="3137"/>
        <w:gridCol w:w="3137"/>
        <w:gridCol w:w="3137"/>
      </w:tblGrid>
      <w:tr>
        <w:tc>
          <w:tcPr>
            <w:tcW w:type="dxa" w:w="737"/>
            <w:tcMar>
              <w:top w:w="79" w:type="dxa"/>
              <w:start w:w="0" w:type="dxa"/>
              <w:bottom w:w="79" w:type="dxa"/>
              <w:end w:w="113" w:type="dxa"/>
            </w:tcMar>
          </w:tcPr>
          <w:p>
            <w:pPr>
              <w:spacing w:after="0"/>
            </w:pPr>
            <w:r>
              <w:rPr>
                <w:rFonts w:ascii="Plus Jakarta Sans" w:hAnsi="Plus Jakarta Sans" w:cs="Segoe UI"/>
                <w:b/>
                <w:i w:val="0"/>
                <w:color w:val="3418E0"/>
                <w:sz w:val="22"/>
                <w:szCs w:val="22"/>
              </w:rPr>
              <w:t>01</w:t>
            </w:r>
          </w:p>
        </w:tc>
        <w:tc>
          <w:tcPr>
            <w:tcW w:type="dxa" w:w="3515"/>
            <w:tcMar>
              <w:top w:w="79" w:type="dxa"/>
              <w:start w:w="0" w:type="dxa"/>
              <w:bottom w:w="79" w:type="dxa"/>
              <w:end w:w="113" w:type="dxa"/>
            </w:tcMar>
          </w:tcPr>
          <w:p>
            <w:pPr>
              <w:spacing w:after="0"/>
            </w:pPr>
            <w:r>
              <w:rPr>
                <w:rFonts w:ascii="Plus Jakarta Sans" w:hAnsi="Plus Jakarta Sans" w:cs="Segoe UI"/>
                <w:b/>
                <w:i w:val="0"/>
                <w:color w:val="0B0E14"/>
                <w:sz w:val="20"/>
                <w:szCs w:val="20"/>
              </w:rPr>
              <w:t>Executive summary</w:t>
            </w:r>
          </w:p>
        </w:tc>
        <w:tc>
          <w:tcPr>
            <w:tcW w:type="dxa" w:w="5159"/>
            <w:tcMar>
              <w:top w:w="79" w:type="dxa"/>
              <w:start w:w="0" w:type="dxa"/>
              <w:bottom w:w="79" w:type="dxa"/>
              <w:end w:w="113" w:type="dxa"/>
            </w:tcMar>
          </w:tcPr>
          <w:p>
            <w:pPr>
              <w:spacing w:after="0" w:line="293" w:lineRule="auto"/>
            </w:pPr>
            <w:r>
              <w:rPr>
                <w:rFonts w:ascii="Plus Jakarta Sans" w:hAnsi="Plus Jakarta Sans" w:cs="Segoe UI"/>
                <w:b w:val="0"/>
                <w:i w:val="0"/>
                <w:color w:val="6B7285"/>
                <w:sz w:val="16"/>
                <w:szCs w:val="16"/>
              </w:rPr>
              <w:t>The business in six sentences, and three findings that change what to do</w:t>
            </w:r>
          </w:p>
        </w:tc>
      </w:tr>
      <w:tr>
        <w:tc>
          <w:tcPr>
            <w:tcW w:type="dxa" w:w="737"/>
            <w:tcMar>
              <w:top w:w="79" w:type="dxa"/>
              <w:start w:w="0" w:type="dxa"/>
              <w:bottom w:w="79" w:type="dxa"/>
              <w:end w:w="113" w:type="dxa"/>
            </w:tcMar>
          </w:tcPr>
          <w:p>
            <w:pPr>
              <w:spacing w:after="0"/>
            </w:pPr>
            <w:r>
              <w:rPr>
                <w:rFonts w:ascii="Plus Jakarta Sans" w:hAnsi="Plus Jakarta Sans" w:cs="Segoe UI"/>
                <w:b/>
                <w:i w:val="0"/>
                <w:color w:val="3418E0"/>
                <w:sz w:val="22"/>
                <w:szCs w:val="22"/>
              </w:rPr>
              <w:t>02</w:t>
            </w:r>
          </w:p>
        </w:tc>
        <w:tc>
          <w:tcPr>
            <w:tcW w:type="dxa" w:w="3515"/>
            <w:tcMar>
              <w:top w:w="79" w:type="dxa"/>
              <w:start w:w="0" w:type="dxa"/>
              <w:bottom w:w="79" w:type="dxa"/>
              <w:end w:w="113" w:type="dxa"/>
            </w:tcMar>
          </w:tcPr>
          <w:p>
            <w:pPr>
              <w:spacing w:after="0"/>
            </w:pPr>
            <w:r>
              <w:rPr>
                <w:rFonts w:ascii="Plus Jakarta Sans" w:hAnsi="Plus Jakarta Sans" w:cs="Segoe UI"/>
                <w:b/>
                <w:i w:val="0"/>
                <w:color w:val="0B0E14"/>
                <w:sz w:val="20"/>
                <w:szCs w:val="20"/>
              </w:rPr>
              <w:t>The company and the product</w:t>
            </w:r>
          </w:p>
        </w:tc>
        <w:tc>
          <w:tcPr>
            <w:tcW w:type="dxa" w:w="5159"/>
            <w:tcMar>
              <w:top w:w="79" w:type="dxa"/>
              <w:start w:w="0" w:type="dxa"/>
              <w:bottom w:w="79" w:type="dxa"/>
              <w:end w:w="113" w:type="dxa"/>
            </w:tcMar>
          </w:tcPr>
          <w:p>
            <w:pPr>
              <w:spacing w:after="0" w:line="293" w:lineRule="auto"/>
            </w:pPr>
            <w:r>
              <w:rPr>
                <w:rFonts w:ascii="Plus Jakarta Sans" w:hAnsi="Plus Jakarta Sans" w:cs="Segoe UI"/>
                <w:b w:val="0"/>
                <w:i w:val="0"/>
                <w:color w:val="6B7285"/>
                <w:sz w:val="16"/>
                <w:szCs w:val="16"/>
              </w:rPr>
              <w:t>What StartPad is, and why a gated sequence beats a library of templates</w:t>
            </w:r>
          </w:p>
        </w:tc>
      </w:tr>
      <w:tr>
        <w:tc>
          <w:tcPr>
            <w:tcW w:type="dxa" w:w="737"/>
            <w:tcMar>
              <w:top w:w="79" w:type="dxa"/>
              <w:start w:w="0" w:type="dxa"/>
              <w:bottom w:w="79" w:type="dxa"/>
              <w:end w:w="113" w:type="dxa"/>
            </w:tcMar>
          </w:tcPr>
          <w:p>
            <w:pPr>
              <w:spacing w:after="0"/>
            </w:pPr>
            <w:r>
              <w:rPr>
                <w:rFonts w:ascii="Plus Jakarta Sans" w:hAnsi="Plus Jakarta Sans" w:cs="Segoe UI"/>
                <w:b/>
                <w:i w:val="0"/>
                <w:color w:val="3418E0"/>
                <w:sz w:val="22"/>
                <w:szCs w:val="22"/>
              </w:rPr>
              <w:t>03</w:t>
            </w:r>
          </w:p>
        </w:tc>
        <w:tc>
          <w:tcPr>
            <w:tcW w:type="dxa" w:w="3515"/>
            <w:tcMar>
              <w:top w:w="79" w:type="dxa"/>
              <w:start w:w="0" w:type="dxa"/>
              <w:bottom w:w="79" w:type="dxa"/>
              <w:end w:w="113" w:type="dxa"/>
            </w:tcMar>
          </w:tcPr>
          <w:p>
            <w:pPr>
              <w:spacing w:after="0"/>
            </w:pPr>
            <w:r>
              <w:rPr>
                <w:rFonts w:ascii="Plus Jakarta Sans" w:hAnsi="Plus Jakarta Sans" w:cs="Segoe UI"/>
                <w:b/>
                <w:i w:val="0"/>
                <w:color w:val="0B0E14"/>
                <w:sz w:val="20"/>
                <w:szCs w:val="20"/>
              </w:rPr>
              <w:t>Market study</w:t>
            </w:r>
          </w:p>
        </w:tc>
        <w:tc>
          <w:tcPr>
            <w:tcW w:type="dxa" w:w="5159"/>
            <w:tcMar>
              <w:top w:w="79" w:type="dxa"/>
              <w:start w:w="0" w:type="dxa"/>
              <w:bottom w:w="79" w:type="dxa"/>
              <w:end w:w="113" w:type="dxa"/>
            </w:tcMar>
          </w:tcPr>
          <w:p>
            <w:pPr>
              <w:spacing w:after="0" w:line="293" w:lineRule="auto"/>
            </w:pPr>
            <w:r>
              <w:rPr>
                <w:rFonts w:ascii="Plus Jakarta Sans" w:hAnsi="Plus Jakarta Sans" w:cs="Segoe UI"/>
                <w:b w:val="0"/>
                <w:i w:val="0"/>
                <w:color w:val="6B7285"/>
                <w:sz w:val="16"/>
                <w:szCs w:val="16"/>
              </w:rPr>
              <w:t>TAM, SAM and SOM, built bottom-up from counted students and counted institutions</w:t>
            </w:r>
          </w:p>
        </w:tc>
      </w:tr>
      <w:tr>
        <w:tc>
          <w:tcPr>
            <w:tcW w:type="dxa" w:w="737"/>
            <w:tcMar>
              <w:top w:w="79" w:type="dxa"/>
              <w:start w:w="0" w:type="dxa"/>
              <w:bottom w:w="79" w:type="dxa"/>
              <w:end w:w="113" w:type="dxa"/>
            </w:tcMar>
          </w:tcPr>
          <w:p>
            <w:pPr>
              <w:spacing w:after="0"/>
            </w:pPr>
            <w:r>
              <w:rPr>
                <w:rFonts w:ascii="Plus Jakarta Sans" w:hAnsi="Plus Jakarta Sans" w:cs="Segoe UI"/>
                <w:b/>
                <w:i w:val="0"/>
                <w:color w:val="3418E0"/>
                <w:sz w:val="22"/>
                <w:szCs w:val="22"/>
              </w:rPr>
              <w:t>04</w:t>
            </w:r>
          </w:p>
        </w:tc>
        <w:tc>
          <w:tcPr>
            <w:tcW w:type="dxa" w:w="3515"/>
            <w:tcMar>
              <w:top w:w="79" w:type="dxa"/>
              <w:start w:w="0" w:type="dxa"/>
              <w:bottom w:w="79" w:type="dxa"/>
              <w:end w:w="113" w:type="dxa"/>
            </w:tcMar>
          </w:tcPr>
          <w:p>
            <w:pPr>
              <w:spacing w:after="0"/>
            </w:pPr>
            <w:r>
              <w:rPr>
                <w:rFonts w:ascii="Plus Jakarta Sans" w:hAnsi="Plus Jakarta Sans" w:cs="Segoe UI"/>
                <w:b/>
                <w:i w:val="0"/>
                <w:color w:val="0B0E14"/>
                <w:sz w:val="20"/>
                <w:szCs w:val="20"/>
              </w:rPr>
              <w:t>Competition and positioning</w:t>
            </w:r>
          </w:p>
        </w:tc>
        <w:tc>
          <w:tcPr>
            <w:tcW w:type="dxa" w:w="5159"/>
            <w:tcMar>
              <w:top w:w="79" w:type="dxa"/>
              <w:start w:w="0" w:type="dxa"/>
              <w:bottom w:w="79" w:type="dxa"/>
              <w:end w:w="113" w:type="dxa"/>
            </w:tcMar>
          </w:tcPr>
          <w:p>
            <w:pPr>
              <w:spacing w:after="0" w:line="293" w:lineRule="auto"/>
            </w:pPr>
            <w:r>
              <w:rPr>
                <w:rFonts w:ascii="Plus Jakarta Sans" w:hAnsi="Plus Jakarta Sans" w:cs="Segoe UI"/>
                <w:b w:val="0"/>
                <w:i w:val="0"/>
                <w:color w:val="6B7285"/>
                <w:sz w:val="16"/>
                <w:szCs w:val="16"/>
              </w:rPr>
              <w:t>What a founder uses instead, and why it does not close the gap</w:t>
            </w:r>
          </w:p>
        </w:tc>
      </w:tr>
      <w:tr>
        <w:tc>
          <w:tcPr>
            <w:tcW w:type="dxa" w:w="737"/>
            <w:tcMar>
              <w:top w:w="79" w:type="dxa"/>
              <w:start w:w="0" w:type="dxa"/>
              <w:bottom w:w="79" w:type="dxa"/>
              <w:end w:w="113" w:type="dxa"/>
            </w:tcMar>
          </w:tcPr>
          <w:p>
            <w:pPr>
              <w:spacing w:after="0"/>
            </w:pPr>
            <w:r>
              <w:rPr>
                <w:rFonts w:ascii="Plus Jakarta Sans" w:hAnsi="Plus Jakarta Sans" w:cs="Segoe UI"/>
                <w:b/>
                <w:i w:val="0"/>
                <w:color w:val="3418E0"/>
                <w:sz w:val="22"/>
                <w:szCs w:val="22"/>
              </w:rPr>
              <w:t>05</w:t>
            </w:r>
          </w:p>
        </w:tc>
        <w:tc>
          <w:tcPr>
            <w:tcW w:type="dxa" w:w="3515"/>
            <w:tcMar>
              <w:top w:w="79" w:type="dxa"/>
              <w:start w:w="0" w:type="dxa"/>
              <w:bottom w:w="79" w:type="dxa"/>
              <w:end w:w="113" w:type="dxa"/>
            </w:tcMar>
          </w:tcPr>
          <w:p>
            <w:pPr>
              <w:spacing w:after="0"/>
            </w:pPr>
            <w:r>
              <w:rPr>
                <w:rFonts w:ascii="Plus Jakarta Sans" w:hAnsi="Plus Jakarta Sans" w:cs="Segoe UI"/>
                <w:b/>
                <w:i w:val="0"/>
                <w:color w:val="0B0E14"/>
                <w:sz w:val="20"/>
                <w:szCs w:val="20"/>
              </w:rPr>
              <w:t>Business model and pricing</w:t>
            </w:r>
          </w:p>
        </w:tc>
        <w:tc>
          <w:tcPr>
            <w:tcW w:type="dxa" w:w="5159"/>
            <w:tcMar>
              <w:top w:w="79" w:type="dxa"/>
              <w:start w:w="0" w:type="dxa"/>
              <w:bottom w:w="79" w:type="dxa"/>
              <w:end w:w="113" w:type="dxa"/>
            </w:tcMar>
          </w:tcPr>
          <w:p>
            <w:pPr>
              <w:spacing w:after="0" w:line="293" w:lineRule="auto"/>
            </w:pPr>
            <w:r>
              <w:rPr>
                <w:rFonts w:ascii="Plus Jakarta Sans" w:hAnsi="Plus Jakarta Sans" w:cs="Segoe UI"/>
                <w:b w:val="0"/>
                <w:i w:val="0"/>
                <w:color w:val="6B7285"/>
                <w:sz w:val="16"/>
                <w:szCs w:val="16"/>
              </w:rPr>
              <w:t>Two engines, the price list, and the unit economics of each</w:t>
            </w:r>
          </w:p>
        </w:tc>
      </w:tr>
      <w:tr>
        <w:tc>
          <w:tcPr>
            <w:tcW w:type="dxa" w:w="737"/>
            <w:tcMar>
              <w:top w:w="79" w:type="dxa"/>
              <w:start w:w="0" w:type="dxa"/>
              <w:bottom w:w="79" w:type="dxa"/>
              <w:end w:w="113" w:type="dxa"/>
            </w:tcMar>
          </w:tcPr>
          <w:p>
            <w:pPr>
              <w:spacing w:after="0"/>
            </w:pPr>
            <w:r>
              <w:rPr>
                <w:rFonts w:ascii="Plus Jakarta Sans" w:hAnsi="Plus Jakarta Sans" w:cs="Segoe UI"/>
                <w:b/>
                <w:i w:val="0"/>
                <w:color w:val="3418E0"/>
                <w:sz w:val="22"/>
                <w:szCs w:val="22"/>
              </w:rPr>
              <w:t>06</w:t>
            </w:r>
          </w:p>
        </w:tc>
        <w:tc>
          <w:tcPr>
            <w:tcW w:type="dxa" w:w="3515"/>
            <w:tcMar>
              <w:top w:w="79" w:type="dxa"/>
              <w:start w:w="0" w:type="dxa"/>
              <w:bottom w:w="79" w:type="dxa"/>
              <w:end w:w="113" w:type="dxa"/>
            </w:tcMar>
          </w:tcPr>
          <w:p>
            <w:pPr>
              <w:spacing w:after="0"/>
            </w:pPr>
            <w:r>
              <w:rPr>
                <w:rFonts w:ascii="Plus Jakarta Sans" w:hAnsi="Plus Jakarta Sans" w:cs="Segoe UI"/>
                <w:b/>
                <w:i w:val="0"/>
                <w:color w:val="0B0E14"/>
                <w:sz w:val="20"/>
                <w:szCs w:val="20"/>
              </w:rPr>
              <w:t>Go-to-market plan</w:t>
            </w:r>
          </w:p>
        </w:tc>
        <w:tc>
          <w:tcPr>
            <w:tcW w:type="dxa" w:w="5159"/>
            <w:tcMar>
              <w:top w:w="79" w:type="dxa"/>
              <w:start w:w="0" w:type="dxa"/>
              <w:bottom w:w="79" w:type="dxa"/>
              <w:end w:w="113" w:type="dxa"/>
            </w:tcMar>
          </w:tcPr>
          <w:p>
            <w:pPr>
              <w:spacing w:after="0" w:line="293" w:lineRule="auto"/>
            </w:pPr>
            <w:r>
              <w:rPr>
                <w:rFonts w:ascii="Plus Jakarta Sans" w:hAnsi="Plus Jakarta Sans" w:cs="Segoe UI"/>
                <w:b w:val="0"/>
                <w:i w:val="0"/>
                <w:color w:val="6B7285"/>
                <w:sz w:val="16"/>
                <w:szCs w:val="16"/>
              </w:rPr>
              <w:t>Five moves, four phases, two markets, and how a deal actually happens</w:t>
            </w:r>
          </w:p>
        </w:tc>
      </w:tr>
      <w:tr>
        <w:tc>
          <w:tcPr>
            <w:tcW w:type="dxa" w:w="737"/>
            <w:tcMar>
              <w:top w:w="79" w:type="dxa"/>
              <w:start w:w="0" w:type="dxa"/>
              <w:bottom w:w="79" w:type="dxa"/>
              <w:end w:w="113" w:type="dxa"/>
            </w:tcMar>
          </w:tcPr>
          <w:p>
            <w:pPr>
              <w:spacing w:after="0"/>
            </w:pPr>
            <w:r>
              <w:rPr>
                <w:rFonts w:ascii="Plus Jakarta Sans" w:hAnsi="Plus Jakarta Sans" w:cs="Segoe UI"/>
                <w:b/>
                <w:i w:val="0"/>
                <w:color w:val="3418E0"/>
                <w:sz w:val="22"/>
                <w:szCs w:val="22"/>
              </w:rPr>
              <w:t>07</w:t>
            </w:r>
          </w:p>
        </w:tc>
        <w:tc>
          <w:tcPr>
            <w:tcW w:type="dxa" w:w="3515"/>
            <w:tcMar>
              <w:top w:w="79" w:type="dxa"/>
              <w:start w:w="0" w:type="dxa"/>
              <w:bottom w:w="79" w:type="dxa"/>
              <w:end w:w="113" w:type="dxa"/>
            </w:tcMar>
          </w:tcPr>
          <w:p>
            <w:pPr>
              <w:spacing w:after="0"/>
            </w:pPr>
            <w:r>
              <w:rPr>
                <w:rFonts w:ascii="Plus Jakarta Sans" w:hAnsi="Plus Jakarta Sans" w:cs="Segoe UI"/>
                <w:b/>
                <w:i w:val="0"/>
                <w:color w:val="0B0E14"/>
                <w:sz w:val="20"/>
                <w:szCs w:val="20"/>
              </w:rPr>
              <w:t>Marketing plan</w:t>
            </w:r>
          </w:p>
        </w:tc>
        <w:tc>
          <w:tcPr>
            <w:tcW w:type="dxa" w:w="5159"/>
            <w:tcMar>
              <w:top w:w="79" w:type="dxa"/>
              <w:start w:w="0" w:type="dxa"/>
              <w:bottom w:w="79" w:type="dxa"/>
              <w:end w:w="113" w:type="dxa"/>
            </w:tcMar>
          </w:tcPr>
          <w:p>
            <w:pPr>
              <w:spacing w:after="0" w:line="293" w:lineRule="auto"/>
            </w:pPr>
            <w:r>
              <w:rPr>
                <w:rFonts w:ascii="Plus Jakarta Sans" w:hAnsi="Plus Jakarta Sans" w:cs="Segoe UI"/>
                <w:b w:val="0"/>
                <w:i w:val="0"/>
                <w:color w:val="6B7285"/>
                <w:sz w:val="16"/>
                <w:szCs w:val="16"/>
              </w:rPr>
              <w:t>Ten channels, what each returns, and the one that should be capped</w:t>
            </w:r>
          </w:p>
        </w:tc>
      </w:tr>
      <w:tr>
        <w:tc>
          <w:tcPr>
            <w:tcW w:type="dxa" w:w="737"/>
            <w:tcMar>
              <w:top w:w="79" w:type="dxa"/>
              <w:start w:w="0" w:type="dxa"/>
              <w:bottom w:w="79" w:type="dxa"/>
              <w:end w:w="113" w:type="dxa"/>
            </w:tcMar>
          </w:tcPr>
          <w:p>
            <w:pPr>
              <w:spacing w:after="0"/>
            </w:pPr>
            <w:r>
              <w:rPr>
                <w:rFonts w:ascii="Plus Jakarta Sans" w:hAnsi="Plus Jakarta Sans" w:cs="Segoe UI"/>
                <w:b/>
                <w:i w:val="0"/>
                <w:color w:val="3418E0"/>
                <w:sz w:val="22"/>
                <w:szCs w:val="22"/>
              </w:rPr>
              <w:t>08</w:t>
            </w:r>
          </w:p>
        </w:tc>
        <w:tc>
          <w:tcPr>
            <w:tcW w:type="dxa" w:w="3515"/>
            <w:tcMar>
              <w:top w:w="79" w:type="dxa"/>
              <w:start w:w="0" w:type="dxa"/>
              <w:bottom w:w="79" w:type="dxa"/>
              <w:end w:w="113" w:type="dxa"/>
            </w:tcMar>
          </w:tcPr>
          <w:p>
            <w:pPr>
              <w:spacing w:after="0"/>
            </w:pPr>
            <w:r>
              <w:rPr>
                <w:rFonts w:ascii="Plus Jakarta Sans" w:hAnsi="Plus Jakarta Sans" w:cs="Segoe UI"/>
                <w:b/>
                <w:i w:val="0"/>
                <w:color w:val="0B0E14"/>
                <w:sz w:val="20"/>
                <w:szCs w:val="20"/>
              </w:rPr>
              <w:t>NGO, government and ecosystem initiatives</w:t>
            </w:r>
          </w:p>
        </w:tc>
        <w:tc>
          <w:tcPr>
            <w:tcW w:type="dxa" w:w="5159"/>
            <w:tcMar>
              <w:top w:w="79" w:type="dxa"/>
              <w:start w:w="0" w:type="dxa"/>
              <w:bottom w:w="79" w:type="dxa"/>
              <w:end w:w="113" w:type="dxa"/>
            </w:tcMar>
          </w:tcPr>
          <w:p>
            <w:pPr>
              <w:spacing w:after="0" w:line="293" w:lineRule="auto"/>
            </w:pPr>
            <w:r>
              <w:rPr>
                <w:rFonts w:ascii="Plus Jakarta Sans" w:hAnsi="Plus Jakarta Sans" w:cs="Segoe UI"/>
                <w:b w:val="0"/>
                <w:i w:val="0"/>
                <w:color w:val="6B7285"/>
                <w:sz w:val="16"/>
                <w:szCs w:val="16"/>
              </w:rPr>
              <w:t>The national million-founder programmes, and what we supply them</w:t>
            </w:r>
          </w:p>
        </w:tc>
      </w:tr>
      <w:tr>
        <w:tc>
          <w:tcPr>
            <w:tcW w:type="dxa" w:w="737"/>
            <w:tcMar>
              <w:top w:w="79" w:type="dxa"/>
              <w:start w:w="0" w:type="dxa"/>
              <w:bottom w:w="79" w:type="dxa"/>
              <w:end w:w="113" w:type="dxa"/>
            </w:tcMar>
          </w:tcPr>
          <w:p>
            <w:pPr>
              <w:spacing w:after="0"/>
            </w:pPr>
            <w:r>
              <w:rPr>
                <w:rFonts w:ascii="Plus Jakarta Sans" w:hAnsi="Plus Jakarta Sans" w:cs="Segoe UI"/>
                <w:b/>
                <w:i w:val="0"/>
                <w:color w:val="3418E0"/>
                <w:sz w:val="22"/>
                <w:szCs w:val="22"/>
              </w:rPr>
              <w:t>09</w:t>
            </w:r>
          </w:p>
        </w:tc>
        <w:tc>
          <w:tcPr>
            <w:tcW w:type="dxa" w:w="3515"/>
            <w:tcMar>
              <w:top w:w="79" w:type="dxa"/>
              <w:start w:w="0" w:type="dxa"/>
              <w:bottom w:w="79" w:type="dxa"/>
              <w:end w:w="113" w:type="dxa"/>
            </w:tcMar>
          </w:tcPr>
          <w:p>
            <w:pPr>
              <w:spacing w:after="0"/>
            </w:pPr>
            <w:r>
              <w:rPr>
                <w:rFonts w:ascii="Plus Jakarta Sans" w:hAnsi="Plus Jakarta Sans" w:cs="Segoe UI"/>
                <w:b/>
                <w:i w:val="0"/>
                <w:color w:val="0B0E14"/>
                <w:sz w:val="20"/>
                <w:szCs w:val="20"/>
              </w:rPr>
              <w:t>Organisation and HR plan</w:t>
            </w:r>
          </w:p>
        </w:tc>
        <w:tc>
          <w:tcPr>
            <w:tcW w:type="dxa" w:w="5159"/>
            <w:tcMar>
              <w:top w:w="79" w:type="dxa"/>
              <w:start w:w="0" w:type="dxa"/>
              <w:bottom w:w="79" w:type="dxa"/>
              <w:end w:w="113" w:type="dxa"/>
            </w:tcMar>
          </w:tcPr>
          <w:p>
            <w:pPr>
              <w:spacing w:after="0" w:line="293" w:lineRule="auto"/>
            </w:pPr>
            <w:r>
              <w:rPr>
                <w:rFonts w:ascii="Plus Jakarta Sans" w:hAnsi="Plus Jakarta Sans" w:cs="Segoe UI"/>
                <w:b w:val="0"/>
                <w:i w:val="0"/>
                <w:color w:val="6B7285"/>
                <w:sz w:val="16"/>
                <w:szCs w:val="16"/>
              </w:rPr>
              <w:t>Every role, when it is hired, what it costs and why in that order</w:t>
            </w:r>
          </w:p>
        </w:tc>
      </w:tr>
      <w:tr>
        <w:tc>
          <w:tcPr>
            <w:tcW w:type="dxa" w:w="737"/>
            <w:tcMar>
              <w:top w:w="79" w:type="dxa"/>
              <w:start w:w="0" w:type="dxa"/>
              <w:bottom w:w="79" w:type="dxa"/>
              <w:end w:w="113" w:type="dxa"/>
            </w:tcMar>
          </w:tcPr>
          <w:p>
            <w:pPr>
              <w:spacing w:after="0"/>
            </w:pPr>
            <w:r>
              <w:rPr>
                <w:rFonts w:ascii="Plus Jakarta Sans" w:hAnsi="Plus Jakarta Sans" w:cs="Segoe UI"/>
                <w:b/>
                <w:i w:val="0"/>
                <w:color w:val="3418E0"/>
                <w:sz w:val="22"/>
                <w:szCs w:val="22"/>
              </w:rPr>
              <w:t>10</w:t>
            </w:r>
          </w:p>
        </w:tc>
        <w:tc>
          <w:tcPr>
            <w:tcW w:type="dxa" w:w="3515"/>
            <w:tcMar>
              <w:top w:w="79" w:type="dxa"/>
              <w:start w:w="0" w:type="dxa"/>
              <w:bottom w:w="79" w:type="dxa"/>
              <w:end w:w="113" w:type="dxa"/>
            </w:tcMar>
          </w:tcPr>
          <w:p>
            <w:pPr>
              <w:spacing w:after="0"/>
            </w:pPr>
            <w:r>
              <w:rPr>
                <w:rFonts w:ascii="Plus Jakarta Sans" w:hAnsi="Plus Jakarta Sans" w:cs="Segoe UI"/>
                <w:b/>
                <w:i w:val="0"/>
                <w:color w:val="0B0E14"/>
                <w:sz w:val="20"/>
                <w:szCs w:val="20"/>
              </w:rPr>
              <w:t>Operational plan</w:t>
            </w:r>
          </w:p>
        </w:tc>
        <w:tc>
          <w:tcPr>
            <w:tcW w:type="dxa" w:w="5159"/>
            <w:tcMar>
              <w:top w:w="79" w:type="dxa"/>
              <w:start w:w="0" w:type="dxa"/>
              <w:bottom w:w="79" w:type="dxa"/>
              <w:end w:w="113" w:type="dxa"/>
            </w:tcMar>
          </w:tcPr>
          <w:p>
            <w:pPr>
              <w:spacing w:after="0" w:line="293" w:lineRule="auto"/>
            </w:pPr>
            <w:r>
              <w:rPr>
                <w:rFonts w:ascii="Plus Jakarta Sans" w:hAnsi="Plus Jakarta Sans" w:cs="Segoe UI"/>
                <w:b w:val="0"/>
                <w:i w:val="0"/>
                <w:color w:val="6B7285"/>
                <w:sz w:val="16"/>
                <w:szCs w:val="16"/>
              </w:rPr>
              <w:t>What has to be true for the go-to-market plan to be deliverable</w:t>
            </w:r>
          </w:p>
        </w:tc>
      </w:tr>
      <w:tr>
        <w:tc>
          <w:tcPr>
            <w:tcW w:type="dxa" w:w="737"/>
            <w:tcMar>
              <w:top w:w="79" w:type="dxa"/>
              <w:start w:w="0" w:type="dxa"/>
              <w:bottom w:w="79" w:type="dxa"/>
              <w:end w:w="113" w:type="dxa"/>
            </w:tcMar>
          </w:tcPr>
          <w:p>
            <w:pPr>
              <w:spacing w:after="0"/>
            </w:pPr>
            <w:r>
              <w:rPr>
                <w:rFonts w:ascii="Plus Jakarta Sans" w:hAnsi="Plus Jakarta Sans" w:cs="Segoe UI"/>
                <w:b/>
                <w:i w:val="0"/>
                <w:color w:val="3418E0"/>
                <w:sz w:val="22"/>
                <w:szCs w:val="22"/>
              </w:rPr>
              <w:t>11</w:t>
            </w:r>
          </w:p>
        </w:tc>
        <w:tc>
          <w:tcPr>
            <w:tcW w:type="dxa" w:w="3515"/>
            <w:tcMar>
              <w:top w:w="79" w:type="dxa"/>
              <w:start w:w="0" w:type="dxa"/>
              <w:bottom w:w="79" w:type="dxa"/>
              <w:end w:w="113" w:type="dxa"/>
            </w:tcMar>
          </w:tcPr>
          <w:p>
            <w:pPr>
              <w:spacing w:after="0"/>
            </w:pPr>
            <w:r>
              <w:rPr>
                <w:rFonts w:ascii="Plus Jakarta Sans" w:hAnsi="Plus Jakarta Sans" w:cs="Segoe UI"/>
                <w:b/>
                <w:i w:val="0"/>
                <w:color w:val="0B0E14"/>
                <w:sz w:val="20"/>
                <w:szCs w:val="20"/>
              </w:rPr>
              <w:t>Financial plan</w:t>
            </w:r>
          </w:p>
        </w:tc>
        <w:tc>
          <w:tcPr>
            <w:tcW w:type="dxa" w:w="5159"/>
            <w:tcMar>
              <w:top w:w="79" w:type="dxa"/>
              <w:start w:w="0" w:type="dxa"/>
              <w:bottom w:w="79" w:type="dxa"/>
              <w:end w:w="113" w:type="dxa"/>
            </w:tcMar>
          </w:tcPr>
          <w:p>
            <w:pPr>
              <w:spacing w:after="0" w:line="293" w:lineRule="auto"/>
            </w:pPr>
            <w:r>
              <w:rPr>
                <w:rFonts w:ascii="Plus Jakarta Sans" w:hAnsi="Plus Jakarta Sans" w:cs="Segoe UI"/>
                <w:b w:val="0"/>
                <w:i w:val="0"/>
                <w:color w:val="6B7285"/>
                <w:sz w:val="16"/>
                <w:szCs w:val="16"/>
              </w:rPr>
              <w:t>Three years of revenue, cost and cash, and the raise</w:t>
            </w:r>
          </w:p>
        </w:tc>
      </w:tr>
      <w:tr>
        <w:tc>
          <w:tcPr>
            <w:tcW w:type="dxa" w:w="737"/>
            <w:tcMar>
              <w:top w:w="79" w:type="dxa"/>
              <w:start w:w="0" w:type="dxa"/>
              <w:bottom w:w="79" w:type="dxa"/>
              <w:end w:w="113" w:type="dxa"/>
            </w:tcMar>
          </w:tcPr>
          <w:p>
            <w:pPr>
              <w:spacing w:after="0"/>
            </w:pPr>
            <w:r>
              <w:rPr>
                <w:rFonts w:ascii="Plus Jakarta Sans" w:hAnsi="Plus Jakarta Sans" w:cs="Segoe UI"/>
                <w:b/>
                <w:i w:val="0"/>
                <w:color w:val="3418E0"/>
                <w:sz w:val="22"/>
                <w:szCs w:val="22"/>
              </w:rPr>
              <w:t>12</w:t>
            </w:r>
          </w:p>
        </w:tc>
        <w:tc>
          <w:tcPr>
            <w:tcW w:type="dxa" w:w="3515"/>
            <w:tcMar>
              <w:top w:w="79" w:type="dxa"/>
              <w:start w:w="0" w:type="dxa"/>
              <w:bottom w:w="79" w:type="dxa"/>
              <w:end w:w="113" w:type="dxa"/>
            </w:tcMar>
          </w:tcPr>
          <w:p>
            <w:pPr>
              <w:spacing w:after="0"/>
            </w:pPr>
            <w:r>
              <w:rPr>
                <w:rFonts w:ascii="Plus Jakarta Sans" w:hAnsi="Plus Jakarta Sans" w:cs="Segoe UI"/>
                <w:b/>
                <w:i w:val="0"/>
                <w:color w:val="0B0E14"/>
                <w:sz w:val="20"/>
                <w:szCs w:val="20"/>
              </w:rPr>
              <w:t>Risks</w:t>
            </w:r>
          </w:p>
        </w:tc>
        <w:tc>
          <w:tcPr>
            <w:tcW w:type="dxa" w:w="5159"/>
            <w:tcMar>
              <w:top w:w="79" w:type="dxa"/>
              <w:start w:w="0" w:type="dxa"/>
              <w:bottom w:w="79" w:type="dxa"/>
              <w:end w:w="113" w:type="dxa"/>
            </w:tcMar>
          </w:tcPr>
          <w:p>
            <w:pPr>
              <w:spacing w:after="0" w:line="293" w:lineRule="auto"/>
            </w:pPr>
            <w:r>
              <w:rPr>
                <w:rFonts w:ascii="Plus Jakarta Sans" w:hAnsi="Plus Jakarta Sans" w:cs="Segoe UI"/>
                <w:b w:val="0"/>
                <w:i w:val="0"/>
                <w:color w:val="6B7285"/>
                <w:sz w:val="16"/>
                <w:szCs w:val="16"/>
              </w:rPr>
              <w:t>The five most likely to break this, and what absorbs each</w:t>
            </w:r>
          </w:p>
        </w:tc>
      </w:tr>
      <w:tr>
        <w:tc>
          <w:tcPr>
            <w:tcW w:type="dxa" w:w="737"/>
            <w:tcMar>
              <w:top w:w="79" w:type="dxa"/>
              <w:start w:w="0" w:type="dxa"/>
              <w:bottom w:w="79" w:type="dxa"/>
              <w:end w:w="113" w:type="dxa"/>
            </w:tcMar>
          </w:tcPr>
          <w:p>
            <w:pPr>
              <w:spacing w:after="0"/>
            </w:pPr>
            <w:r>
              <w:rPr>
                <w:rFonts w:ascii="Plus Jakarta Sans" w:hAnsi="Plus Jakarta Sans" w:cs="Segoe UI"/>
                <w:b/>
                <w:i w:val="0"/>
                <w:color w:val="3418E0"/>
                <w:sz w:val="22"/>
                <w:szCs w:val="22"/>
              </w:rPr>
              <w:t>13</w:t>
            </w:r>
          </w:p>
        </w:tc>
        <w:tc>
          <w:tcPr>
            <w:tcW w:type="dxa" w:w="3515"/>
            <w:tcMar>
              <w:top w:w="79" w:type="dxa"/>
              <w:start w:w="0" w:type="dxa"/>
              <w:bottom w:w="79" w:type="dxa"/>
              <w:end w:w="113" w:type="dxa"/>
            </w:tcMar>
          </w:tcPr>
          <w:p>
            <w:pPr>
              <w:spacing w:after="0"/>
            </w:pPr>
            <w:r>
              <w:rPr>
                <w:rFonts w:ascii="Plus Jakarta Sans" w:hAnsi="Plus Jakarta Sans" w:cs="Segoe UI"/>
                <w:b/>
                <w:i w:val="0"/>
                <w:color w:val="0B0E14"/>
                <w:sz w:val="20"/>
                <w:szCs w:val="20"/>
              </w:rPr>
              <w:t>Milestones</w:t>
            </w:r>
          </w:p>
        </w:tc>
        <w:tc>
          <w:tcPr>
            <w:tcW w:type="dxa" w:w="5159"/>
            <w:tcMar>
              <w:top w:w="79" w:type="dxa"/>
              <w:start w:w="0" w:type="dxa"/>
              <w:bottom w:w="79" w:type="dxa"/>
              <w:end w:w="113" w:type="dxa"/>
            </w:tcMar>
          </w:tcPr>
          <w:p>
            <w:pPr>
              <w:spacing w:after="0" w:line="293" w:lineRule="auto"/>
            </w:pPr>
            <w:r>
              <w:rPr>
                <w:rFonts w:ascii="Plus Jakarta Sans" w:hAnsi="Plus Jakarta Sans" w:cs="Segoe UI"/>
                <w:b w:val="0"/>
                <w:i w:val="0"/>
                <w:color w:val="6B7285"/>
                <w:sz w:val="16"/>
                <w:szCs w:val="16"/>
              </w:rPr>
              <w:t>What has to be true at the end of each quarter</w:t>
            </w:r>
          </w:p>
        </w:tc>
      </w:tr>
      <w:tr>
        <w:tc>
          <w:tcPr>
            <w:tcW w:type="dxa" w:w="737"/>
            <w:tcMar>
              <w:top w:w="79" w:type="dxa"/>
              <w:start w:w="0" w:type="dxa"/>
              <w:bottom w:w="79" w:type="dxa"/>
              <w:end w:w="113" w:type="dxa"/>
            </w:tcMar>
          </w:tcPr>
          <w:p>
            <w:pPr>
              <w:spacing w:after="0"/>
            </w:pPr>
            <w:r>
              <w:rPr>
                <w:rFonts w:ascii="Plus Jakarta Sans" w:hAnsi="Plus Jakarta Sans" w:cs="Segoe UI"/>
                <w:b/>
                <w:i w:val="0"/>
                <w:color w:val="3418E0"/>
                <w:sz w:val="22"/>
                <w:szCs w:val="22"/>
              </w:rPr>
              <w:t>14</w:t>
            </w:r>
          </w:p>
        </w:tc>
        <w:tc>
          <w:tcPr>
            <w:tcW w:type="dxa" w:w="3515"/>
            <w:tcMar>
              <w:top w:w="79" w:type="dxa"/>
              <w:start w:w="0" w:type="dxa"/>
              <w:bottom w:w="79" w:type="dxa"/>
              <w:end w:w="113" w:type="dxa"/>
            </w:tcMar>
          </w:tcPr>
          <w:p>
            <w:pPr>
              <w:spacing w:after="0"/>
            </w:pPr>
            <w:r>
              <w:rPr>
                <w:rFonts w:ascii="Plus Jakarta Sans" w:hAnsi="Plus Jakarta Sans" w:cs="Segoe UI"/>
                <w:b/>
                <w:i w:val="0"/>
                <w:color w:val="0B0E14"/>
                <w:sz w:val="20"/>
                <w:szCs w:val="20"/>
              </w:rPr>
              <w:t>Appendix — assumptions and sources</w:t>
            </w:r>
          </w:p>
        </w:tc>
        <w:tc>
          <w:tcPr>
            <w:tcW w:type="dxa" w:w="5159"/>
            <w:tcMar>
              <w:top w:w="79" w:type="dxa"/>
              <w:start w:w="0" w:type="dxa"/>
              <w:bottom w:w="79" w:type="dxa"/>
              <w:end w:w="113" w:type="dxa"/>
            </w:tcMar>
          </w:tcPr>
          <w:p>
            <w:pPr>
              <w:spacing w:after="0" w:line="293" w:lineRule="auto"/>
            </w:pPr>
            <w:r>
              <w:rPr>
                <w:rFonts w:ascii="Plus Jakarta Sans" w:hAnsi="Plus Jakarta Sans" w:cs="Segoe UI"/>
                <w:b w:val="0"/>
                <w:i w:val="0"/>
                <w:color w:val="6B7285"/>
                <w:sz w:val="16"/>
                <w:szCs w:val="16"/>
              </w:rPr>
              <w:t>Every input, so the inputs can be argued with</w:t>
            </w:r>
          </w:p>
        </w:tc>
      </w:tr>
    </w:tbl>
    <w:p>
      <w:r>
        <w:br w:type="page"/>
      </w:r>
    </w:p>
    <w:p>
      <w:pPr>
        <w:keepNext/>
        <w:spacing w:before="0" w:after="20"/>
      </w:pPr>
      <w:r>
        <w:rPr>
          <w:rFonts w:ascii="Plus Jakarta Sans" w:hAnsi="Plus Jakarta Sans" w:cs="Segoe UI"/>
          <w:b/>
          <w:i w:val="0"/>
          <w:color w:val="3418E0"/>
          <w:spacing w:val="28"/>
          <w:sz w:val="16"/>
          <w:szCs w:val="16"/>
        </w:rPr>
        <w:t>SECTION 01</w:t>
      </w:r>
    </w:p>
    <w:p>
      <w:pPr>
        <w:keepNext/>
        <w:spacing w:before="40" w:after="120"/>
      </w:pPr>
      <w:r>
        <w:rPr>
          <w:rFonts w:ascii="Plus Jakarta Sans" w:hAnsi="Plus Jakarta Sans" w:cs="Segoe UI"/>
          <w:b/>
          <w:i w:val="0"/>
          <w:color w:val="0B0E14"/>
          <w:sz w:val="42"/>
          <w:szCs w:val="42"/>
        </w:rPr>
        <w:t>Executive summary</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StartPad sells a method, not a course. A founder walks fifteen missions; an institution buys the bootcamp that starts them and the workspace that proves they finished. This plan sets out what the business is worth, what it costs to build and what has to be true operationally for the go-to-market plan to happen at all.</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2353"/>
        <w:gridCol w:w="2353"/>
        <w:gridCol w:w="2353"/>
        <w:gridCol w:w="2353"/>
      </w:tblGrid>
      <w:tr>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$390.2m</w:t>
            </w:r>
          </w:p>
          <w:p>
            <w:pPr>
              <w:spacing w:after="0" w:line="293" w:lineRule="auto"/>
            </w:pPr>
            <w:r>
              <w:rPr>
                <w:rFonts w:ascii="Plus Jakarta Sans" w:hAnsi="Plus Jakarta Sans" w:cs="Segoe UI"/>
                <w:b w:val="0"/>
                <w:i w:val="0"/>
                <w:color w:val="3A4050"/>
                <w:sz w:val="15"/>
                <w:szCs w:val="15"/>
              </w:rPr>
              <w:t>TAM · Egypt and KSA</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$43.3m</w:t>
            </w:r>
          </w:p>
          <w:p>
            <w:pPr>
              <w:spacing w:after="0" w:line="293" w:lineRule="auto"/>
            </w:pPr>
            <w:r>
              <w:rPr>
                <w:rFonts w:ascii="Plus Jakarta Sans" w:hAnsi="Plus Jakarta Sans" w:cs="Segoe UI"/>
                <w:b w:val="0"/>
                <w:i w:val="0"/>
                <w:color w:val="3A4050"/>
                <w:sz w:val="15"/>
                <w:szCs w:val="15"/>
              </w:rPr>
              <w:t>SAM · reachable</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$597k</w:t>
            </w:r>
          </w:p>
          <w:p>
            <w:pPr>
              <w:spacing w:after="0" w:line="293" w:lineRule="auto"/>
            </w:pPr>
            <w:r>
              <w:rPr>
                <w:rFonts w:ascii="Plus Jakarta Sans" w:hAnsi="Plus Jakarta Sans" w:cs="Segoe UI"/>
                <w:b w:val="0"/>
                <w:i w:val="0"/>
                <w:color w:val="3A4050"/>
                <w:sz w:val="15"/>
                <w:szCs w:val="15"/>
              </w:rPr>
              <w:t>Year-one revenue</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$800k</w:t>
            </w:r>
          </w:p>
          <w:p>
            <w:pPr>
              <w:spacing w:after="0" w:line="293" w:lineRule="auto"/>
            </w:pPr>
            <w:r>
              <w:rPr>
                <w:rFonts w:ascii="Plus Jakarta Sans" w:hAnsi="Plus Jakarta Sans" w:cs="Segoe UI"/>
                <w:b w:val="0"/>
                <w:i w:val="0"/>
                <w:color w:val="3A4050"/>
                <w:sz w:val="15"/>
                <w:szCs w:val="15"/>
              </w:rPr>
              <w:t>Capital required</w:t>
            </w:r>
          </w:p>
        </w:tc>
      </w:tr>
    </w:tbl>
    <w:p>
      <w:pPr>
        <w:keepLines w:val="true"/>
        <w:widowControl w:val="true"/>
        <w:spacing w:before="0" w:after="16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The business in six sentences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val="0"/>
          <w:i w:val="0"/>
          <w:color w:val="0B0E14"/>
          <w:sz w:val="19"/>
          <w:szCs w:val="19"/>
        </w:rPr>
        <w:t xml:space="preserve">StartPad takes a first-time founder from a raw idea to a live product through </w:t>
      </w:r>
      <w:r>
        <w:rPr>
          <w:rFonts w:ascii="Plus Jakarta Sans" w:hAnsi="Plus Jakarta Sans" w:cs="Segoe UI"/>
          <w:b/>
          <w:i w:val="0"/>
          <w:color w:val="0B0E14"/>
          <w:sz w:val="19"/>
          <w:szCs w:val="19"/>
        </w:rPr>
        <w:t>fifteen sequenced missions</w:t>
      </w:r>
      <w:r>
        <w:rPr>
          <w:rFonts w:ascii="Plus Jakarta Sans" w:hAnsi="Plus Jakarta Sans" w:cs="Segoe UI"/>
          <w:b w:val="0"/>
          <w:i w:val="0"/>
          <w:color w:val="0B0E14"/>
          <w:sz w:val="19"/>
          <w:szCs w:val="19"/>
        </w:rPr>
        <w:t>, each one reviewed by an AI before the next unlocks, supported by 121 tools mapped to the journey.</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val="0"/>
          <w:i w:val="0"/>
          <w:color w:val="0B0E14"/>
          <w:sz w:val="19"/>
          <w:szCs w:val="19"/>
        </w:rPr>
        <w:t>Founders use it free for the first three missions and pay $59 a year for the rest; institutions pay $7,500 for a cohort of 25 that includes a 6-day in-person bootcamp, a seat for every student and a cohort report.</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val="0"/>
          <w:i w:val="0"/>
          <w:color w:val="0B0E14"/>
          <w:sz w:val="19"/>
          <w:szCs w:val="19"/>
        </w:rPr>
        <w:t>The institutional line is the business: it is 94% of year-one revenue, carries a 71% gross margin and is invoiced before delivery, so the customer funds the work.</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val="0"/>
          <w:i w:val="0"/>
          <w:color w:val="0B0E14"/>
          <w:sz w:val="19"/>
          <w:szCs w:val="19"/>
        </w:rPr>
        <w:t>Egypt and Saudi Arabia run in parallel from the start, through different doors — universities in Egypt, programme partners in Saudi Arabia — because the two markets buy differently and a single sequence would have wasted a year.</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val="0"/>
          <w:i w:val="0"/>
          <w:color w:val="0B0E14"/>
          <w:sz w:val="19"/>
          <w:szCs w:val="19"/>
        </w:rPr>
        <w:t>Year one delivers 56 paid cohorts and 34,005 free sign-ups against a loss of $321k; the business reaches breakeven in year two and a 26% operating margin in year three.</w:t>
      </w:r>
    </w:p>
    <w:p>
      <w:pPr>
        <w:spacing w:after="100" w:line="317" w:lineRule="auto"/>
        <w:ind w:left="465" w:hanging="465"/>
      </w:pPr>
      <w:r>
        <w:rPr>
          <w:rFonts w:ascii="Plus Jakarta Sans" w:hAnsi="Plus Jakarta Sans" w:cs="Segoe UI"/>
          <w:b/>
          <w:color w:val="3418E0"/>
          <w:sz w:val="19"/>
          <w:szCs w:val="19"/>
        </w:rPr>
        <w:t xml:space="preserve">06   </w:t>
      </w:r>
      <w:r>
        <w:rPr>
          <w:rFonts w:ascii="Plus Jakarta Sans" w:hAnsi="Plus Jakarta Sans" w:cs="Segoe UI"/>
          <w:b w:val="0"/>
          <w:i w:val="0"/>
          <w:color w:val="0B0E14"/>
          <w:sz w:val="19"/>
          <w:szCs w:val="19"/>
        </w:rPr>
        <w:t>The raise is $800k — the cumulative deficit of $321k plus a six-month operating reserve — which is small for the revenue it builds because cohorts are cash-positive from the first one.</w:t>
      </w:r>
    </w:p>
    <w:p>
      <w:pPr>
        <w:keepNext/>
        <w:keepLines w:val="true"/>
        <w:widowControl w:val="true"/>
        <w:spacing w:before="300" w:after="100" w:line="288" w:lineRule="auto"/>
      </w:pPr>
      <w:r>
        <w:rPr>
          <w:rFonts w:ascii="Plus Jakarta Sans" w:hAnsi="Plus Jakarta Sans" w:cs="Segoe UI"/>
          <w:b/>
          <w:i w:val="0"/>
          <w:color w:val="0B0E14"/>
          <w:sz w:val="26"/>
          <w:szCs w:val="26"/>
        </w:rPr>
        <w:t>What this plan concludes that the strategy deck did not</w:t>
      </w:r>
    </w:p>
    <w:p>
      <w:pPr>
        <w:keepLines w:val="true"/>
        <w:widowControl w:val="true"/>
        <w:spacing w:before="0" w:after="100" w:line="322" w:lineRule="auto"/>
      </w:pPr>
      <w:r>
        <w:rPr>
          <w:rFonts w:ascii="Plus Jakarta Sans" w:hAnsi="Plus Jakarta Sans" w:cs="Segoe UI"/>
          <w:b w:val="0"/>
          <w:i w:val="0"/>
          <w:color w:val="0B0E14"/>
          <w:sz w:val="19"/>
          <w:szCs w:val="19"/>
        </w:rPr>
        <w:t>Three findings came out of building the numbers rather than out of restating the strategy. Each one changes what the company should do.</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Paid acquisition does not pay for itself, and should be capped</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paying founder acquired through paid social costs $241 against a lifetime value of $125 — it returns 0.52× what it costs. Campus channels return 2.27×. Paid social belongs on retargeting and event fill, not on cold acquisition, and the budget line should be read as a marketing cost of the institutional business rather than as customer acquisition.</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Subscriptions are the proof layer, not the revenue</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Founder subscriptions are 3% of year-one revenue and 11% by year three. Their job is to prove the product works on founders who were never handed a seat, and to generate the stories that win the next campus. Managing the company to subscription growth would be managing it to the smallest number on the page.</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binding constraint is facilitators, not demand</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year-one plan peaks at 11 facilitators in the final quarter. A facilitator pair runs 18 cohorts a year once travel, preparation and campus holidays are taken out. Every cohort beyond that needs a certified facilitator who does not exist yet, which makes facilitator recruitment and certification the first operational priority, ahead of sales.</w:t>
      </w:r>
    </w:p>
    <w:p>
      <w:r>
        <w:br w:type="page"/>
      </w:r>
    </w:p>
    <w:p>
      <w:pPr>
        <w:keepNext/>
        <w:keepLines w:val="true"/>
        <w:widowControl w:val="true"/>
        <w:spacing w:before="300" w:after="100" w:line="288" w:lineRule="auto"/>
      </w:pPr>
      <w:r>
        <w:rPr>
          <w:rFonts w:ascii="Plus Jakarta Sans" w:hAnsi="Plus Jakarta Sans" w:cs="Segoe UI"/>
          <w:b/>
          <w:i w:val="0"/>
          <w:color w:val="0B0E14"/>
          <w:sz w:val="26"/>
          <w:szCs w:val="26"/>
        </w:rPr>
        <w:t>The shape of the three years</w:t>
      </w:r>
    </w:p>
    <w:p>
      <w:pPr>
        <w:keepNext/>
        <w:spacing w:before="160" w:after="60"/>
        <w:jc w:val="center"/>
      </w:pPr>
      <w:r>
        <w:drawing>
          <wp:inline xmlns:a="http://schemas.openxmlformats.org/drawingml/2006/main" xmlns:pic="http://schemas.openxmlformats.org/drawingml/2006/picture">
            <wp:extent cx="5976000" cy="3275447"/>
            <wp:docPr id="2" name="Picture 2"/>
            <wp:cNvGraphicFramePr>
              <a:graphicFrameLocks noChangeAspect="1"/>
            </wp:cNvGraphicFramePr>
            <a:graphic>
              <a:graphicData uri="http://schemas.openxmlformats.org/drawingml/2006/picture">
                <pic:pic>
                  <pic:nvPicPr>
                    <pic:cNvPr id="0" name="pl.png"/>
                    <pic:cNvPicPr/>
                  </pic:nvPicPr>
                  <pic:blipFill>
                    <a:blip r:embed="rId12"/>
                    <a:stretch>
                      <a:fillRect/>
                    </a:stretch>
                  </pic:blipFill>
                  <pic:spPr>
                    <a:xfrm>
                      <a:off x="0" y="0"/>
                      <a:ext cx="5976000" cy="3275447"/>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Revenue against operating cost. Year one is funded; year two pays for itself; year three carries the margin.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40"/>
        <w:gridCol w:w="2324"/>
        <w:gridCol w:w="2324"/>
        <w:gridCol w:w="2324"/>
      </w:tblGrid>
      <w:tr>
        <w:trPr>
          <w:tblHeader w:val="true"/>
        </w:trPr>
        <w:tc>
          <w:tcPr>
            <w:tcW w:type="dxa" w:w="2440"/>
            <w:shd w:val="clear" w:fill="0B0E14"/>
            <w:tcMar>
              <w:top w:w="79" w:type="dxa"/>
              <w:start w:w="90" w:type="dxa"/>
              <w:bottom w:w="79" w:type="dxa"/>
              <w:end w:w="79" w:type="dxa"/>
            </w:tcMar>
          </w:tcPr>
          <w:p>
            <w:pPr>
              <w:spacing w:after="0" w:line="278" w:lineRule="auto"/>
            </w:pPr>
          </w:p>
        </w:tc>
        <w:tc>
          <w:tcPr>
            <w:tcW w:type="dxa" w:w="232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 · 2026/27</w:t>
            </w:r>
          </w:p>
        </w:tc>
        <w:tc>
          <w:tcPr>
            <w:tcW w:type="dxa" w:w="232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 · 2027/28</w:t>
            </w:r>
          </w:p>
        </w:tc>
        <w:tc>
          <w:tcPr>
            <w:tcW w:type="dxa" w:w="232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 · 2028/29</w:t>
            </w:r>
          </w:p>
        </w:tc>
      </w:tr>
      <w:tr>
        <w:trPr>
          <w:cantSplit w:val="true"/>
        </w:trPr>
        <w:tc>
          <w:tcPr>
            <w:tcW w:type="dxa" w:w="244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w:t>
            </w:r>
          </w:p>
        </w:tc>
        <w:tc>
          <w:tcPr>
            <w:tcW w:type="dxa" w:w="23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$597k</w:t>
            </w:r>
          </w:p>
        </w:tc>
        <w:tc>
          <w:tcPr>
            <w:tcW w:type="dxa" w:w="23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$2.3m</w:t>
            </w:r>
          </w:p>
        </w:tc>
        <w:tc>
          <w:tcPr>
            <w:tcW w:type="dxa" w:w="23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$6.0m</w:t>
            </w:r>
          </w:p>
        </w:tc>
      </w:tr>
      <w:tr>
        <w:trPr>
          <w:cantSplit w:val="true"/>
        </w:trPr>
        <w:tc>
          <w:tcPr>
            <w:tcW w:type="dxa" w:w="244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Operating cost</w:t>
            </w:r>
          </w:p>
        </w:tc>
        <w:tc>
          <w:tcPr>
            <w:tcW w:type="dxa" w:w="23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$918k</w:t>
            </w:r>
          </w:p>
        </w:tc>
        <w:tc>
          <w:tcPr>
            <w:tcW w:type="dxa" w:w="23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$2.3m</w:t>
            </w:r>
          </w:p>
        </w:tc>
        <w:tc>
          <w:tcPr>
            <w:tcW w:type="dxa" w:w="23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$4.4m</w:t>
            </w:r>
          </w:p>
        </w:tc>
      </w:tr>
      <w:tr>
        <w:trPr>
          <w:cantSplit w:val="true"/>
        </w:trPr>
        <w:tc>
          <w:tcPr>
            <w:tcW w:type="dxa" w:w="244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Result</w:t>
            </w:r>
          </w:p>
        </w:tc>
        <w:tc>
          <w:tcPr>
            <w:tcW w:type="dxa" w:w="23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−$321k</w:t>
            </w:r>
          </w:p>
        </w:tc>
        <w:tc>
          <w:tcPr>
            <w:tcW w:type="dxa" w:w="23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+$5k</w:t>
            </w:r>
          </w:p>
        </w:tc>
        <w:tc>
          <w:tcPr>
            <w:tcW w:type="dxa" w:w="23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+$1.6m</w:t>
            </w:r>
          </w:p>
        </w:tc>
      </w:tr>
      <w:tr>
        <w:trPr>
          <w:cantSplit w:val="true"/>
        </w:trPr>
        <w:tc>
          <w:tcPr>
            <w:tcW w:type="dxa" w:w="244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Operating margin</w:t>
            </w:r>
          </w:p>
        </w:tc>
        <w:tc>
          <w:tcPr>
            <w:tcW w:type="dxa" w:w="23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w:t>
            </w:r>
          </w:p>
        </w:tc>
        <w:tc>
          <w:tcPr>
            <w:tcW w:type="dxa" w:w="23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23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r>
      <w:tr>
        <w:trPr>
          <w:cantSplit w:val="true"/>
        </w:trPr>
        <w:tc>
          <w:tcPr>
            <w:tcW w:type="dxa" w:w="244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Paid cohorts delivered</w:t>
            </w:r>
          </w:p>
        </w:tc>
        <w:tc>
          <w:tcPr>
            <w:tcW w:type="dxa" w:w="23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w:t>
            </w:r>
          </w:p>
        </w:tc>
        <w:tc>
          <w:tcPr>
            <w:tcW w:type="dxa" w:w="23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w:t>
            </w:r>
          </w:p>
        </w:tc>
        <w:tc>
          <w:tcPr>
            <w:tcW w:type="dxa" w:w="23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320</w:t>
            </w:r>
          </w:p>
        </w:tc>
      </w:tr>
      <w:tr>
        <w:trPr>
          <w:cantSplit w:val="true"/>
        </w:trPr>
        <w:tc>
          <w:tcPr>
            <w:tcW w:type="dxa" w:w="244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Employees at year end</w:t>
            </w:r>
          </w:p>
        </w:tc>
        <w:tc>
          <w:tcPr>
            <w:tcW w:type="dxa" w:w="23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w:t>
            </w:r>
          </w:p>
        </w:tc>
        <w:tc>
          <w:tcPr>
            <w:tcW w:type="dxa" w:w="23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w:t>
            </w:r>
          </w:p>
        </w:tc>
        <w:tc>
          <w:tcPr>
            <w:tcW w:type="dxa" w:w="23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94</w:t>
            </w:r>
          </w:p>
        </w:tc>
      </w:tr>
    </w:tbl>
    <w:p>
      <w:pPr>
        <w:keepLines w:val="true"/>
        <w:widowControl w:val="true"/>
        <w:spacing w:before="0" w:after="140" w:line="322" w:lineRule="auto"/>
      </w:pPr>
    </w:p>
    <w:p>
      <w:pPr>
        <w:keepLines w:val="true"/>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 xml:space="preserve">Every figure in this plan is computed from one assumption set, held in </w:t>
      </w:r>
      <w:r>
        <w:rPr>
          <w:rFonts w:ascii="Plus Jakarta Sans" w:hAnsi="Plus Jakarta Sans" w:cs="Segoe UI"/>
          <w:b/>
          <w:i w:val="0"/>
          <w:color w:val="3A4050"/>
          <w:sz w:val="18"/>
          <w:szCs w:val="18"/>
        </w:rPr>
        <w:t>business_plan/model.py</w:t>
      </w:r>
      <w:r>
        <w:rPr>
          <w:rFonts w:ascii="Plus Jakarta Sans" w:hAnsi="Plus Jakarta Sans" w:cs="Segoe UI"/>
          <w:b w:val="0"/>
          <w:i w:val="0"/>
          <w:color w:val="3A4050"/>
          <w:sz w:val="18"/>
          <w:szCs w:val="18"/>
        </w:rPr>
        <w:t xml:space="preserve"> and listed in full in the appendix. No number is typed into a sentence; change an assumption and the sentence, the table and the chart move together.</w:t>
      </w:r>
    </w:p>
    <w:p>
      <w:pPr>
        <w:keepNext/>
        <w:pageBreakBefore w:val="true"/>
        <w:spacing w:before="0" w:after="20"/>
      </w:pPr>
      <w:r>
        <w:rPr>
          <w:rFonts w:ascii="Plus Jakarta Sans" w:hAnsi="Plus Jakarta Sans" w:cs="Segoe UI"/>
          <w:b/>
          <w:i w:val="0"/>
          <w:color w:val="3418E0"/>
          <w:spacing w:val="28"/>
          <w:sz w:val="16"/>
          <w:szCs w:val="16"/>
        </w:rPr>
        <w:t>SECTION 02</w:t>
      </w:r>
    </w:p>
    <w:p>
      <w:pPr>
        <w:keepNext/>
        <w:spacing w:before="40" w:after="120"/>
      </w:pPr>
      <w:r>
        <w:rPr>
          <w:rFonts w:ascii="Plus Jakarta Sans" w:hAnsi="Plus Jakarta Sans" w:cs="Segoe UI"/>
          <w:b/>
          <w:i w:val="0"/>
          <w:color w:val="0B0E14"/>
          <w:sz w:val="42"/>
          <w:szCs w:val="42"/>
        </w:rPr>
        <w:t>The company and the product</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What StartPad is, who it is for, and why a sequenced journey with a review gate beats the thing it replaces.</w:t>
      </w:r>
    </w:p>
    <w:p>
      <w:pPr>
        <w:keepNext/>
        <w:keepLines w:val="true"/>
        <w:widowControl w:val="true"/>
        <w:spacing w:before="300" w:after="100" w:line="288" w:lineRule="auto"/>
      </w:pPr>
      <w:r>
        <w:rPr>
          <w:rFonts w:ascii="Plus Jakarta Sans" w:hAnsi="Plus Jakarta Sans" w:cs="Segoe UI"/>
          <w:b/>
          <w:i w:val="0"/>
          <w:color w:val="0B0E14"/>
          <w:sz w:val="26"/>
          <w:szCs w:val="26"/>
        </w:rPr>
        <w:t>The problem</w:t>
      </w:r>
    </w:p>
    <w:p>
      <w:pPr>
        <w:keepLines w:val="true"/>
        <w:widowControl w:val="true"/>
        <w:spacing w:before="0" w:after="100" w:line="322" w:lineRule="auto"/>
      </w:pPr>
      <w:r>
        <w:rPr>
          <w:rFonts w:ascii="Plus Jakarta Sans" w:hAnsi="Plus Jakarta Sans" w:cs="Segoe UI"/>
          <w:b w:val="0"/>
          <w:i w:val="0"/>
          <w:color w:val="0B0E14"/>
          <w:sz w:val="19"/>
          <w:szCs w:val="19"/>
        </w:rPr>
        <w:t>Ideas are everywhere in MENA. A path to a real startup is not. The gap is not talent and it is not capital at the earliest stage — it is method. Founders have graduation projects and no process; institutions need founders who are ready and have no way to prepare them; programmes screen applicants who never did the groundwork.</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3137"/>
        <w:gridCol w:w="3137"/>
        <w:gridCol w:w="3137"/>
      </w:tblGrid>
      <w:tr>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21%</w:t>
            </w:r>
          </w:p>
          <w:p>
            <w:pPr>
              <w:spacing w:after="0" w:line="293" w:lineRule="auto"/>
            </w:pPr>
            <w:r>
              <w:rPr>
                <w:rFonts w:ascii="Plus Jakarta Sans" w:hAnsi="Plus Jakarta Sans" w:cs="Segoe UI"/>
                <w:b w:val="0"/>
                <w:i w:val="0"/>
                <w:color w:val="3A4050"/>
                <w:sz w:val="15"/>
                <w:szCs w:val="15"/>
              </w:rPr>
              <w:t>of self-described MENA startups meet the minimum criteria to be considered investable</w:t>
            </w:r>
          </w:p>
        </w:tc>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56%</w:t>
            </w:r>
          </w:p>
          <w:p>
            <w:pPr>
              <w:spacing w:after="0" w:line="293" w:lineRule="auto"/>
            </w:pPr>
            <w:r>
              <w:rPr>
                <w:rFonts w:ascii="Plus Jakarta Sans" w:hAnsi="Plus Jakarta Sans" w:cs="Segoe UI"/>
                <w:b w:val="0"/>
                <w:i w:val="0"/>
                <w:color w:val="3A4050"/>
                <w:sz w:val="15"/>
                <w:szCs w:val="15"/>
              </w:rPr>
              <w:t>of MENA pre-seed startups never reach the next stage</w:t>
            </w:r>
          </w:p>
        </w:tc>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68%</w:t>
            </w:r>
          </w:p>
          <w:p>
            <w:pPr>
              <w:spacing w:after="0" w:line="293" w:lineRule="auto"/>
            </w:pPr>
            <w:r>
              <w:rPr>
                <w:rFonts w:ascii="Plus Jakarta Sans" w:hAnsi="Plus Jakarta Sans" w:cs="Segoe UI"/>
                <w:b w:val="0"/>
                <w:i w:val="0"/>
                <w:color w:val="3A4050"/>
                <w:sz w:val="15"/>
                <w:szCs w:val="15"/>
              </w:rPr>
              <w:t>failure rate in Egypt for startups trying to reach Series A — the highest in the region</w:t>
            </w:r>
          </w:p>
        </w:tc>
      </w:tr>
    </w:tbl>
    <w:p>
      <w:pPr>
        <w:keepLines w:val="true"/>
        <w:widowControl w:val="true"/>
        <w:spacing w:before="0" w:after="160" w:line="322" w:lineRule="auto"/>
      </w:pPr>
    </w:p>
    <w:p>
      <w:pPr>
        <w:keepLines w:val="true"/>
        <w:widowControl w:val="true"/>
        <w:spacing w:before="0" w:after="100" w:line="322" w:lineRule="auto"/>
      </w:pPr>
      <w:r>
        <w:rPr>
          <w:rFonts w:ascii="Plus Jakarta Sans" w:hAnsi="Plus Jakarta Sans" w:cs="Segoe UI"/>
          <w:b w:val="0"/>
          <w:i w:val="0"/>
          <w:color w:val="0B0E14"/>
          <w:sz w:val="19"/>
          <w:szCs w:val="19"/>
        </w:rPr>
        <w:t>These three numbers describe one failure, not three. A founder who never defined the problem precisely cannot produce evidence; without evidence they cannot pass a screen; having failed a screen they conclude the problem was capital. StartPad intervenes at the first step, because that is the only step where intervention is cheap.</w:t>
      </w:r>
    </w:p>
    <w:p>
      <w:pPr>
        <w:keepNext/>
        <w:keepLines w:val="true"/>
        <w:widowControl w:val="true"/>
        <w:spacing w:before="300" w:after="100" w:line="288" w:lineRule="auto"/>
      </w:pPr>
      <w:r>
        <w:rPr>
          <w:rFonts w:ascii="Plus Jakarta Sans" w:hAnsi="Plus Jakarta Sans" w:cs="Segoe UI"/>
          <w:b/>
          <w:i w:val="0"/>
          <w:color w:val="0B0E14"/>
          <w:sz w:val="26"/>
          <w:szCs w:val="26"/>
        </w:rPr>
        <w:t>The product</w:t>
      </w:r>
    </w:p>
    <w:p>
      <w:pPr>
        <w:keepLines w:val="true"/>
        <w:widowControl w:val="true"/>
        <w:spacing w:before="0" w:after="100" w:line="322" w:lineRule="auto"/>
      </w:pPr>
      <w:r>
        <w:rPr>
          <w:rFonts w:ascii="Plus Jakarta Sans" w:hAnsi="Plus Jakarta Sans" w:cs="Segoe UI"/>
          <w:b w:val="0"/>
          <w:i w:val="0"/>
          <w:color w:val="0B0E14"/>
          <w:sz w:val="19"/>
          <w:szCs w:val="19"/>
        </w:rPr>
        <w:t>Fifteen missions across five phases. Each mission has a brief, a short lesson, five tasks with an explicit standard for what a good answer needs, and an evidence slot. The founder submits; an AI reviews against specificity, depth, evidence, actionability and relevance; at 70% the next mission unlocks and points are earned. Below 70% the founder gets one highest-gain fix and a full report, and the answers stay filled in for the retry.</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743"/>
        <w:gridCol w:w="1162"/>
        <w:gridCol w:w="1045"/>
        <w:gridCol w:w="1278"/>
        <w:gridCol w:w="4183"/>
      </w:tblGrid>
      <w:tr>
        <w:trPr>
          <w:tblHeader w:val="true"/>
        </w:trPr>
        <w:tc>
          <w:tcPr>
            <w:tcW w:type="dxa" w:w="17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Phase</w:t>
            </w:r>
          </w:p>
        </w:tc>
        <w:tc>
          <w:tcPr>
            <w:tcW w:type="dxa" w:w="116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Missions</w:t>
            </w:r>
          </w:p>
        </w:tc>
        <w:tc>
          <w:tcPr>
            <w:tcW w:type="dxa" w:w="104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Points</w:t>
            </w:r>
          </w:p>
        </w:tc>
        <w:tc>
          <w:tcPr>
            <w:tcW w:type="dxa" w:w="12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Est. time</w:t>
            </w:r>
          </w:p>
        </w:tc>
        <w:tc>
          <w:tcPr>
            <w:tcW w:type="dxa" w:w="41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produces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Discovery</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01–03</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prioritised problem worth solving</w:t>
            </w:r>
          </w:p>
        </w:tc>
      </w:tr>
      <w:tr>
        <w:trPr>
          <w:cantSplit w:val="true"/>
        </w:trPr>
        <w:tc>
          <w:tcPr>
            <w:tcW w:type="dxa" w:w="174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Validation</w:t>
            </w:r>
          </w:p>
        </w:tc>
        <w:tc>
          <w:tcPr>
            <w:tcW w:type="dxa" w:w="116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04–06</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550</w:t>
            </w:r>
          </w:p>
        </w:tc>
        <w:tc>
          <w:tcPr>
            <w:tcW w:type="dxa" w:w="12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 h</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tested problem–solution canvas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Business model</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07–09</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11–19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full BMC and a working prototype</w:t>
            </w:r>
          </w:p>
        </w:tc>
      </w:tr>
      <w:tr>
        <w:trPr>
          <w:cantSplit w:val="true"/>
        </w:trPr>
        <w:tc>
          <w:tcPr>
            <w:tcW w:type="dxa" w:w="174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Build and MVP</w:t>
            </w:r>
          </w:p>
        </w:tc>
        <w:tc>
          <w:tcPr>
            <w:tcW w:type="dxa" w:w="116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10–13</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1,350</w:t>
            </w:r>
          </w:p>
        </w:tc>
        <w:tc>
          <w:tcPr>
            <w:tcW w:type="dxa" w:w="12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29–54 h</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shipped MVP with analytics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Launch</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14–15</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15–30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live launch and first customers</w:t>
            </w:r>
          </w:p>
        </w:tc>
      </w:tr>
    </w:tbl>
    <w:p>
      <w:pPr>
        <w:keepLines w:val="true"/>
        <w:widowControl w:val="true"/>
        <w:spacing w:before="0" w:after="140" w:line="322" w:lineRule="auto"/>
      </w:pPr>
    </w:p>
    <w:p>
      <w:pPr>
        <w:keepLines w:val="true"/>
        <w:widowControl w:val="true"/>
        <w:spacing w:before="0" w:after="100" w:line="322" w:lineRule="auto"/>
      </w:pPr>
      <w:r>
        <w:rPr>
          <w:rFonts w:ascii="Plus Jakarta Sans" w:hAnsi="Plus Jakarta Sans" w:cs="Segoe UI"/>
          <w:b w:val="0"/>
          <w:i w:val="0"/>
          <w:color w:val="0B0E14"/>
          <w:sz w:val="19"/>
          <w:szCs w:val="19"/>
        </w:rPr>
        <w:t>4,050 points across the journey. Points and streaks are written only on the server, with direct writes to scoring revoked at the database, so a score is earned rather than claimed — which is what lets an institution treat the record as evidence.</w:t>
      </w:r>
    </w:p>
    <w:p>
      <w:pPr>
        <w:keepNext/>
        <w:keepLines w:val="true"/>
        <w:widowControl w:val="true"/>
        <w:spacing w:before="300" w:after="100" w:line="288" w:lineRule="auto"/>
      </w:pPr>
      <w:r>
        <w:rPr>
          <w:rFonts w:ascii="Plus Jakarta Sans" w:hAnsi="Plus Jakarta Sans" w:cs="Segoe UI"/>
          <w:b/>
          <w:i w:val="0"/>
          <w:color w:val="0B0E14"/>
          <w:sz w:val="26"/>
          <w:szCs w:val="26"/>
        </w:rPr>
        <w:t>What makes it defensible</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AI is a co-founder, not a ghostwriter</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It asks the follow-up a good mentor would ask, carries earlier answers forward and pushes back on vague ones. It does not write the business plan. A tool that writes the answer destroys the only asset the product creates, which is a founder who can defend their own work.</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sequence is the product</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mission unlocks only when the last one passes. That constraint is what separates StartPad from a library of templates: a founder cannot skip to the pitch deck before they have a tested problem, which is precisely the mistake the 56% figure measures.</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Built in MENA, in both languages</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mission, review and exported PDF works in Arabic with complete right-to-left layout, and the Arabic is composed rather than translated — Egyptian colloquial for Egypt, Saudi dialect for the Kingdom. A US-built product translated at the edges does not survive a workshop.</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institutional workspace is the moat</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Cohort progress, review states, follow-up signals and a downloadable cohort report, all under student-controlled sharing. Competitors sell content to students. Selling a reporting line to the person who signs the cheque is a different and much stickier business.</w:t>
      </w:r>
    </w:p>
    <w:p>
      <w:pPr>
        <w:keepNext/>
        <w:spacing w:before="160" w:after="60"/>
        <w:jc w:val="center"/>
      </w:pPr>
      <w:r>
        <w:drawing>
          <wp:inline xmlns:a="http://schemas.openxmlformats.org/drawingml/2006/main" xmlns:pic="http://schemas.openxmlformats.org/drawingml/2006/picture">
            <wp:extent cx="5976000" cy="3818000"/>
            <wp:docPr id="3" name="Picture 3"/>
            <wp:cNvGraphicFramePr>
              <a:graphicFrameLocks noChangeAspect="1"/>
            </wp:cNvGraphicFramePr>
            <a:graphic>
              <a:graphicData uri="http://schemas.openxmlformats.org/drawingml/2006/picture">
                <pic:pic>
                  <pic:nvPicPr>
                    <pic:cNvPr id="0" name="flywheel.png"/>
                    <pic:cNvPicPr/>
                  </pic:nvPicPr>
                  <pic:blipFill>
                    <a:blip r:embed="rId13"/>
                    <a:stretch>
                      <a:fillRect/>
                    </a:stretch>
                  </pic:blipFill>
                  <pic:spPr>
                    <a:xfrm>
                      <a:off x="0" y="0"/>
                      <a:ext cx="5976000" cy="3818000"/>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Growth compounds through the loop, not through paid reach: founders who progress become the stories that win the next campus and the next partner.</w:t>
      </w:r>
    </w:p>
    <w:p>
      <w:pPr>
        <w:keepNext/>
        <w:pageBreakBefore w:val="true"/>
        <w:spacing w:before="0" w:after="20"/>
      </w:pPr>
      <w:r>
        <w:rPr>
          <w:rFonts w:ascii="Plus Jakarta Sans" w:hAnsi="Plus Jakarta Sans" w:cs="Segoe UI"/>
          <w:b/>
          <w:i w:val="0"/>
          <w:color w:val="3418E0"/>
          <w:spacing w:val="28"/>
          <w:sz w:val="16"/>
          <w:szCs w:val="16"/>
        </w:rPr>
        <w:t>SECTION 03</w:t>
      </w:r>
    </w:p>
    <w:p>
      <w:pPr>
        <w:keepNext/>
        <w:spacing w:before="40" w:after="120"/>
      </w:pPr>
      <w:r>
        <w:rPr>
          <w:rFonts w:ascii="Plus Jakarta Sans" w:hAnsi="Plus Jakarta Sans" w:cs="Segoe UI"/>
          <w:b/>
          <w:i w:val="0"/>
          <w:color w:val="0B0E14"/>
          <w:sz w:val="42"/>
          <w:szCs w:val="42"/>
        </w:rPr>
        <w:t>Market study</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How large the opportunity is in Egypt and Saudi Arabia, built from the bottom up — from counted students and counted institutions, priced at our own prices — rather than from a share of somebody else's market report.</w:t>
      </w:r>
    </w:p>
    <w:p>
      <w:pPr>
        <w:keepNext/>
        <w:keepLines w:val="true"/>
        <w:widowControl w:val="true"/>
        <w:spacing w:before="300" w:after="100" w:line="288" w:lineRule="auto"/>
      </w:pPr>
      <w:r>
        <w:rPr>
          <w:rFonts w:ascii="Plus Jakarta Sans" w:hAnsi="Plus Jakarta Sans" w:cs="Segoe UI"/>
          <w:b/>
          <w:i w:val="0"/>
          <w:color w:val="0B0E14"/>
          <w:sz w:val="26"/>
          <w:szCs w:val="26"/>
        </w:rPr>
        <w:t>Method, and why it is bottom-up</w:t>
      </w:r>
    </w:p>
    <w:p>
      <w:pPr>
        <w:keepLines w:val="true"/>
        <w:widowControl w:val="true"/>
        <w:spacing w:before="0" w:after="100" w:line="322" w:lineRule="auto"/>
      </w:pPr>
      <w:r>
        <w:rPr>
          <w:rFonts w:ascii="Plus Jakarta Sans" w:hAnsi="Plus Jakarta Sans" w:cs="Segoe UI"/>
          <w:b w:val="0"/>
          <w:i w:val="0"/>
          <w:color w:val="0B0E14"/>
          <w:sz w:val="19"/>
          <w:szCs w:val="19"/>
        </w:rPr>
        <w:t>A top-down sizing would start from a published figure for the global edtech or startup-services market and take a percentage. That produces a large number and no information: the percentage is unjustifiable and the market definition does not match what we sell. This sizing instead counts the people and the institutions that exist in the two markets, applies the filters that decide whether each one can plausibly buy, and multiplies by our own prices.</w:t>
      </w:r>
    </w:p>
    <w:p>
      <w:pPr>
        <w:keepLines w:val="true"/>
        <w:widowControl w:val="true"/>
        <w:spacing w:before="0" w:after="100" w:line="322" w:lineRule="auto"/>
      </w:pPr>
      <w:r>
        <w:rPr>
          <w:rFonts w:ascii="Plus Jakarta Sans" w:hAnsi="Plus Jakarta Sans" w:cs="Segoe UI"/>
          <w:b/>
          <w:i w:val="0"/>
          <w:color w:val="0B0E14"/>
          <w:sz w:val="19"/>
          <w:szCs w:val="19"/>
        </w:rPr>
        <w:t>TAM</w:t>
      </w:r>
      <w:r>
        <w:rPr>
          <w:rFonts w:ascii="Plus Jakarta Sans" w:hAnsi="Plus Jakarta Sans" w:cs="Segoe UI"/>
          <w:b w:val="0"/>
          <w:i w:val="0"/>
          <w:color w:val="0B0E14"/>
          <w:sz w:val="19"/>
          <w:szCs w:val="19"/>
        </w:rPr>
        <w:t xml:space="preserve"> is every higher-education student and recent graduate in Egypt and Saudi Arabia, at saturation. </w:t>
      </w:r>
      <w:r>
        <w:rPr>
          <w:rFonts w:ascii="Plus Jakarta Sans" w:hAnsi="Plus Jakarta Sans" w:cs="Segoe UI"/>
          <w:b/>
          <w:i w:val="0"/>
          <w:color w:val="0B0E14"/>
          <w:sz w:val="19"/>
          <w:szCs w:val="19"/>
        </w:rPr>
        <w:t>SAM</w:t>
      </w:r>
      <w:r>
        <w:rPr>
          <w:rFonts w:ascii="Plus Jakarta Sans" w:hAnsi="Plus Jakarta Sans" w:cs="Segoe UI"/>
          <w:b w:val="0"/>
          <w:i w:val="0"/>
          <w:color w:val="0B0E14"/>
          <w:sz w:val="19"/>
          <w:szCs w:val="19"/>
        </w:rPr>
        <w:t xml:space="preserve"> narrows that to the faculties where venture-building fits, the students with an idea or a graduation project, and the cities we can physically reach to deliver a bootcamp. </w:t>
      </w:r>
      <w:r>
        <w:rPr>
          <w:rFonts w:ascii="Plus Jakarta Sans" w:hAnsi="Plus Jakarta Sans" w:cs="Segoe UI"/>
          <w:b/>
          <w:i w:val="0"/>
          <w:color w:val="0B0E14"/>
          <w:sz w:val="19"/>
          <w:szCs w:val="19"/>
        </w:rPr>
        <w:t>SOM</w:t>
      </w:r>
      <w:r>
        <w:rPr>
          <w:rFonts w:ascii="Plus Jakarta Sans" w:hAnsi="Plus Jakarta Sans" w:cs="Segoe UI"/>
          <w:b w:val="0"/>
          <w:i w:val="0"/>
          <w:color w:val="0B0E14"/>
          <w:sz w:val="19"/>
          <w:szCs w:val="19"/>
        </w:rPr>
        <w:t xml:space="preserve"> is not a share of SAM at all — it is derived from capacity: the number of cohorts a known number of facilitators can run and the number of founders a known ambassador network and ad budget can bring in.</w:t>
      </w:r>
    </w:p>
    <w:p>
      <w:pPr>
        <w:keepNext/>
        <w:keepLines w:val="true"/>
        <w:widowControl w:val="true"/>
        <w:spacing w:before="300" w:after="100" w:line="288" w:lineRule="auto"/>
      </w:pPr>
      <w:r>
        <w:rPr>
          <w:rFonts w:ascii="Plus Jakarta Sans" w:hAnsi="Plus Jakarta Sans" w:cs="Segoe UI"/>
          <w:b/>
          <w:i w:val="0"/>
          <w:color w:val="0B0E14"/>
          <w:sz w:val="26"/>
          <w:szCs w:val="26"/>
        </w:rPr>
        <w:t>The population base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869"/>
        <w:gridCol w:w="1377"/>
        <w:gridCol w:w="1492"/>
        <w:gridCol w:w="1377"/>
        <w:gridCol w:w="2295"/>
      </w:tblGrid>
      <w:tr>
        <w:trPr>
          <w:tblHeader w:val="true"/>
        </w:trPr>
        <w:tc>
          <w:tcPr>
            <w:tcW w:type="dxa" w:w="2869"/>
            <w:shd w:val="clear" w:fill="0B0E14"/>
            <w:tcMar>
              <w:top w:w="79" w:type="dxa"/>
              <w:start w:w="90" w:type="dxa"/>
              <w:bottom w:w="79" w:type="dxa"/>
              <w:end w:w="79" w:type="dxa"/>
            </w:tcMar>
          </w:tcPr>
          <w:p>
            <w:pPr>
              <w:spacing w:after="0" w:line="278" w:lineRule="auto"/>
            </w:pPr>
          </w:p>
        </w:tc>
        <w:tc>
          <w:tcPr>
            <w:tcW w:type="dxa" w:w="137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Egypt</w:t>
            </w:r>
          </w:p>
        </w:tc>
        <w:tc>
          <w:tcPr>
            <w:tcW w:type="dxa" w:w="149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Saudi Arabia</w:t>
            </w:r>
          </w:p>
        </w:tc>
        <w:tc>
          <w:tcPr>
            <w:tcW w:type="dxa" w:w="137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Total</w:t>
            </w:r>
          </w:p>
        </w:tc>
        <w:tc>
          <w:tcPr>
            <w:tcW w:type="dxa" w:w="229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Source</w:t>
            </w:r>
          </w:p>
        </w:tc>
      </w:tr>
      <w:tr>
        <w:trPr>
          <w:cantSplit w:val="true"/>
        </w:trPr>
        <w:tc>
          <w:tcPr>
            <w:tcW w:type="dxa" w:w="286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Higher-education students</w:t>
            </w:r>
          </w:p>
        </w:tc>
        <w:tc>
          <w:tcPr>
            <w:tcW w:type="dxa" w:w="137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3,900,000</w:t>
            </w:r>
          </w:p>
        </w:tc>
        <w:tc>
          <w:tcPr>
            <w:tcW w:type="dxa" w:w="14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1,600,000</w:t>
            </w:r>
          </w:p>
        </w:tc>
        <w:tc>
          <w:tcPr>
            <w:tcW w:type="dxa" w:w="137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5,500,000</w:t>
            </w:r>
          </w:p>
        </w:tc>
        <w:tc>
          <w:tcPr>
            <w:tcW w:type="dxa" w:w="22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2024/25; UNESCO UIS 2022</w:t>
            </w:r>
          </w:p>
        </w:tc>
      </w:tr>
      <w:tr>
        <w:trPr>
          <w:cantSplit w:val="true"/>
        </w:trPr>
        <w:tc>
          <w:tcPr>
            <w:tcW w:type="dxa" w:w="286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Graduates each year</w:t>
            </w:r>
          </w:p>
        </w:tc>
        <w:tc>
          <w:tcPr>
            <w:tcW w:type="dxa" w:w="137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547,200</w:t>
            </w:r>
          </w:p>
        </w:tc>
        <w:tc>
          <w:tcPr>
            <w:tcW w:type="dxa" w:w="14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300,000</w:t>
            </w:r>
          </w:p>
        </w:tc>
        <w:tc>
          <w:tcPr>
            <w:tcW w:type="dxa" w:w="137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847,200</w:t>
            </w:r>
          </w:p>
        </w:tc>
        <w:tc>
          <w:tcPr>
            <w:tcW w:type="dxa" w:w="22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2023; KSA derived</w:t>
            </w:r>
          </w:p>
        </w:tc>
      </w:tr>
      <w:tr>
        <w:trPr>
          <w:cantSplit w:val="true"/>
        </w:trPr>
        <w:tc>
          <w:tcPr>
            <w:tcW w:type="dxa" w:w="286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Recent graduates (within 3 years)</w:t>
            </w:r>
          </w:p>
        </w:tc>
        <w:tc>
          <w:tcPr>
            <w:tcW w:type="dxa" w:w="137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1,641,600</w:t>
            </w:r>
          </w:p>
        </w:tc>
        <w:tc>
          <w:tcPr>
            <w:tcW w:type="dxa" w:w="14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900,000</w:t>
            </w:r>
          </w:p>
        </w:tc>
        <w:tc>
          <w:tcPr>
            <w:tcW w:type="dxa" w:w="137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2,541,600</w:t>
            </w:r>
          </w:p>
        </w:tc>
        <w:tc>
          <w:tcPr>
            <w:tcW w:type="dxa" w:w="22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Derived</w:t>
            </w:r>
          </w:p>
        </w:tc>
      </w:tr>
      <w:tr>
        <w:trPr>
          <w:cantSplit w:val="true"/>
        </w:trPr>
        <w:tc>
          <w:tcPr>
            <w:tcW w:type="dxa" w:w="286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buying units</w:t>
            </w:r>
          </w:p>
        </w:tc>
        <w:tc>
          <w:tcPr>
            <w:tcW w:type="dxa" w:w="137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951</w:t>
            </w:r>
          </w:p>
        </w:tc>
        <w:tc>
          <w:tcPr>
            <w:tcW w:type="dxa" w:w="14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564</w:t>
            </w:r>
          </w:p>
        </w:tc>
        <w:tc>
          <w:tcPr>
            <w:tcW w:type="dxa" w:w="137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w:t>
            </w:r>
          </w:p>
        </w:tc>
        <w:tc>
          <w:tcPr>
            <w:tcW w:type="dxa" w:w="22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colleges; KSA derived</w:t>
            </w:r>
          </w:p>
        </w:tc>
      </w:tr>
    </w:tbl>
    <w:p>
      <w:pPr>
        <w:keepLines w:val="true"/>
        <w:widowControl w:val="true"/>
        <w:spacing w:before="0" w:after="140" w:line="322" w:lineRule="auto"/>
      </w:pPr>
    </w:p>
    <w:p>
      <w:pPr>
        <w:keepLines w:val="true"/>
        <w:widowControl w:val="true"/>
        <w:spacing w:before="0" w:after="100" w:line="322" w:lineRule="auto"/>
      </w:pPr>
      <w:r>
        <w:rPr>
          <w:rFonts w:ascii="Plus Jakarta Sans" w:hAnsi="Plus Jakarta Sans" w:cs="Segoe UI"/>
          <w:b w:val="0"/>
          <w:i w:val="0"/>
          <w:color w:val="0B0E14"/>
          <w:sz w:val="19"/>
          <w:szCs w:val="19"/>
        </w:rPr>
        <w:t>The buying unit is the college or faculty, not the university. StartPad enters through an entrepreneurship centre, a capstone coordinator or a dean — three of the four doors sit below the university level, and a single university routinely runs several unrelated cohorts.</w:t>
      </w:r>
    </w:p>
    <w:p>
      <w:pPr>
        <w:keepNext/>
        <w:keepLines w:val="true"/>
        <w:widowControl w:val="true"/>
        <w:spacing w:before="300" w:after="100" w:line="288" w:lineRule="auto"/>
      </w:pPr>
      <w:r>
        <w:rPr>
          <w:rFonts w:ascii="Plus Jakarta Sans" w:hAnsi="Plus Jakarta Sans" w:cs="Segoe UI"/>
          <w:b/>
          <w:i w:val="0"/>
          <w:color w:val="0B0E14"/>
          <w:sz w:val="26"/>
          <w:szCs w:val="26"/>
        </w:rPr>
        <w:t>TAM — the ceiling</w:t>
      </w:r>
    </w:p>
    <w:p>
      <w:pPr>
        <w:keepLines w:val="true"/>
        <w:widowControl w:val="true"/>
        <w:spacing w:before="0" w:after="100" w:line="322" w:lineRule="auto"/>
      </w:pPr>
      <w:r>
        <w:rPr>
          <w:rFonts w:ascii="Plus Jakarta Sans" w:hAnsi="Plus Jakarta Sans" w:cs="Segoe UI"/>
          <w:b w:val="0"/>
          <w:i w:val="0"/>
          <w:color w:val="0B0E14"/>
          <w:sz w:val="19"/>
          <w:szCs w:val="19"/>
        </w:rPr>
        <w:t>At saturation, 8,041,600 people are in scope: 5,500,000 enrolled students plus 2,541,600 graduates still inside the 18–30 window. Most would hold an institution-funded seat rather than a self-paid subscription, because that is how a student in this market gets access, which gives a blended value of $46 per person per year.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25"/>
        <w:gridCol w:w="4591"/>
        <w:gridCol w:w="2295"/>
      </w:tblGrid>
      <w:tr>
        <w:trPr>
          <w:tblHeader w:val="true"/>
        </w:trPr>
        <w:tc>
          <w:tcPr>
            <w:tcW w:type="dxa" w:w="252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Layer</w:t>
            </w:r>
          </w:p>
        </w:tc>
        <w:tc>
          <w:tcPr>
            <w:tcW w:type="dxa" w:w="45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Basis</w:t>
            </w:r>
          </w:p>
        </w:tc>
        <w:tc>
          <w:tcPr>
            <w:tcW w:type="dxa" w:w="229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r>
      <w:tr>
        <w:trPr>
          <w:cantSplit w:val="true"/>
        </w:trPr>
        <w:tc>
          <w:tcPr>
            <w:tcW w:type="dxa" w:w="252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Platform</w:t>
            </w:r>
          </w:p>
        </w:tc>
        <w:tc>
          <w:tcPr>
            <w:tcW w:type="dxa" w:w="45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8,041,600 people × $46</w:t>
            </w:r>
          </w:p>
        </w:tc>
        <w:tc>
          <w:tcPr>
            <w:tcW w:type="dxa" w:w="22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$367.5m</w:t>
            </w:r>
          </w:p>
        </w:tc>
      </w:tr>
      <w:tr>
        <w:trPr>
          <w:cantSplit w:val="true"/>
        </w:trPr>
        <w:tc>
          <w:tcPr>
            <w:tcW w:type="dxa" w:w="252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delivery</w:t>
            </w:r>
          </w:p>
        </w:tc>
        <w:tc>
          <w:tcPr>
            <w:tcW w:type="dxa" w:w="45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 buying units × 2 cohorts × $7,500</w:t>
            </w:r>
          </w:p>
        </w:tc>
        <w:tc>
          <w:tcPr>
            <w:tcW w:type="dxa" w:w="22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$22.7m</w:t>
            </w:r>
          </w:p>
        </w:tc>
      </w:tr>
      <w:tr>
        <w:trPr>
          <w:cantSplit w:val="true"/>
        </w:trPr>
        <w:tc>
          <w:tcPr>
            <w:tcW w:type="dxa" w:w="252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addressable market</w:t>
            </w:r>
          </w:p>
        </w:tc>
        <w:tc>
          <w:tcPr>
            <w:tcW w:type="dxa" w:w="4591"/>
            <w:shd w:val="clear" w:fill="CBF24A"/>
            <w:tcMar>
              <w:top w:w="73" w:type="dxa"/>
              <w:start w:w="90" w:type="dxa"/>
              <w:bottom w:w="73" w:type="dxa"/>
              <w:end w:w="79" w:type="dxa"/>
            </w:tcMar>
          </w:tcPr>
          <w:p>
            <w:pPr>
              <w:spacing w:after="0" w:line="288" w:lineRule="auto"/>
            </w:pPr>
          </w:p>
        </w:tc>
        <w:tc>
          <w:tcPr>
            <w:tcW w:type="dxa" w:w="229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$390.2m</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SAM — what we could actually serve</w:t>
      </w:r>
    </w:p>
    <w:p>
      <w:pPr>
        <w:keepLines w:val="true"/>
        <w:widowControl w:val="true"/>
        <w:spacing w:before="0" w:after="100" w:line="322" w:lineRule="auto"/>
      </w:pPr>
      <w:r>
        <w:rPr>
          <w:rFonts w:ascii="Plus Jakarta Sans" w:hAnsi="Plus Jakarta Sans" w:cs="Segoe UI"/>
          <w:b w:val="0"/>
          <w:i w:val="0"/>
          <w:color w:val="0B0E14"/>
          <w:sz w:val="19"/>
          <w:szCs w:val="19"/>
        </w:rPr>
        <w:t>Three filters, each one a statement about the product rather than a haircut for caution.</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Faculty fit — 35%</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Business, commerce, engineering, computing, design and applied science carry capstone and graduation projects that map onto the missions. Medicine and law largely do not.</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Has an idea or a graduation project — 40%</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deck's own user definition. Wider than final year, because an idea does not wait for the curriculum; narrower than everybody, because most students do not have one.</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Reachable for delivery — 73%</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Greater Cairo, Alexandria, the Delta and the Upper Egypt hubs; Riyadh, Jeddah and Dammam. A cohort needs facilitators in a room.</w:t>
      </w:r>
    </w:p>
    <w:p>
      <w:pPr>
        <w:keepNext/>
        <w:spacing w:before="160" w:after="60"/>
        <w:jc w:val="center"/>
      </w:pPr>
      <w:r>
        <w:drawing>
          <wp:inline xmlns:a="http://schemas.openxmlformats.org/drawingml/2006/main" xmlns:pic="http://schemas.openxmlformats.org/drawingml/2006/picture">
            <wp:extent cx="5976000" cy="1946606"/>
            <wp:docPr id="4" name="Picture 4"/>
            <wp:cNvGraphicFramePr>
              <a:graphicFrameLocks noChangeAspect="1"/>
            </wp:cNvGraphicFramePr>
            <a:graphic>
              <a:graphicData uri="http://schemas.openxmlformats.org/drawingml/2006/picture">
                <pic:pic>
                  <pic:nvPicPr>
                    <pic:cNvPr id="0" name="sizing_funnel.png"/>
                    <pic:cNvPicPr/>
                  </pic:nvPicPr>
                  <pic:blipFill>
                    <a:blip r:embed="rId14"/>
                    <a:stretch>
                      <a:fillRect/>
                    </a:stretch>
                  </pic:blipFill>
                  <pic:spPr>
                    <a:xfrm>
                      <a:off x="0" y="0"/>
                      <a:ext cx="5976000" cy="1946606"/>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The filter chain, from every student in both markets to the population StartPad can serve.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25"/>
        <w:gridCol w:w="4591"/>
        <w:gridCol w:w="2295"/>
      </w:tblGrid>
      <w:tr>
        <w:trPr>
          <w:tblHeader w:val="true"/>
        </w:trPr>
        <w:tc>
          <w:tcPr>
            <w:tcW w:type="dxa" w:w="252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Layer</w:t>
            </w:r>
          </w:p>
        </w:tc>
        <w:tc>
          <w:tcPr>
            <w:tcW w:type="dxa" w:w="45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Basis</w:t>
            </w:r>
          </w:p>
        </w:tc>
        <w:tc>
          <w:tcPr>
            <w:tcW w:type="dxa" w:w="229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r>
      <w:tr>
        <w:trPr>
          <w:cantSplit w:val="true"/>
        </w:trPr>
        <w:tc>
          <w:tcPr>
            <w:tcW w:type="dxa" w:w="252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Platform</w:t>
            </w:r>
          </w:p>
        </w:tc>
        <w:tc>
          <w:tcPr>
            <w:tcW w:type="dxa" w:w="45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820,828 people × $46</w:t>
            </w:r>
          </w:p>
        </w:tc>
        <w:tc>
          <w:tcPr>
            <w:tcW w:type="dxa" w:w="22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$37.5m</w:t>
            </w:r>
          </w:p>
        </w:tc>
      </w:tr>
      <w:tr>
        <w:trPr>
          <w:cantSplit w:val="true"/>
        </w:trPr>
        <w:tc>
          <w:tcPr>
            <w:tcW w:type="dxa" w:w="252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delivery</w:t>
            </w:r>
          </w:p>
        </w:tc>
        <w:tc>
          <w:tcPr>
            <w:tcW w:type="dxa" w:w="45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387 buying units × 2 cohorts × $7,500</w:t>
            </w:r>
          </w:p>
        </w:tc>
        <w:tc>
          <w:tcPr>
            <w:tcW w:type="dxa" w:w="22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$5.8m</w:t>
            </w:r>
          </w:p>
        </w:tc>
      </w:tr>
      <w:tr>
        <w:trPr>
          <w:cantSplit w:val="true"/>
        </w:trPr>
        <w:tc>
          <w:tcPr>
            <w:tcW w:type="dxa" w:w="252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Serviceable available market</w:t>
            </w:r>
          </w:p>
        </w:tc>
        <w:tc>
          <w:tcPr>
            <w:tcW w:type="dxa" w:w="4591"/>
            <w:shd w:val="clear" w:fill="CBF24A"/>
            <w:tcMar>
              <w:top w:w="73" w:type="dxa"/>
              <w:start w:w="90" w:type="dxa"/>
              <w:bottom w:w="73" w:type="dxa"/>
              <w:end w:w="79" w:type="dxa"/>
            </w:tcMar>
          </w:tcPr>
          <w:p>
            <w:pPr>
              <w:spacing w:after="0" w:line="288" w:lineRule="auto"/>
            </w:pPr>
          </w:p>
        </w:tc>
        <w:tc>
          <w:tcPr>
            <w:tcW w:type="dxa" w:w="229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$43.3m</w:t>
            </w:r>
          </w:p>
        </w:tc>
      </w:tr>
    </w:tbl>
    <w:p>
      <w:pPr>
        <w:keepLines w:val="true"/>
        <w:widowControl w:val="true"/>
        <w:spacing w:before="0" w:after="140" w:line="322" w:lineRule="auto"/>
      </w:pPr>
    </w:p>
    <w:p>
      <w:r>
        <w:br w:type="page"/>
      </w:r>
    </w:p>
    <w:p>
      <w:pPr>
        <w:keepNext/>
        <w:keepLines w:val="true"/>
        <w:widowControl w:val="true"/>
        <w:spacing w:before="300" w:after="100" w:line="288" w:lineRule="auto"/>
      </w:pPr>
      <w:r>
        <w:rPr>
          <w:rFonts w:ascii="Plus Jakarta Sans" w:hAnsi="Plus Jakarta Sans" w:cs="Segoe UI"/>
          <w:b/>
          <w:i w:val="0"/>
          <w:color w:val="0B0E14"/>
          <w:sz w:val="26"/>
          <w:szCs w:val="26"/>
        </w:rPr>
        <w:t>SOM — what we will capture, and why that number</w:t>
      </w:r>
    </w:p>
    <w:p>
      <w:pPr>
        <w:keepLines w:val="true"/>
        <w:widowControl w:val="true"/>
        <w:spacing w:before="0" w:after="100" w:line="322" w:lineRule="auto"/>
      </w:pPr>
      <w:r>
        <w:rPr>
          <w:rFonts w:ascii="Plus Jakarta Sans" w:hAnsi="Plus Jakarta Sans" w:cs="Segoe UI"/>
          <w:b w:val="0"/>
          <w:i w:val="0"/>
          <w:color w:val="0B0E14"/>
          <w:sz w:val="19"/>
          <w:szCs w:val="19"/>
        </w:rPr>
        <w:t>Year-one revenue is $597k, which is 1.38% of SAM. That figure is an output, not a target. It falls out of three counted quantities: 56 paid cohorts, which is what the facilitator establishment can physically deliver; 3,000 sponsored seats across two signed programme partnerships; and 34,005 free sign-ups from a named set of channels with a named budget.</w:t>
      </w:r>
    </w:p>
    <w:p>
      <w:pPr>
        <w:keepNext/>
        <w:spacing w:before="160" w:after="60"/>
        <w:jc w:val="center"/>
      </w:pPr>
      <w:r>
        <w:drawing>
          <wp:inline xmlns:a="http://schemas.openxmlformats.org/drawingml/2006/main" xmlns:pic="http://schemas.openxmlformats.org/drawingml/2006/picture">
            <wp:extent cx="5976000" cy="2169370"/>
            <wp:docPr id="5" name="Picture 5"/>
            <wp:cNvGraphicFramePr>
              <a:graphicFrameLocks noChangeAspect="1"/>
            </wp:cNvGraphicFramePr>
            <a:graphic>
              <a:graphicData uri="http://schemas.openxmlformats.org/drawingml/2006/picture">
                <pic:pic>
                  <pic:nvPicPr>
                    <pic:cNvPr id="0" name="tam_sam_som.png"/>
                    <pic:cNvPicPr/>
                  </pic:nvPicPr>
                  <pic:blipFill>
                    <a:blip r:embed="rId15"/>
                    <a:stretch>
                      <a:fillRect/>
                    </a:stretch>
                  </pic:blipFill>
                  <pic:spPr>
                    <a:xfrm>
                      <a:off x="0" y="0"/>
                      <a:ext cx="5976000" cy="2169370"/>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TAM, SAM and the year-one SOM. The gap between SAM and SOM is a delivery-capacity gap, not a demand gap.</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467"/>
        <w:gridCol w:w="4086"/>
        <w:gridCol w:w="1857"/>
      </w:tblGrid>
      <w:tr>
        <w:trPr>
          <w:tblHeader w:val="true"/>
        </w:trPr>
        <w:tc>
          <w:tcPr>
            <w:tcW w:type="dxa" w:w="346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Revenue line</w:t>
            </w:r>
          </w:p>
        </w:tc>
        <w:tc>
          <w:tcPr>
            <w:tcW w:type="dxa" w:w="40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Basis</w:t>
            </w:r>
          </w:p>
        </w:tc>
        <w:tc>
          <w:tcPr>
            <w:tcW w:type="dxa" w:w="185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one</w:t>
            </w:r>
          </w:p>
        </w:tc>
      </w:tr>
      <w:tr>
        <w:trPr>
          <w:cantSplit w:val="true"/>
        </w:trPr>
        <w:tc>
          <w:tcPr>
            <w:tcW w:type="dxa" w:w="34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Bootcamp cohorts (institutions)</w:t>
            </w:r>
          </w:p>
        </w:tc>
        <w:tc>
          <w:tcPr>
            <w:tcW w:type="dxa" w:w="40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 cohorts × $7,500</w:t>
            </w:r>
          </w:p>
        </w:tc>
        <w:tc>
          <w:tcPr>
            <w:tcW w:type="dxa" w:w="185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$420k</w:t>
            </w:r>
          </w:p>
        </w:tc>
      </w:tr>
      <w:tr>
        <w:trPr>
          <w:cantSplit w:val="true"/>
        </w:trPr>
        <w:tc>
          <w:tcPr>
            <w:tcW w:type="dxa" w:w="34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seats (NGO and government)</w:t>
            </w:r>
          </w:p>
        </w:tc>
        <w:tc>
          <w:tcPr>
            <w:tcW w:type="dxa" w:w="40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 seats × $35</w:t>
            </w:r>
          </w:p>
        </w:tc>
        <w:tc>
          <w:tcPr>
            <w:tcW w:type="dxa" w:w="185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$105k</w:t>
            </w:r>
          </w:p>
        </w:tc>
      </w:tr>
      <w:tr>
        <w:trPr>
          <w:cantSplit w:val="true"/>
        </w:trPr>
        <w:tc>
          <w:tcPr>
            <w:tcW w:type="dxa" w:w="34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Platform-only seats (programmes, incubators)</w:t>
            </w:r>
          </w:p>
        </w:tc>
        <w:tc>
          <w:tcPr>
            <w:tcW w:type="dxa" w:w="40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 partners × 60 seats × $40</w:t>
            </w:r>
          </w:p>
        </w:tc>
        <w:tc>
          <w:tcPr>
            <w:tcW w:type="dxa" w:w="185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$34k</w:t>
            </w:r>
          </w:p>
        </w:tc>
      </w:tr>
      <w:tr>
        <w:trPr>
          <w:cantSplit w:val="true"/>
        </w:trPr>
        <w:tc>
          <w:tcPr>
            <w:tcW w:type="dxa" w:w="34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 subscriptions (Pro and Team)</w:t>
            </w:r>
          </w:p>
        </w:tc>
        <w:tc>
          <w:tcPr>
            <w:tcW w:type="dxa" w:w="40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867 subscribers, half the year recognised</w:t>
            </w:r>
          </w:p>
        </w:tc>
        <w:tc>
          <w:tcPr>
            <w:tcW w:type="dxa" w:w="185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$39k</w:t>
            </w:r>
          </w:p>
        </w:tc>
      </w:tr>
      <w:tr>
        <w:trPr>
          <w:cantSplit w:val="true"/>
        </w:trPr>
        <w:tc>
          <w:tcPr>
            <w:tcW w:type="dxa" w:w="346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4086"/>
            <w:shd w:val="clear" w:fill="CBF24A"/>
            <w:tcMar>
              <w:top w:w="73" w:type="dxa"/>
              <w:start w:w="90" w:type="dxa"/>
              <w:bottom w:w="73" w:type="dxa"/>
              <w:end w:w="79" w:type="dxa"/>
            </w:tcMar>
          </w:tcPr>
          <w:p>
            <w:pPr>
              <w:spacing w:after="0" w:line="288" w:lineRule="auto"/>
            </w:pPr>
          </w:p>
        </w:tc>
        <w:tc>
          <w:tcPr>
            <w:tcW w:type="dxa" w:w="185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$597k</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Market context</w:t>
      </w:r>
    </w:p>
    <w:p>
      <w:pPr>
        <w:keepLines w:val="true"/>
        <w:widowControl w:val="true"/>
        <w:spacing w:before="0" w:after="100" w:line="322" w:lineRule="auto"/>
      </w:pPr>
      <w:r>
        <w:rPr>
          <w:rFonts w:ascii="Plus Jakarta Sans" w:hAnsi="Plus Jakarta Sans" w:cs="Segoe UI"/>
          <w:b w:val="0"/>
          <w:i w:val="0"/>
          <w:color w:val="0B0E14"/>
          <w:sz w:val="19"/>
          <w:szCs w:val="19"/>
        </w:rPr>
        <w:t>MENA startups raised a record $7.5bn across 647 deals in 2025. Saudi Arabia led at $5bn across 211 deals; Egypt was third at $263m across 89 deals, with deal count rising even as value fell after the currency devaluation. The capital is concentrating in the Gulf while the founder population concentrates in Egypt — which is exactly why the plan runs both markets at once rather than sequencing them.</w:t>
      </w:r>
    </w:p>
    <w:p>
      <w:pPr>
        <w:keepLines w:val="true"/>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A cautionary reading of the same data: Saudi Arabia and the UAE took 86% of regional capital in 2025. A platform that only served Egypt would be building founders for a market whose funding is shrinking. A platform that only served the Kingdom would be competing for a small, well-served cohort. Serving both is the position.</w:t>
      </w:r>
    </w:p>
    <w:p>
      <w:pPr>
        <w:keepNext/>
        <w:keepLines w:val="true"/>
        <w:widowControl w:val="true"/>
        <w:spacing w:before="300" w:after="100" w:line="288" w:lineRule="auto"/>
      </w:pPr>
      <w:r>
        <w:rPr>
          <w:rFonts w:ascii="Plus Jakarta Sans" w:hAnsi="Plus Jakarta Sans" w:cs="Segoe UI"/>
          <w:b/>
          <w:i w:val="0"/>
          <w:color w:val="0B0E14"/>
          <w:sz w:val="26"/>
          <w:szCs w:val="26"/>
        </w:rPr>
        <w:t>Sensitivity</w:t>
      </w:r>
    </w:p>
    <w:p>
      <w:pPr>
        <w:keepLines w:val="true"/>
        <w:widowControl w:val="true"/>
        <w:spacing w:before="0" w:after="100" w:line="322" w:lineRule="auto"/>
      </w:pPr>
      <w:r>
        <w:rPr>
          <w:rFonts w:ascii="Plus Jakarta Sans" w:hAnsi="Plus Jakarta Sans" w:cs="Segoe UI"/>
          <w:b w:val="0"/>
          <w:i w:val="0"/>
          <w:color w:val="0B0E14"/>
          <w:sz w:val="19"/>
          <w:szCs w:val="19"/>
        </w:rPr>
        <w:t>The three assumptions the model is most exposed to, and what happens when each is wrong by a third.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724"/>
        <w:gridCol w:w="1609"/>
        <w:gridCol w:w="2105"/>
        <w:gridCol w:w="2972"/>
      </w:tblGrid>
      <w:tr>
        <w:trPr>
          <w:tblHeader w:val="true"/>
        </w:trPr>
        <w:tc>
          <w:tcPr>
            <w:tcW w:type="dxa" w:w="272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Assumption</w:t>
            </w:r>
          </w:p>
        </w:tc>
        <w:tc>
          <w:tcPr>
            <w:tcW w:type="dxa" w:w="161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Plan</w:t>
            </w:r>
          </w:p>
        </w:tc>
        <w:tc>
          <w:tcPr>
            <w:tcW w:type="dxa" w:w="210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If a third worse</w:t>
            </w:r>
          </w:p>
        </w:tc>
        <w:tc>
          <w:tcPr>
            <w:tcW w:type="dxa" w:w="297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Effect on year-one revenue</w:t>
            </w:r>
          </w:p>
        </w:tc>
      </w:tr>
      <w:tr>
        <w:trPr>
          <w:cantSplit w:val="true"/>
        </w:trPr>
        <w:tc>
          <w:tcPr>
            <w:tcW w:type="dxa" w:w="272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 price</w:t>
            </w:r>
          </w:p>
        </w:tc>
        <w:tc>
          <w:tcPr>
            <w:tcW w:type="dxa" w:w="161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$7,500</w:t>
            </w:r>
          </w:p>
        </w:tc>
        <w:tc>
          <w:tcPr>
            <w:tcW w:type="dxa" w:w="210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$5,025</w:t>
            </w:r>
          </w:p>
        </w:tc>
        <w:tc>
          <w:tcPr>
            <w:tcW w:type="dxa" w:w="297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−$139k</w:t>
            </w:r>
          </w:p>
        </w:tc>
      </w:tr>
      <w:tr>
        <w:trPr>
          <w:cantSplit w:val="true"/>
        </w:trPr>
        <w:tc>
          <w:tcPr>
            <w:tcW w:type="dxa" w:w="272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Cohorts delivered</w:t>
            </w:r>
          </w:p>
        </w:tc>
        <w:tc>
          <w:tcPr>
            <w:tcW w:type="dxa" w:w="161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w:t>
            </w:r>
          </w:p>
        </w:tc>
        <w:tc>
          <w:tcPr>
            <w:tcW w:type="dxa" w:w="210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w:t>
            </w:r>
          </w:p>
        </w:tc>
        <w:tc>
          <w:tcPr>
            <w:tcW w:type="dxa" w:w="297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−$139k</w:t>
            </w:r>
          </w:p>
        </w:tc>
      </w:tr>
      <w:tr>
        <w:trPr>
          <w:cantSplit w:val="true"/>
        </w:trPr>
        <w:tc>
          <w:tcPr>
            <w:tcW w:type="dxa" w:w="272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seats signed</w:t>
            </w:r>
          </w:p>
        </w:tc>
        <w:tc>
          <w:tcPr>
            <w:tcW w:type="dxa" w:w="161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w:t>
            </w:r>
          </w:p>
        </w:tc>
        <w:tc>
          <w:tcPr>
            <w:tcW w:type="dxa" w:w="210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2,010</w:t>
            </w:r>
          </w:p>
        </w:tc>
        <w:tc>
          <w:tcPr>
            <w:tcW w:type="dxa" w:w="297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−$35k</w:t>
            </w:r>
          </w:p>
        </w:tc>
      </w:tr>
    </w:tbl>
    <w:p>
      <w:pPr>
        <w:keepLines w:val="true"/>
        <w:widowControl w:val="true"/>
        <w:spacing w:before="0" w:after="140" w:line="322" w:lineRule="auto"/>
      </w:pPr>
    </w:p>
    <w:p>
      <w:pPr>
        <w:keepLines w:val="true"/>
        <w:widowControl w:val="true"/>
        <w:spacing w:before="0" w:after="100" w:line="322" w:lineRule="auto"/>
      </w:pPr>
      <w:r>
        <w:rPr>
          <w:rFonts w:ascii="Plus Jakarta Sans" w:hAnsi="Plus Jakarta Sans" w:cs="Segoe UI"/>
          <w:b w:val="0"/>
          <w:i w:val="0"/>
          <w:color w:val="0B0E14"/>
          <w:sz w:val="19"/>
          <w:szCs w:val="19"/>
        </w:rPr>
        <w:t>All three are institutional. None of them is the subscription business, which is a rounding error in year one. The company's risk is concentrated in whether universities and programmes sign and renew — which is the right risk to carry, because it is the one the operating plan can act on.</w:t>
      </w:r>
    </w:p>
    <w:p>
      <w:pPr>
        <w:keepNext/>
        <w:pageBreakBefore w:val="true"/>
        <w:spacing w:before="0" w:after="20"/>
      </w:pPr>
      <w:r>
        <w:rPr>
          <w:rFonts w:ascii="Plus Jakarta Sans" w:hAnsi="Plus Jakarta Sans" w:cs="Segoe UI"/>
          <w:b/>
          <w:i w:val="0"/>
          <w:color w:val="3418E0"/>
          <w:spacing w:val="28"/>
          <w:sz w:val="16"/>
          <w:szCs w:val="16"/>
        </w:rPr>
        <w:t>SECTION 04</w:t>
      </w:r>
    </w:p>
    <w:p>
      <w:pPr>
        <w:keepNext/>
        <w:spacing w:before="40" w:after="120"/>
      </w:pPr>
      <w:r>
        <w:rPr>
          <w:rFonts w:ascii="Plus Jakarta Sans" w:hAnsi="Plus Jakarta Sans" w:cs="Segoe UI"/>
          <w:b/>
          <w:i w:val="0"/>
          <w:color w:val="0B0E14"/>
          <w:sz w:val="42"/>
          <w:szCs w:val="42"/>
        </w:rPr>
        <w:t>Competition and positioning</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What a founder uses instead of StartPad today, and why none of it closes the gap the three failure statistics describe.</w:t>
      </w:r>
    </w:p>
    <w:p>
      <w:pPr>
        <w:keepNext/>
        <w:keepLines w:val="true"/>
        <w:widowControl w:val="true"/>
        <w:spacing w:before="300" w:after="100" w:line="288" w:lineRule="auto"/>
      </w:pPr>
      <w:r>
        <w:rPr>
          <w:rFonts w:ascii="Plus Jakarta Sans" w:hAnsi="Plus Jakarta Sans" w:cs="Segoe UI"/>
          <w:b/>
          <w:i w:val="0"/>
          <w:color w:val="0B0E14"/>
          <w:sz w:val="26"/>
          <w:szCs w:val="26"/>
        </w:rPr>
        <w:t>The alternatives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091"/>
        <w:gridCol w:w="3660"/>
        <w:gridCol w:w="3660"/>
      </w:tblGrid>
      <w:tr>
        <w:trPr>
          <w:tblHeader w:val="true"/>
        </w:trPr>
        <w:tc>
          <w:tcPr>
            <w:tcW w:type="dxa" w:w="2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Dimension</w:t>
            </w:r>
          </w:p>
        </w:tc>
        <w:tc>
          <w:tcPr>
            <w:tcW w:type="dxa" w:w="366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Generic templates and guides</w:t>
            </w:r>
          </w:p>
        </w:tc>
        <w:tc>
          <w:tcPr>
            <w:tcW w:type="dxa" w:w="366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StartPad</w:t>
            </w:r>
          </w:p>
        </w:tc>
      </w:tr>
      <w:tr>
        <w:trPr>
          <w:cantSplit w:val="true"/>
        </w:trPr>
        <w:tc>
          <w:tcPr>
            <w:tcW w:type="dxa" w:w="209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Structure</w:t>
            </w:r>
          </w:p>
        </w:tc>
        <w:tc>
          <w:tcPr>
            <w:tcW w:type="dxa" w:w="36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list of things to consider</w:t>
            </w:r>
          </w:p>
        </w:tc>
        <w:tc>
          <w:tcPr>
            <w:tcW w:type="dxa" w:w="36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Fifteen sequenced missions</w:t>
            </w:r>
          </w:p>
        </w:tc>
      </w:tr>
      <w:tr>
        <w:trPr>
          <w:cantSplit w:val="true"/>
        </w:trPr>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AI</w:t>
            </w:r>
          </w:p>
        </w:tc>
        <w:tc>
          <w:tcPr>
            <w:tcW w:type="dxa" w:w="36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None, or a bolted-on chatbot</w:t>
            </w:r>
          </w:p>
        </w:tc>
        <w:tc>
          <w:tcPr>
            <w:tcW w:type="dxa" w:w="36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co-founder inside every mission</w:t>
            </w:r>
          </w:p>
        </w:tc>
      </w:tr>
      <w:tr>
        <w:trPr>
          <w:cantSplit w:val="true"/>
        </w:trPr>
        <w:tc>
          <w:tcPr>
            <w:tcW w:type="dxa" w:w="209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Motivation</w:t>
            </w:r>
          </w:p>
        </w:tc>
        <w:tc>
          <w:tcPr>
            <w:tcW w:type="dxa" w:w="36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None built in</w:t>
            </w:r>
          </w:p>
        </w:tc>
        <w:tc>
          <w:tcPr>
            <w:tcW w:type="dxa" w:w="36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Points, levels, streaks</w:t>
            </w:r>
          </w:p>
        </w:tc>
      </w:tr>
      <w:tr>
        <w:trPr>
          <w:cantSplit w:val="true"/>
        </w:trPr>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Tools</w:t>
            </w:r>
          </w:p>
        </w:tc>
        <w:tc>
          <w:tcPr>
            <w:tcW w:type="dxa" w:w="36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Scattered across ten-plus sites</w:t>
            </w:r>
          </w:p>
        </w:tc>
        <w:tc>
          <w:tcPr>
            <w:tcW w:type="dxa" w:w="36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121, mapped to the journey</w:t>
            </w:r>
          </w:p>
        </w:tc>
      </w:tr>
      <w:tr>
        <w:trPr>
          <w:cantSplit w:val="true"/>
        </w:trPr>
        <w:tc>
          <w:tcPr>
            <w:tcW w:type="dxa" w:w="209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Region</w:t>
            </w:r>
          </w:p>
        </w:tc>
        <w:tc>
          <w:tcPr>
            <w:tcW w:type="dxa" w:w="36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US-built, translated if at all</w:t>
            </w:r>
          </w:p>
        </w:tc>
        <w:tc>
          <w:tcPr>
            <w:tcW w:type="dxa" w:w="36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MENA-built, bilingual</w:t>
            </w:r>
          </w:p>
        </w:tc>
      </w:tr>
      <w:tr>
        <w:trPr>
          <w:cantSplit w:val="true"/>
        </w:trPr>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Evidence</w:t>
            </w:r>
          </w:p>
        </w:tc>
        <w:tc>
          <w:tcPr>
            <w:tcW w:type="dxa" w:w="36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 is recorded</w:t>
            </w:r>
          </w:p>
        </w:tc>
        <w:tc>
          <w:tcPr>
            <w:tcW w:type="dxa" w:w="36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answer reviewed and scored</w:t>
            </w:r>
          </w:p>
        </w:tc>
      </w:tr>
      <w:tr>
        <w:trPr>
          <w:cantSplit w:val="true"/>
        </w:trPr>
        <w:tc>
          <w:tcPr>
            <w:tcW w:type="dxa" w:w="209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For the institution</w:t>
            </w:r>
          </w:p>
        </w:tc>
        <w:tc>
          <w:tcPr>
            <w:tcW w:type="dxa" w:w="36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visibility at all</w:t>
            </w:r>
          </w:p>
        </w:tc>
        <w:tc>
          <w:tcPr>
            <w:tcW w:type="dxa" w:w="36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workspace and a decision-ready report</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The competitive set, honestly</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Online course platforms (Coursera, Udemy, local equivalents)</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Cheaper and broader. They sell completion, not evidence, and an institution cannot report a cohort outcome from a course certificate. We lose on price and win on what the buyer actually needs to show.</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Incubator and accelerator programmes</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They select founders; we prepare them. In practice they are channel rather than competition — a better-prepared applicant pool is the thing they most want, which is why the partnership motion sells to them rather than against them.</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University entrepreneurship centres running their own programmes</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real incumbent, and the one to respect. They have the room, the students and the budget. We beat an in-house programme on method, bilingual content, the evidence trail and the reporting line — and we should enter as the thing that makes their centre look good, never as its replacement.</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Consultancies selling training days</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Comparable or higher day rates with no platform underneath, nothing left behind after the trainer leaves, and no cohort record. This is the comparison that makes the cohort price look cheap, and it is the one to put in front of a dean.</w:t>
      </w:r>
    </w:p>
    <w:p>
      <w:pPr>
        <w:keepLines w:val="true"/>
        <w:widowControl w:val="true"/>
        <w:spacing w:before="240" w:after="240" w:line="302" w:lineRule="auto"/>
        <w:ind w:left="227"/>
      </w:pPr>
      <w:r>
        <w:rPr>
          <w:rFonts w:ascii="Plus Jakarta Sans" w:hAnsi="Plus Jakarta Sans" w:cs="Segoe UI"/>
          <w:b/>
          <w:i w:val="0"/>
          <w:color w:val="3418E0"/>
          <w:sz w:val="27"/>
          <w:szCs w:val="27"/>
        </w:rPr>
        <w:t>We do not win by being the best content. We win by being the only option that leaves an institution with something it can report.</w:t>
      </w:r>
    </w:p>
    <w:p>
      <w:pPr>
        <w:keepNext/>
        <w:pageBreakBefore w:val="true"/>
        <w:spacing w:before="0" w:after="20"/>
      </w:pPr>
      <w:r>
        <w:rPr>
          <w:rFonts w:ascii="Plus Jakarta Sans" w:hAnsi="Plus Jakarta Sans" w:cs="Segoe UI"/>
          <w:b/>
          <w:i w:val="0"/>
          <w:color w:val="3418E0"/>
          <w:spacing w:val="28"/>
          <w:sz w:val="16"/>
          <w:szCs w:val="16"/>
        </w:rPr>
        <w:t>SECTION 05</w:t>
      </w:r>
    </w:p>
    <w:p>
      <w:pPr>
        <w:keepNext/>
        <w:spacing w:before="40" w:after="120"/>
      </w:pPr>
      <w:r>
        <w:rPr>
          <w:rFonts w:ascii="Plus Jakarta Sans" w:hAnsi="Plus Jakarta Sans" w:cs="Segoe UI"/>
          <w:b/>
          <w:i w:val="0"/>
          <w:color w:val="0B0E14"/>
          <w:sz w:val="42"/>
          <w:szCs w:val="42"/>
        </w:rPr>
        <w:t>Business model and pricing</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Founders climb a ladder; organisations license seats. Two engines on one platform, with the institutional engine carrying the revenue and the founder engine carrying the proof.</w:t>
      </w:r>
    </w:p>
    <w:p>
      <w:pPr>
        <w:keepNext/>
        <w:keepLines w:val="true"/>
        <w:widowControl w:val="true"/>
        <w:spacing w:before="300" w:after="100" w:line="288" w:lineRule="auto"/>
      </w:pPr>
      <w:r>
        <w:rPr>
          <w:rFonts w:ascii="Plus Jakarta Sans" w:hAnsi="Plus Jakarta Sans" w:cs="Segoe UI"/>
          <w:b/>
          <w:i w:val="0"/>
          <w:color w:val="0B0E14"/>
          <w:sz w:val="26"/>
          <w:szCs w:val="26"/>
        </w:rPr>
        <w:t>The price list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817"/>
        <w:gridCol w:w="2077"/>
        <w:gridCol w:w="3635"/>
        <w:gridCol w:w="1882"/>
      </w:tblGrid>
      <w:tr>
        <w:trPr>
          <w:tblHeader w:val="true"/>
        </w:trPr>
        <w:tc>
          <w:tcPr>
            <w:tcW w:type="dxa" w:w="181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Line</w:t>
            </w:r>
          </w:p>
        </w:tc>
        <w:tc>
          <w:tcPr>
            <w:tcW w:type="dxa" w:w="207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buys</w:t>
            </w:r>
          </w:p>
        </w:tc>
        <w:tc>
          <w:tcPr>
            <w:tcW w:type="dxa" w:w="363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get</w:t>
            </w:r>
          </w:p>
        </w:tc>
        <w:tc>
          <w:tcPr>
            <w:tcW w:type="dxa" w:w="188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Price</w:t>
            </w:r>
          </w:p>
        </w:tc>
      </w:tr>
      <w:tr>
        <w:trPr>
          <w:cantSplit w:val="true"/>
        </w:trPr>
        <w:tc>
          <w:tcPr>
            <w:tcW w:type="dxa" w:w="181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Start</w:t>
            </w:r>
          </w:p>
        </w:tc>
        <w:tc>
          <w:tcPr>
            <w:tcW w:type="dxa" w:w="207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Founder</w:t>
            </w:r>
          </w:p>
        </w:tc>
        <w:tc>
          <w:tcPr>
            <w:tcW w:type="dxa" w:w="36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first three missions</w:t>
            </w:r>
          </w:p>
        </w:tc>
        <w:tc>
          <w:tcPr>
            <w:tcW w:type="dxa" w:w="188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Free</w:t>
            </w:r>
          </w:p>
        </w:tc>
      </w:tr>
      <w:tr>
        <w:trPr>
          <w:cantSplit w:val="true"/>
        </w:trPr>
        <w:tc>
          <w:tcPr>
            <w:tcW w:type="dxa" w:w="181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w:t>
            </w:r>
          </w:p>
        </w:tc>
        <w:tc>
          <w:tcPr>
            <w:tcW w:type="dxa" w:w="207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Founder</w:t>
            </w:r>
          </w:p>
        </w:tc>
        <w:tc>
          <w:tcPr>
            <w:tcW w:type="dxa" w:w="36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Full access, all fifteen missions</w:t>
            </w:r>
          </w:p>
        </w:tc>
        <w:tc>
          <w:tcPr>
            <w:tcW w:type="dxa" w:w="188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 / year</w:t>
            </w:r>
          </w:p>
        </w:tc>
      </w:tr>
      <w:tr>
        <w:trPr>
          <w:cantSplit w:val="true"/>
        </w:trPr>
        <w:tc>
          <w:tcPr>
            <w:tcW w:type="dxa" w:w="181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Team</w:t>
            </w:r>
          </w:p>
        </w:tc>
        <w:tc>
          <w:tcPr>
            <w:tcW w:type="dxa" w:w="207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founding team</w:t>
            </w:r>
          </w:p>
        </w:tc>
        <w:tc>
          <w:tcPr>
            <w:tcW w:type="dxa" w:w="36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bundle for the whole team</w:t>
            </w:r>
          </w:p>
        </w:tc>
        <w:tc>
          <w:tcPr>
            <w:tcW w:type="dxa" w:w="188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$179 / year</w:t>
            </w:r>
          </w:p>
        </w:tc>
      </w:tr>
      <w:tr>
        <w:trPr>
          <w:cantSplit w:val="true"/>
        </w:trPr>
        <w:tc>
          <w:tcPr>
            <w:tcW w:type="dxa" w:w="181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w:t>
            </w:r>
          </w:p>
        </w:tc>
        <w:tc>
          <w:tcPr>
            <w:tcW w:type="dxa" w:w="207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University or faculty</w:t>
            </w:r>
          </w:p>
        </w:tc>
        <w:tc>
          <w:tcPr>
            <w:tcW w:type="dxa" w:w="36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 bootcamp days, workshops, 25 seats, judging and the cohort report</w:t>
            </w:r>
          </w:p>
        </w:tc>
        <w:tc>
          <w:tcPr>
            <w:tcW w:type="dxa" w:w="188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$7,500 / cohort</w:t>
            </w:r>
          </w:p>
        </w:tc>
      </w:tr>
      <w:tr>
        <w:trPr>
          <w:cantSplit w:val="true"/>
        </w:trPr>
        <w:tc>
          <w:tcPr>
            <w:tcW w:type="dxa" w:w="181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Seats</w:t>
            </w:r>
          </w:p>
        </w:tc>
        <w:tc>
          <w:tcPr>
            <w:tcW w:type="dxa" w:w="207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or incubator</w:t>
            </w:r>
          </w:p>
        </w:tc>
        <w:tc>
          <w:tcPr>
            <w:tcW w:type="dxa" w:w="36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Platform seats where the partner facilitates</w:t>
            </w:r>
          </w:p>
        </w:tc>
        <w:tc>
          <w:tcPr>
            <w:tcW w:type="dxa" w:w="188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 / seat / term</w:t>
            </w:r>
          </w:p>
        </w:tc>
      </w:tr>
      <w:tr>
        <w:trPr>
          <w:cantSplit w:val="true"/>
        </w:trPr>
        <w:tc>
          <w:tcPr>
            <w:tcW w:type="dxa" w:w="181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seats</w:t>
            </w:r>
          </w:p>
        </w:tc>
        <w:tc>
          <w:tcPr>
            <w:tcW w:type="dxa" w:w="207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NGO, donor or government programme</w:t>
            </w:r>
          </w:p>
        </w:tc>
        <w:tc>
          <w:tcPr>
            <w:tcW w:type="dxa" w:w="36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Seats bought in volume for a funded cohort</w:t>
            </w:r>
          </w:p>
        </w:tc>
        <w:tc>
          <w:tcPr>
            <w:tcW w:type="dxa" w:w="188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 / seat</w:t>
            </w:r>
          </w:p>
        </w:tc>
      </w:tr>
      <w:tr>
        <w:trPr>
          <w:cantSplit w:val="true"/>
        </w:trPr>
        <w:tc>
          <w:tcPr>
            <w:tcW w:type="dxa" w:w="181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licence</w:t>
            </w:r>
          </w:p>
        </w:tc>
        <w:tc>
          <w:tcPr>
            <w:tcW w:type="dxa" w:w="207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whole faculty</w:t>
            </w:r>
          </w:p>
        </w:tc>
        <w:tc>
          <w:tcPr>
            <w:tcW w:type="dxa" w:w="36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student for an academic year</w:t>
            </w:r>
          </w:p>
        </w:tc>
        <w:tc>
          <w:tcPr>
            <w:tcW w:type="dxa" w:w="188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$25,000 / year</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Why the cohort price is what it is</w:t>
      </w:r>
    </w:p>
    <w:p>
      <w:pPr>
        <w:keepLines w:val="true"/>
        <w:widowControl w:val="true"/>
        <w:spacing w:before="0" w:after="100" w:line="322" w:lineRule="auto"/>
      </w:pPr>
      <w:r>
        <w:rPr>
          <w:rFonts w:ascii="Plus Jakarta Sans" w:hAnsi="Plus Jakarta Sans" w:cs="Segoe UI"/>
          <w:b w:val="0"/>
          <w:i w:val="0"/>
          <w:color w:val="0B0E14"/>
          <w:sz w:val="19"/>
          <w:szCs w:val="19"/>
        </w:rPr>
        <w:t>$7,500 across 25 students is $300 a student. The same institution pays more than that per student for a single day with an external trainer who leaves nothing behind. The price is anchored against that comparison, not against a software subscription, because the buyer is the person with a training budget and not the person with an IT budget.</w:t>
      </w:r>
    </w:p>
    <w:p>
      <w:pPr>
        <w:keepNext/>
        <w:spacing w:before="160" w:after="60"/>
        <w:jc w:val="center"/>
      </w:pPr>
      <w:r>
        <w:drawing>
          <wp:inline xmlns:a="http://schemas.openxmlformats.org/drawingml/2006/main" xmlns:pic="http://schemas.openxmlformats.org/drawingml/2006/picture">
            <wp:extent cx="5976000" cy="1619811"/>
            <wp:docPr id="6" name="Picture 6"/>
            <wp:cNvGraphicFramePr>
              <a:graphicFrameLocks noChangeAspect="1"/>
            </wp:cNvGraphicFramePr>
            <a:graphic>
              <a:graphicData uri="http://schemas.openxmlformats.org/drawingml/2006/picture">
                <pic:pic>
                  <pic:nvPicPr>
                    <pic:cNvPr id="0" name="cohort_economics.png"/>
                    <pic:cNvPicPr/>
                  </pic:nvPicPr>
                  <pic:blipFill>
                    <a:blip r:embed="rId16"/>
                    <a:stretch>
                      <a:fillRect/>
                    </a:stretch>
                  </pic:blipFill>
                  <pic:spPr>
                    <a:xfrm>
                      <a:off x="0" y="0"/>
                      <a:ext cx="5976000" cy="1619811"/>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Where a cohort's $7,500 goes. Facilitation is the only significant variable cost, which is what holds the margin at 71% as volume grows.</w:t>
      </w:r>
    </w:p>
    <w:p>
      <w:pPr>
        <w:keepNext/>
        <w:keepLines w:val="true"/>
        <w:widowControl w:val="true"/>
        <w:spacing w:before="300" w:after="100" w:line="288" w:lineRule="auto"/>
      </w:pPr>
      <w:r>
        <w:rPr>
          <w:rFonts w:ascii="Plus Jakarta Sans" w:hAnsi="Plus Jakarta Sans" w:cs="Segoe UI"/>
          <w:b/>
          <w:i w:val="0"/>
          <w:color w:val="0B0E14"/>
          <w:sz w:val="26"/>
          <w:szCs w:val="26"/>
        </w:rPr>
        <w:t>Unit economics, both engines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50"/>
        <w:gridCol w:w="3231"/>
        <w:gridCol w:w="3231"/>
      </w:tblGrid>
      <w:tr>
        <w:trPr>
          <w:tblHeader w:val="true"/>
        </w:trPr>
        <w:tc>
          <w:tcPr>
            <w:tcW w:type="dxa" w:w="2950"/>
            <w:shd w:val="clear" w:fill="0B0E14"/>
            <w:tcMar>
              <w:top w:w="79" w:type="dxa"/>
              <w:start w:w="90" w:type="dxa"/>
              <w:bottom w:w="79" w:type="dxa"/>
              <w:end w:w="79" w:type="dxa"/>
            </w:tcMar>
          </w:tcPr>
          <w:p>
            <w:pPr>
              <w:spacing w:after="0" w:line="278" w:lineRule="auto"/>
            </w:pPr>
          </w:p>
        </w:tc>
        <w:tc>
          <w:tcPr>
            <w:tcW w:type="dxa" w:w="323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Institutional cohort</w:t>
            </w:r>
          </w:p>
        </w:tc>
        <w:tc>
          <w:tcPr>
            <w:tcW w:type="dxa" w:w="323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Founder subscription</w:t>
            </w:r>
          </w:p>
        </w:tc>
      </w:tr>
      <w:tr>
        <w:trPr>
          <w:cantSplit w:val="true"/>
        </w:trPr>
        <w:tc>
          <w:tcPr>
            <w:tcW w:type="dxa" w:w="295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w:t>
            </w:r>
          </w:p>
        </w:tc>
        <w:tc>
          <w:tcPr>
            <w:tcW w:type="dxa" w:w="323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$7,500</w:t>
            </w:r>
          </w:p>
        </w:tc>
        <w:tc>
          <w:tcPr>
            <w:tcW w:type="dxa" w:w="323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$89 / year</w:t>
            </w:r>
          </w:p>
        </w:tc>
      </w:tr>
      <w:tr>
        <w:trPr>
          <w:cantSplit w:val="true"/>
        </w:trPr>
        <w:tc>
          <w:tcPr>
            <w:tcW w:type="dxa" w:w="295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Direct cost</w:t>
            </w:r>
          </w:p>
        </w:tc>
        <w:tc>
          <w:tcPr>
            <w:tcW w:type="dxa" w:w="323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$2,190</w:t>
            </w:r>
          </w:p>
        </w:tc>
        <w:tc>
          <w:tcPr>
            <w:tcW w:type="dxa" w:w="323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r>
      <w:tr>
        <w:trPr>
          <w:cantSplit w:val="true"/>
        </w:trPr>
        <w:tc>
          <w:tcPr>
            <w:tcW w:type="dxa" w:w="295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Gross profit</w:t>
            </w:r>
          </w:p>
        </w:tc>
        <w:tc>
          <w:tcPr>
            <w:tcW w:type="dxa" w:w="323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$5,310</w:t>
            </w:r>
          </w:p>
        </w:tc>
        <w:tc>
          <w:tcPr>
            <w:tcW w:type="dxa" w:w="323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$78</w:t>
            </w:r>
          </w:p>
        </w:tc>
      </w:tr>
      <w:tr>
        <w:trPr>
          <w:cantSplit w:val="true"/>
        </w:trPr>
        <w:tc>
          <w:tcPr>
            <w:tcW w:type="dxa" w:w="295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Gross margin</w:t>
            </w:r>
          </w:p>
        </w:tc>
        <w:tc>
          <w:tcPr>
            <w:tcW w:type="dxa" w:w="323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71%</w:t>
            </w:r>
          </w:p>
        </w:tc>
        <w:tc>
          <w:tcPr>
            <w:tcW w:type="dxa" w:w="323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88%</w:t>
            </w:r>
          </w:p>
        </w:tc>
      </w:tr>
      <w:tr>
        <w:trPr>
          <w:cantSplit w:val="true"/>
        </w:trPr>
        <w:tc>
          <w:tcPr>
            <w:tcW w:type="dxa" w:w="295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Typical life</w:t>
            </w:r>
          </w:p>
        </w:tc>
        <w:tc>
          <w:tcPr>
            <w:tcW w:type="dxa" w:w="323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 years, two cohorts a year</w:t>
            </w:r>
          </w:p>
        </w:tc>
        <w:tc>
          <w:tcPr>
            <w:tcW w:type="dxa" w:w="323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 years</w:t>
            </w:r>
          </w:p>
        </w:tc>
      </w:tr>
      <w:tr>
        <w:trPr>
          <w:cantSplit w:val="true"/>
        </w:trPr>
        <w:tc>
          <w:tcPr>
            <w:tcW w:type="dxa" w:w="295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Lifetime gross profit</w:t>
            </w:r>
          </w:p>
        </w:tc>
        <w:tc>
          <w:tcPr>
            <w:tcW w:type="dxa" w:w="323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$30k</w:t>
            </w:r>
          </w:p>
        </w:tc>
        <w:tc>
          <w:tcPr>
            <w:tcW w:type="dxa" w:w="323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$125</w:t>
            </w:r>
          </w:p>
        </w:tc>
      </w:tr>
      <w:tr>
        <w:trPr>
          <w:cantSplit w:val="true"/>
        </w:trPr>
        <w:tc>
          <w:tcPr>
            <w:tcW w:type="dxa" w:w="295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timing</w:t>
            </w:r>
          </w:p>
        </w:tc>
        <w:tc>
          <w:tcPr>
            <w:tcW w:type="dxa" w:w="323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Invoiced before delivery</w:t>
            </w:r>
          </w:p>
        </w:tc>
        <w:tc>
          <w:tcPr>
            <w:tcW w:type="dxa" w:w="323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Annual, paid upfront</w:t>
            </w:r>
          </w:p>
        </w:tc>
      </w:tr>
    </w:tbl>
    <w:p>
      <w:pPr>
        <w:keepLines w:val="true"/>
        <w:widowControl w:val="true"/>
        <w:spacing w:before="0" w:after="140" w:line="322" w:lineRule="auto"/>
      </w:pPr>
    </w:p>
    <w:p>
      <w:pPr>
        <w:keepLines w:val="true"/>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 xml:space="preserve">Working capital is </w:t>
      </w:r>
      <w:r>
        <w:rPr>
          <w:rFonts w:ascii="Plus Jakarta Sans" w:hAnsi="Plus Jakarta Sans" w:cs="Segoe UI"/>
          <w:b/>
          <w:i w:val="0"/>
          <w:color w:val="3A4050"/>
          <w:sz w:val="18"/>
          <w:szCs w:val="18"/>
        </w:rPr>
        <w:t>negative</w:t>
      </w:r>
      <w:r>
        <w:rPr>
          <w:rFonts w:ascii="Plus Jakarta Sans" w:hAnsi="Plus Jakarta Sans" w:cs="Segoe UI"/>
          <w:b w:val="0"/>
          <w:i w:val="0"/>
          <w:color w:val="3A4050"/>
          <w:sz w:val="18"/>
          <w:szCs w:val="18"/>
        </w:rPr>
        <w:t>. A cohort is invoiced before the bootcamp runs and the direct cost of $2,190 is incurred during delivery, so growth in the institutional line releases cash rather than consuming it. This is the single most important financial characteristic of the business and the reason the raise is $800k rather than several times that.</w:t>
      </w:r>
    </w:p>
    <w:p>
      <w:pPr>
        <w:keepNext/>
        <w:pageBreakBefore w:val="true"/>
        <w:spacing w:before="0" w:after="20"/>
      </w:pPr>
      <w:r>
        <w:rPr>
          <w:rFonts w:ascii="Plus Jakarta Sans" w:hAnsi="Plus Jakarta Sans" w:cs="Segoe UI"/>
          <w:b/>
          <w:i w:val="0"/>
          <w:color w:val="3418E0"/>
          <w:spacing w:val="28"/>
          <w:sz w:val="16"/>
          <w:szCs w:val="16"/>
        </w:rPr>
        <w:t>SECTION 06</w:t>
      </w:r>
    </w:p>
    <w:p>
      <w:pPr>
        <w:keepNext/>
        <w:spacing w:before="40" w:after="120"/>
      </w:pPr>
      <w:r>
        <w:rPr>
          <w:rFonts w:ascii="Plus Jakarta Sans" w:hAnsi="Plus Jakarta Sans" w:cs="Segoe UI"/>
          <w:b/>
          <w:i w:val="0"/>
          <w:color w:val="0B0E14"/>
          <w:sz w:val="42"/>
          <w:szCs w:val="42"/>
        </w:rPr>
        <w:t>Go-to-market plan</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Five moves, each unlocking the next, run across two markets from day one. Campus first, proof next, two markets at once.</w:t>
      </w:r>
    </w:p>
    <w:p>
      <w:pPr>
        <w:keepNext/>
        <w:spacing w:before="160" w:after="60"/>
        <w:jc w:val="center"/>
      </w:pPr>
      <w:r>
        <w:drawing>
          <wp:inline xmlns:a="http://schemas.openxmlformats.org/drawingml/2006/main" xmlns:pic="http://schemas.openxmlformats.org/drawingml/2006/picture">
            <wp:extent cx="5976000" cy="1923781"/>
            <wp:docPr id="7" name="Picture 7"/>
            <wp:cNvGraphicFramePr>
              <a:graphicFrameLocks noChangeAspect="1"/>
            </wp:cNvGraphicFramePr>
            <a:graphic>
              <a:graphicData uri="http://schemas.openxmlformats.org/drawingml/2006/picture">
                <pic:pic>
                  <pic:nvPicPr>
                    <pic:cNvPr id="0" name="gtm_moves.png"/>
                    <pic:cNvPicPr/>
                  </pic:nvPicPr>
                  <pic:blipFill>
                    <a:blip r:embed="rId17"/>
                    <a:stretch>
                      <a:fillRect/>
                    </a:stretch>
                  </pic:blipFill>
                  <pic:spPr>
                    <a:xfrm>
                      <a:off x="0" y="0"/>
                      <a:ext cx="5976000" cy="1923781"/>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The five moves and what each one unlocks. The order is load-bearing: each move is affordable only because the one before it happened.</w:t>
      </w:r>
    </w:p>
    <w:p>
      <w:pPr>
        <w:keepNext/>
        <w:keepLines w:val="true"/>
        <w:widowControl w:val="true"/>
        <w:spacing w:before="300" w:after="100" w:line="288" w:lineRule="auto"/>
      </w:pPr>
      <w:r>
        <w:rPr>
          <w:rFonts w:ascii="Plus Jakarta Sans" w:hAnsi="Plus Jakarta Sans" w:cs="Segoe UI"/>
          <w:b/>
          <w:i w:val="0"/>
          <w:color w:val="0B0E14"/>
          <w:sz w:val="26"/>
          <w:szCs w:val="26"/>
        </w:rPr>
        <w:t>The four phases of year one</w:t>
      </w:r>
    </w:p>
    <w:p>
      <w:pPr>
        <w:keepNext/>
        <w:spacing w:before="160" w:after="60"/>
        <w:jc w:val="center"/>
      </w:pPr>
      <w:r>
        <w:drawing>
          <wp:inline xmlns:a="http://schemas.openxmlformats.org/drawingml/2006/main" xmlns:pic="http://schemas.openxmlformats.org/drawingml/2006/picture">
            <wp:extent cx="5976000" cy="2660548"/>
            <wp:docPr id="8" name="Picture 8"/>
            <wp:cNvGraphicFramePr>
              <a:graphicFrameLocks noChangeAspect="1"/>
            </wp:cNvGraphicFramePr>
            <a:graphic>
              <a:graphicData uri="http://schemas.openxmlformats.org/drawingml/2006/picture">
                <pic:pic>
                  <pic:nvPicPr>
                    <pic:cNvPr id="0" name="phases.png"/>
                    <pic:cNvPicPr/>
                  </pic:nvPicPr>
                  <pic:blipFill>
                    <a:blip r:embed="rId18"/>
                    <a:stretch>
                      <a:fillRect/>
                    </a:stretch>
                  </pic:blipFill>
                  <pic:spPr>
                    <a:xfrm>
                      <a:off x="0" y="0"/>
                      <a:ext cx="5976000" cy="2660548"/>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Egypt and Saudi Arabia, in parallel, through four phases.</w:t>
      </w:r>
    </w:p>
    <w:p>
      <w:pPr>
        <w:keepNext/>
        <w:keepLines w:val="true"/>
        <w:widowControl w:val="true"/>
        <w:spacing w:before="300" w:after="100" w:line="288" w:lineRule="auto"/>
      </w:pPr>
      <w:r>
        <w:rPr>
          <w:rFonts w:ascii="Plus Jakarta Sans" w:hAnsi="Plus Jakarta Sans" w:cs="Segoe UI"/>
          <w:b/>
          <w:i w:val="0"/>
          <w:color w:val="0B0E14"/>
          <w:sz w:val="26"/>
          <w:szCs w:val="26"/>
        </w:rPr>
        <w:t>Move 01 — Universities, the first door</w:t>
      </w:r>
    </w:p>
    <w:p>
      <w:pPr>
        <w:keepLines w:val="true"/>
        <w:widowControl w:val="true"/>
        <w:spacing w:before="0" w:after="100" w:line="322" w:lineRule="auto"/>
      </w:pPr>
      <w:r>
        <w:rPr>
          <w:rFonts w:ascii="Plus Jakarta Sans" w:hAnsi="Plus Jakarta Sans" w:cs="Segoe UI"/>
          <w:b w:val="0"/>
          <w:i w:val="0"/>
          <w:color w:val="0B0E14"/>
          <w:sz w:val="19"/>
          <w:szCs w:val="19"/>
        </w:rPr>
        <w:t>Universities hold the students, the graduation projects and the credibility. There are four doors into every university and they want different things, so they are approached in this order and offered different first steps.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830"/>
        <w:gridCol w:w="2491"/>
        <w:gridCol w:w="3183"/>
        <w:gridCol w:w="2906"/>
      </w:tblGrid>
      <w:tr>
        <w:trPr>
          <w:tblHeader w:val="true"/>
        </w:trPr>
        <w:tc>
          <w:tcPr>
            <w:tcW w:type="dxa" w:w="83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Door</w:t>
            </w:r>
          </w:p>
        </w:tc>
        <w:tc>
          <w:tcPr>
            <w:tcW w:type="dxa" w:w="24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w:t>
            </w:r>
          </w:p>
        </w:tc>
        <w:tc>
          <w:tcPr>
            <w:tcW w:type="dxa" w:w="31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want</w:t>
            </w:r>
          </w:p>
        </w:tc>
        <w:tc>
          <w:tcPr>
            <w:tcW w:type="dxa" w:w="290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we offer first</w:t>
            </w:r>
          </w:p>
        </w:tc>
      </w:tr>
      <w:tr>
        <w:trPr>
          <w:cantSplit w:val="true"/>
        </w:trPr>
        <w:tc>
          <w:tcPr>
            <w:tcW w:type="dxa" w:w="83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01</w:t>
            </w:r>
          </w:p>
        </w:tc>
        <w:tc>
          <w:tcPr>
            <w:tcW w:type="dxa" w:w="24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Entrepreneurship centre</w:t>
            </w:r>
          </w:p>
        </w:tc>
        <w:tc>
          <w:tcPr>
            <w:tcW w:type="dxa" w:w="3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structured programme to show</w:t>
            </w:r>
          </w:p>
        </w:tc>
        <w:tc>
          <w:tcPr>
            <w:tcW w:type="dxa" w:w="29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free pilot cohort</w:t>
            </w:r>
          </w:p>
        </w:tc>
      </w:tr>
      <w:tr>
        <w:trPr>
          <w:cantSplit w:val="true"/>
        </w:trPr>
        <w:tc>
          <w:tcPr>
            <w:tcW w:type="dxa" w:w="83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02</w:t>
            </w:r>
          </w:p>
        </w:tc>
        <w:tc>
          <w:tcPr>
            <w:tcW w:type="dxa" w:w="24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Capstone coordinator</w:t>
            </w:r>
          </w:p>
        </w:tc>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method for graduation projects</w:t>
            </w:r>
          </w:p>
        </w:tc>
        <w:tc>
          <w:tcPr>
            <w:tcW w:type="dxa" w:w="29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Missions mapped to the term</w:t>
            </w:r>
          </w:p>
        </w:tc>
      </w:tr>
      <w:tr>
        <w:trPr>
          <w:cantSplit w:val="true"/>
        </w:trPr>
        <w:tc>
          <w:tcPr>
            <w:tcW w:type="dxa" w:w="83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03</w:t>
            </w:r>
          </w:p>
        </w:tc>
        <w:tc>
          <w:tcPr>
            <w:tcW w:type="dxa" w:w="24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Dean of faculty</w:t>
            </w:r>
          </w:p>
        </w:tc>
        <w:tc>
          <w:tcPr>
            <w:tcW w:type="dxa" w:w="3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Outcomes for accreditation</w:t>
            </w:r>
          </w:p>
        </w:tc>
        <w:tc>
          <w:tcPr>
            <w:tcW w:type="dxa" w:w="29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faculty-wide licence</w:t>
            </w:r>
          </w:p>
        </w:tc>
      </w:tr>
      <w:tr>
        <w:trPr>
          <w:cantSplit w:val="true"/>
        </w:trPr>
        <w:tc>
          <w:tcPr>
            <w:tcW w:type="dxa" w:w="83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04</w:t>
            </w:r>
          </w:p>
        </w:tc>
        <w:tc>
          <w:tcPr>
            <w:tcW w:type="dxa" w:w="24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Student activities</w:t>
            </w:r>
          </w:p>
        </w:tc>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Events that fill rooms</w:t>
            </w:r>
          </w:p>
        </w:tc>
        <w:tc>
          <w:tcPr>
            <w:tcW w:type="dxa" w:w="29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Workshops and competitions</w:t>
            </w:r>
          </w:p>
        </w:tc>
      </w:tr>
    </w:tbl>
    <w:p>
      <w:pPr>
        <w:keepLines w:val="true"/>
        <w:widowControl w:val="true"/>
        <w:spacing w:before="0" w:after="140" w:line="322" w:lineRule="auto"/>
      </w:pPr>
    </w:p>
    <w:p>
      <w:pPr>
        <w:keepLines w:val="true"/>
        <w:widowControl w:val="true"/>
        <w:spacing w:before="0" w:after="100" w:line="322" w:lineRule="auto"/>
      </w:pPr>
      <w:r>
        <w:rPr>
          <w:rFonts w:ascii="Plus Jakarta Sans" w:hAnsi="Plus Jakarta Sans" w:cs="Segoe UI"/>
          <w:b/>
          <w:i w:val="0"/>
          <w:color w:val="0B0E14"/>
          <w:sz w:val="19"/>
          <w:szCs w:val="19"/>
        </w:rPr>
        <w:t>Free pilots first, licences on results.</w:t>
      </w:r>
      <w:r>
        <w:rPr>
          <w:rFonts w:ascii="Plus Jakarta Sans" w:hAnsi="Plus Jakarta Sans" w:cs="Segoe UI"/>
          <w:b w:val="0"/>
          <w:i w:val="0"/>
          <w:color w:val="0B0E14"/>
          <w:sz w:val="19"/>
          <w:szCs w:val="19"/>
        </w:rPr>
        <w:t xml:space="preserve"> The pilot is not a discount — it is how the institution's own cohort report becomes the sales document for the licence. Four free pilots run in Egypt in the Land quarter and are the reason the Prove quarter has anything to sell.</w:t>
      </w:r>
    </w:p>
    <w:p>
      <w:pPr>
        <w:keepNext/>
        <w:keepLines w:val="true"/>
        <w:widowControl w:val="true"/>
        <w:spacing w:before="300" w:after="100" w:line="288" w:lineRule="auto"/>
      </w:pPr>
      <w:r>
        <w:rPr>
          <w:rFonts w:ascii="Plus Jakarta Sans" w:hAnsi="Plus Jakarta Sans" w:cs="Segoe UI"/>
          <w:b/>
          <w:i w:val="0"/>
          <w:color w:val="0B0E14"/>
          <w:sz w:val="26"/>
          <w:szCs w:val="26"/>
        </w:rPr>
        <w:t>How a deal happens</w:t>
      </w:r>
    </w:p>
    <w:p>
      <w:pPr>
        <w:keepNext/>
        <w:spacing w:before="160" w:after="60"/>
        <w:jc w:val="center"/>
      </w:pPr>
      <w:r>
        <w:drawing>
          <wp:inline xmlns:a="http://schemas.openxmlformats.org/drawingml/2006/main" xmlns:pic="http://schemas.openxmlformats.org/drawingml/2006/picture">
            <wp:extent cx="5976000" cy="1735496"/>
            <wp:docPr id="9" name="Picture 9"/>
            <wp:cNvGraphicFramePr>
              <a:graphicFrameLocks noChangeAspect="1"/>
            </wp:cNvGraphicFramePr>
            <a:graphic>
              <a:graphicData uri="http://schemas.openxmlformats.org/drawingml/2006/picture">
                <pic:pic>
                  <pic:nvPicPr>
                    <pic:cNvPr id="0" name="institution_workflow.png"/>
                    <pic:cNvPicPr/>
                  </pic:nvPicPr>
                  <pic:blipFill>
                    <a:blip r:embed="rId19"/>
                    <a:stretch>
                      <a:fillRect/>
                    </a:stretch>
                  </pic:blipFill>
                  <pic:spPr>
                    <a:xfrm>
                      <a:off x="0" y="0"/>
                      <a:ext cx="5976000" cy="1735496"/>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From identifying the right person to a cohort report, in six steps over seven weeks.</w:t>
      </w:r>
    </w:p>
    <w:p>
      <w:pPr>
        <w:keepLines w:val="true"/>
        <w:widowControl w:val="true"/>
        <w:spacing w:before="0" w:after="100" w:line="322" w:lineRule="auto"/>
      </w:pPr>
      <w:r>
        <w:rPr>
          <w:rFonts w:ascii="Plus Jakarta Sans" w:hAnsi="Plus Jakarta Sans" w:cs="Segoe UI"/>
          <w:b w:val="0"/>
          <w:i w:val="0"/>
          <w:color w:val="0B0E14"/>
          <w:sz w:val="19"/>
          <w:szCs w:val="19"/>
        </w:rPr>
        <w:t>One contract covers all three layers: the in-person bootcamp, the on-campus workshops and a platform seat for every student under one programme admin account. Selling the layers separately would triple the procurement cycle inside institutions where procurement is already the longest part of the sale.</w:t>
      </w:r>
    </w:p>
    <w:p>
      <w:pPr>
        <w:keepNext/>
        <w:keepLines w:val="true"/>
        <w:widowControl w:val="true"/>
        <w:spacing w:before="300" w:after="100" w:line="288" w:lineRule="auto"/>
      </w:pPr>
      <w:r>
        <w:rPr>
          <w:rFonts w:ascii="Plus Jakarta Sans" w:hAnsi="Plus Jakarta Sans" w:cs="Segoe UI"/>
          <w:b/>
          <w:i w:val="0"/>
          <w:color w:val="0B0E14"/>
          <w:sz w:val="26"/>
          <w:szCs w:val="26"/>
        </w:rPr>
        <w:t>How a cohort runs</w:t>
      </w:r>
    </w:p>
    <w:p>
      <w:pPr>
        <w:keepNext/>
        <w:spacing w:before="160" w:after="60"/>
        <w:jc w:val="center"/>
      </w:pPr>
      <w:r>
        <w:drawing>
          <wp:inline xmlns:a="http://schemas.openxmlformats.org/drawingml/2006/main" xmlns:pic="http://schemas.openxmlformats.org/drawingml/2006/picture">
            <wp:extent cx="5976000" cy="2009415"/>
            <wp:docPr id="10" name="Picture 10"/>
            <wp:cNvGraphicFramePr>
              <a:graphicFrameLocks noChangeAspect="1"/>
            </wp:cNvGraphicFramePr>
            <a:graphic>
              <a:graphicData uri="http://schemas.openxmlformats.org/drawingml/2006/picture">
                <pic:pic>
                  <pic:nvPicPr>
                    <pic:cNvPr id="0" name="bootcamp_map.png"/>
                    <pic:cNvPicPr/>
                  </pic:nvPicPr>
                  <pic:blipFill>
                    <a:blip r:embed="rId20"/>
                    <a:stretch>
                      <a:fillRect/>
                    </a:stretch>
                  </pic:blipFill>
                  <pic:spPr>
                    <a:xfrm>
                      <a:off x="0" y="0"/>
                      <a:ext cx="5976000" cy="2009415"/>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Learn it in the room, build it on StartPad that evening, and the programme sees it the next morning.</w:t>
      </w:r>
    </w:p>
    <w:p>
      <w:pPr>
        <w:keepLines w:val="true"/>
        <w:widowControl w:val="true"/>
        <w:spacing w:before="0" w:after="100" w:line="322" w:lineRule="auto"/>
      </w:pPr>
      <w:r>
        <w:rPr>
          <w:rFonts w:ascii="Plus Jakarta Sans" w:hAnsi="Plus Jakarta Sans" w:cs="Segoe UI"/>
          <w:b w:val="0"/>
          <w:i w:val="0"/>
          <w:color w:val="0B0E14"/>
          <w:sz w:val="19"/>
          <w:szCs w:val="19"/>
        </w:rPr>
        <w:t>Six bootcamp days over two weeks, three days a week, 240 minutes a day, 25 students per group working as teams on one venture each. Never more than fifteen minutes of input before students apply it. Each evening's work goes into StartPad as missions; the AI review runs overnight; scores and fixes are ready before the next day's opener. Larger intakes run as parallel groups — 100-plus students works — which is how a single university relationship becomes four cohorts rather than one.</w:t>
      </w:r>
    </w:p>
    <w:p>
      <w:pPr>
        <w:keepNext/>
        <w:keepLines w:val="true"/>
        <w:widowControl w:val="true"/>
        <w:spacing w:before="300" w:after="100" w:line="288" w:lineRule="auto"/>
      </w:pPr>
      <w:r>
        <w:rPr>
          <w:rFonts w:ascii="Plus Jakarta Sans" w:hAnsi="Plus Jakarta Sans" w:cs="Segoe UI"/>
          <w:b/>
          <w:i w:val="0"/>
          <w:color w:val="0B0E14"/>
          <w:sz w:val="26"/>
          <w:szCs w:val="26"/>
        </w:rPr>
        <w:t>Move 05 — Two markets, two different doors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076"/>
        <w:gridCol w:w="3598"/>
        <w:gridCol w:w="3737"/>
      </w:tblGrid>
      <w:tr>
        <w:trPr>
          <w:tblHeader w:val="true"/>
        </w:trPr>
        <w:tc>
          <w:tcPr>
            <w:tcW w:type="dxa" w:w="2076"/>
            <w:shd w:val="clear" w:fill="0B0E14"/>
            <w:tcMar>
              <w:top w:w="79" w:type="dxa"/>
              <w:start w:w="90" w:type="dxa"/>
              <w:bottom w:w="79" w:type="dxa"/>
              <w:end w:w="79" w:type="dxa"/>
            </w:tcMar>
          </w:tcPr>
          <w:p>
            <w:pPr>
              <w:spacing w:after="0" w:line="278" w:lineRule="auto"/>
            </w:pPr>
          </w:p>
        </w:tc>
        <w:tc>
          <w:tcPr>
            <w:tcW w:type="dxa" w:w="359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Egypt</w:t>
            </w:r>
          </w:p>
        </w:tc>
        <w:tc>
          <w:tcPr>
            <w:tcW w:type="dxa" w:w="37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Saudi Arabia</w:t>
            </w:r>
          </w:p>
        </w:tc>
      </w:tr>
      <w:tr>
        <w:trPr>
          <w:cantSplit w:val="true"/>
        </w:trPr>
        <w:tc>
          <w:tcPr>
            <w:tcW w:type="dxa" w:w="207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Started</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September 2026</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September 2026, in parallel</w:t>
            </w:r>
          </w:p>
        </w:tc>
      </w:tr>
      <w:tr>
        <w:trPr>
          <w:cantSplit w:val="true"/>
        </w:trPr>
        <w:tc>
          <w:tcPr>
            <w:tcW w:type="dxa" w:w="207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First door</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and campuses</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Programmes and youth initiatives</w:t>
            </w:r>
          </w:p>
        </w:tc>
      </w:tr>
      <w:tr>
        <w:trPr>
          <w:cantSplit w:val="true"/>
        </w:trPr>
        <w:tc>
          <w:tcPr>
            <w:tcW w:type="dxa" w:w="207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Lead channel</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Ambassadors and workshops</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Partners, then a Riyadh competition</w:t>
            </w:r>
          </w:p>
        </w:tc>
      </w:tr>
      <w:tr>
        <w:trPr>
          <w:cantSplit w:val="true"/>
        </w:trPr>
        <w:tc>
          <w:tcPr>
            <w:tcW w:type="dxa" w:w="207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Voice</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colloquial</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Saudi dialect, composed not translated</w:t>
            </w:r>
          </w:p>
        </w:tc>
      </w:tr>
      <w:tr>
        <w:trPr>
          <w:cantSplit w:val="true"/>
        </w:trPr>
        <w:tc>
          <w:tcPr>
            <w:tcW w:type="dxa" w:w="207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Team</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Core team in Cairo</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local lead, supported from Cairo</w:t>
            </w:r>
          </w:p>
        </w:tc>
      </w:tr>
      <w:tr>
        <w:trPr>
          <w:cantSplit w:val="true"/>
        </w:trPr>
        <w:tc>
          <w:tcPr>
            <w:tcW w:type="dxa" w:w="207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Why this door</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 of the student population and campus access</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Funded programmes move faster than university procurement</w:t>
            </w:r>
          </w:p>
        </w:tc>
      </w:tr>
    </w:tbl>
    <w:p>
      <w:pPr>
        <w:keepLines w:val="true"/>
        <w:widowControl w:val="true"/>
        <w:spacing w:before="0" w:after="140" w:line="322" w:lineRule="auto"/>
      </w:pPr>
    </w:p>
    <w:p>
      <w:pPr>
        <w:keepLines w:val="true"/>
        <w:widowControl w:val="true"/>
        <w:spacing w:before="0" w:after="100" w:line="322" w:lineRule="auto"/>
      </w:pPr>
      <w:r>
        <w:rPr>
          <w:rFonts w:ascii="Plus Jakarta Sans" w:hAnsi="Plus Jakarta Sans" w:cs="Segoe UI"/>
          <w:b w:val="0"/>
          <w:i w:val="0"/>
          <w:color w:val="0B0E14"/>
          <w:sz w:val="19"/>
          <w:szCs w:val="19"/>
        </w:rPr>
        <w:t>The markets are not sequenced because the doors are different. Waiting for Egypt to work before entering the Kingdom would have meant learning the Saudi programme-partner motion a year late, against competitors who did not wait — and the Saudi cohorts are the ones that pay from the first quarter while Egypt is still running free pilots.</w:t>
      </w:r>
    </w:p>
    <w:p>
      <w:pPr>
        <w:keepNext/>
        <w:pageBreakBefore w:val="true"/>
        <w:spacing w:before="0" w:after="20"/>
      </w:pPr>
      <w:r>
        <w:rPr>
          <w:rFonts w:ascii="Plus Jakarta Sans" w:hAnsi="Plus Jakarta Sans" w:cs="Segoe UI"/>
          <w:b/>
          <w:i w:val="0"/>
          <w:color w:val="3418E0"/>
          <w:spacing w:val="28"/>
          <w:sz w:val="16"/>
          <w:szCs w:val="16"/>
        </w:rPr>
        <w:t>SECTION 07</w:t>
      </w:r>
    </w:p>
    <w:p>
      <w:pPr>
        <w:keepNext/>
        <w:spacing w:before="40" w:after="120"/>
      </w:pPr>
      <w:r>
        <w:rPr>
          <w:rFonts w:ascii="Plus Jakarta Sans" w:hAnsi="Plus Jakarta Sans" w:cs="Segoe UI"/>
          <w:b/>
          <w:i w:val="0"/>
          <w:color w:val="0B0E14"/>
          <w:sz w:val="42"/>
          <w:szCs w:val="42"/>
        </w:rPr>
        <w:t>Marketing plan</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Ten channels, one destination: a free account and Mission 01. What each channel costs, what it returns, and the one that should be capped.</w:t>
      </w:r>
    </w:p>
    <w:p>
      <w:pPr>
        <w:keepNext/>
        <w:keepLines w:val="true"/>
        <w:widowControl w:val="true"/>
        <w:spacing w:before="300" w:after="100" w:line="288" w:lineRule="auto"/>
      </w:pPr>
      <w:r>
        <w:rPr>
          <w:rFonts w:ascii="Plus Jakarta Sans" w:hAnsi="Plus Jakarta Sans" w:cs="Segoe UI"/>
          <w:b/>
          <w:i w:val="0"/>
          <w:color w:val="0B0E14"/>
          <w:sz w:val="26"/>
          <w:szCs w:val="26"/>
        </w:rPr>
        <w:t>Every channel lands on the same first step</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660"/>
        <w:gridCol w:w="2491"/>
        <w:gridCol w:w="5259"/>
      </w:tblGrid>
      <w:tr>
        <w:trPr>
          <w:tblHeader w:val="true"/>
        </w:trPr>
        <w:tc>
          <w:tcPr>
            <w:tcW w:type="dxa" w:w="16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Stage</w:t>
            </w:r>
          </w:p>
        </w:tc>
        <w:tc>
          <w:tcPr>
            <w:tcW w:type="dxa" w:w="24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is</w:t>
            </w:r>
          </w:p>
        </w:tc>
        <w:tc>
          <w:tcPr>
            <w:tcW w:type="dxa" w:w="525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moves them forward</w:t>
            </w:r>
          </w:p>
        </w:tc>
      </w:tr>
      <w:tr>
        <w:trPr>
          <w:cantSplit w:val="true"/>
        </w:trPr>
        <w:tc>
          <w:tcPr>
            <w:tcW w:type="dxa" w:w="16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Discover</w:t>
            </w:r>
          </w:p>
        </w:tc>
        <w:tc>
          <w:tcPr>
            <w:tcW w:type="dxa" w:w="24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see it</w:t>
            </w:r>
          </w:p>
        </w:tc>
        <w:tc>
          <w:tcPr>
            <w:tcW w:type="dxa" w:w="52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Reels, paid ads, influencers, events, webinars</w:t>
            </w:r>
          </w:p>
        </w:tc>
      </w:tr>
      <w:tr>
        <w:trPr>
          <w:cantSplit w:val="true"/>
        </w:trPr>
        <w:tc>
          <w:tcPr>
            <w:tcW w:type="dxa" w:w="16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Join</w:t>
            </w:r>
          </w:p>
        </w:tc>
        <w:tc>
          <w:tcPr>
            <w:tcW w:type="dxa" w:w="24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free account</w:t>
            </w:r>
          </w:p>
        </w:tc>
        <w:tc>
          <w:tcPr>
            <w:tcW w:type="dxa" w:w="52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tap from an ad, a QR code or a link</w:t>
            </w:r>
          </w:p>
        </w:tc>
      </w:tr>
      <w:tr>
        <w:trPr>
          <w:cantSplit w:val="true"/>
        </w:trPr>
        <w:tc>
          <w:tcPr>
            <w:tcW w:type="dxa" w:w="16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Activate</w:t>
            </w:r>
          </w:p>
        </w:tc>
        <w:tc>
          <w:tcPr>
            <w:tcW w:type="dxa" w:w="24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 01</w:t>
            </w:r>
          </w:p>
        </w:tc>
        <w:tc>
          <w:tcPr>
            <w:tcW w:type="dxa" w:w="52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Finished live in a workshop or a webinar</w:t>
            </w:r>
          </w:p>
        </w:tc>
      </w:tr>
      <w:tr>
        <w:trPr>
          <w:cantSplit w:val="true"/>
        </w:trPr>
        <w:tc>
          <w:tcPr>
            <w:tcW w:type="dxa" w:w="16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Engage</w:t>
            </w:r>
          </w:p>
        </w:tc>
        <w:tc>
          <w:tcPr>
            <w:tcW w:type="dxa" w:w="24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Discovery phase</w:t>
            </w:r>
          </w:p>
        </w:tc>
        <w:tc>
          <w:tcPr>
            <w:tcW w:type="dxa" w:w="52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Community sprints, streaks, reminders</w:t>
            </w:r>
          </w:p>
        </w:tc>
      </w:tr>
      <w:tr>
        <w:trPr>
          <w:cantSplit w:val="true"/>
        </w:trPr>
        <w:tc>
          <w:tcPr>
            <w:tcW w:type="dxa" w:w="16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Convert</w:t>
            </w:r>
          </w:p>
        </w:tc>
        <w:tc>
          <w:tcPr>
            <w:tcW w:type="dxa" w:w="24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 or Team</w:t>
            </w:r>
          </w:p>
        </w:tc>
        <w:tc>
          <w:tcPr>
            <w:tcW w:type="dxa" w:w="52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 04 preview, team invites, retargeting</w:t>
            </w:r>
          </w:p>
        </w:tc>
      </w:tr>
    </w:tbl>
    <w:p>
      <w:pPr>
        <w:keepLines w:val="true"/>
        <w:widowControl w:val="true"/>
        <w:spacing w:before="0" w:after="140" w:line="322" w:lineRule="auto"/>
      </w:pPr>
    </w:p>
    <w:p>
      <w:pPr>
        <w:keepLines w:val="true"/>
        <w:widowControl w:val="true"/>
        <w:spacing w:before="0" w:after="100" w:line="322" w:lineRule="auto"/>
      </w:pPr>
      <w:r>
        <w:rPr>
          <w:rFonts w:ascii="Plus Jakarta Sans" w:hAnsi="Plus Jakarta Sans" w:cs="Segoe UI"/>
          <w:b/>
          <w:i w:val="0"/>
          <w:color w:val="0B0E14"/>
          <w:sz w:val="19"/>
          <w:szCs w:val="19"/>
        </w:rPr>
        <w:t>Activation is finishing Mission 01, not creating an account.</w:t>
      </w:r>
      <w:r>
        <w:rPr>
          <w:rFonts w:ascii="Plus Jakarta Sans" w:hAnsi="Plus Jakarta Sans" w:cs="Segoe UI"/>
          <w:b w:val="0"/>
          <w:i w:val="0"/>
          <w:color w:val="0B0E14"/>
          <w:sz w:val="19"/>
          <w:szCs w:val="19"/>
        </w:rPr>
        <w:t xml:space="preserve"> This is the single most important definition in the marketing plan, because it is what separates channels that work from channels that look like they work. An account that never completes a mission is indistinguishable from no account at all.</w:t>
      </w:r>
    </w:p>
    <w:p>
      <w:pPr>
        <w:keepNext/>
        <w:keepLines w:val="true"/>
        <w:widowControl w:val="true"/>
        <w:spacing w:before="300" w:after="100" w:line="288" w:lineRule="auto"/>
      </w:pPr>
      <w:r>
        <w:rPr>
          <w:rFonts w:ascii="Plus Jakarta Sans" w:hAnsi="Plus Jakarta Sans" w:cs="Segoe UI"/>
          <w:b/>
          <w:i w:val="0"/>
          <w:color w:val="0B0E14"/>
          <w:sz w:val="26"/>
          <w:szCs w:val="26"/>
        </w:rPr>
        <w:t>The year-one funnel</w:t>
      </w:r>
    </w:p>
    <w:p>
      <w:pPr>
        <w:keepNext/>
        <w:spacing w:before="160" w:after="60"/>
        <w:jc w:val="center"/>
      </w:pPr>
      <w:r>
        <w:drawing>
          <wp:inline xmlns:a="http://schemas.openxmlformats.org/drawingml/2006/main" xmlns:pic="http://schemas.openxmlformats.org/drawingml/2006/picture">
            <wp:extent cx="5976000" cy="2318056"/>
            <wp:docPr id="11" name="Picture 11"/>
            <wp:cNvGraphicFramePr>
              <a:graphicFrameLocks noChangeAspect="1"/>
            </wp:cNvGraphicFramePr>
            <a:graphic>
              <a:graphicData uri="http://schemas.openxmlformats.org/drawingml/2006/picture">
                <pic:pic>
                  <pic:nvPicPr>
                    <pic:cNvPr id="0" name="acquisition_funnel.png"/>
                    <pic:cNvPicPr/>
                  </pic:nvPicPr>
                  <pic:blipFill>
                    <a:blip r:embed="rId21"/>
                    <a:stretch>
                      <a:fillRect/>
                    </a:stretch>
                  </pic:blipFill>
                  <pic:spPr>
                    <a:xfrm>
                      <a:off x="0" y="0"/>
                      <a:ext cx="5976000" cy="2318056"/>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From sign-up to paying subscriber. The drop from sign-up to activation is where the channel mix shows itself.</w:t>
      </w:r>
    </w:p>
    <w:p>
      <w:pPr>
        <w:keepNext/>
        <w:keepLines w:val="true"/>
        <w:widowControl w:val="true"/>
        <w:spacing w:before="300" w:after="100" w:line="288" w:lineRule="auto"/>
      </w:pPr>
      <w:r>
        <w:rPr>
          <w:rFonts w:ascii="Plus Jakarta Sans" w:hAnsi="Plus Jakarta Sans" w:cs="Segoe UI"/>
          <w:b/>
          <w:i w:val="0"/>
          <w:color w:val="0B0E14"/>
          <w:sz w:val="26"/>
          <w:szCs w:val="26"/>
        </w:rPr>
        <w:t>Channel performance, and the finding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267"/>
        <w:gridCol w:w="1305"/>
        <w:gridCol w:w="1305"/>
        <w:gridCol w:w="1030"/>
        <w:gridCol w:w="1305"/>
        <w:gridCol w:w="1099"/>
        <w:gridCol w:w="1099"/>
      </w:tblGrid>
      <w:tr>
        <w:trPr>
          <w:tblHeader w:val="true"/>
        </w:trPr>
        <w:tc>
          <w:tcPr>
            <w:tcW w:type="dxa" w:w="226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Channel</w:t>
            </w:r>
          </w:p>
        </w:tc>
        <w:tc>
          <w:tcPr>
            <w:tcW w:type="dxa" w:w="130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Sign-ups</w:t>
            </w:r>
          </w:p>
        </w:tc>
        <w:tc>
          <w:tcPr>
            <w:tcW w:type="dxa" w:w="130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Activation</w:t>
            </w:r>
          </w:p>
        </w:tc>
        <w:tc>
          <w:tcPr>
            <w:tcW w:type="dxa" w:w="103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Paid</w:t>
            </w:r>
          </w:p>
        </w:tc>
        <w:tc>
          <w:tcPr>
            <w:tcW w:type="dxa" w:w="130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Cost</w:t>
            </w:r>
          </w:p>
        </w:tc>
        <w:tc>
          <w:tcPr>
            <w:tcW w:type="dxa" w:w="109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CAC</w:t>
            </w:r>
          </w:p>
        </w:tc>
        <w:tc>
          <w:tcPr>
            <w:tcW w:type="dxa" w:w="109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LTV/CAC</w:t>
            </w:r>
          </w:p>
        </w:tc>
      </w:tr>
      <w:tr>
        <w:trPr>
          <w:cantSplit w:val="true"/>
        </w:trPr>
        <w:tc>
          <w:tcPr>
            <w:tcW w:type="dxa" w:w="22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sessions</w:t>
            </w:r>
          </w:p>
        </w:tc>
        <w:tc>
          <w:tcPr>
            <w:tcW w:type="dxa" w:w="130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w:t>
            </w:r>
          </w:p>
        </w:tc>
        <w:tc>
          <w:tcPr>
            <w:tcW w:type="dxa" w:w="130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58%</w:t>
            </w:r>
          </w:p>
        </w:tc>
        <w:tc>
          <w:tcPr>
            <w:tcW w:type="dxa" w:w="10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84</w:t>
            </w:r>
          </w:p>
        </w:tc>
        <w:tc>
          <w:tcPr>
            <w:tcW w:type="dxa" w:w="130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$4,000</w:t>
            </w:r>
          </w:p>
        </w:tc>
        <w:tc>
          <w:tcPr>
            <w:tcW w:type="dxa" w:w="10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w:t>
            </w:r>
          </w:p>
        </w:tc>
        <w:tc>
          <w:tcPr>
            <w:tcW w:type="dxa" w:w="10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2.62×</w:t>
            </w:r>
          </w:p>
        </w:tc>
      </w:tr>
      <w:tr>
        <w:trPr>
          <w:cantSplit w:val="true"/>
        </w:trPr>
        <w:tc>
          <w:tcPr>
            <w:tcW w:type="dxa" w:w="22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Campus workshops</w:t>
            </w:r>
          </w:p>
        </w:tc>
        <w:tc>
          <w:tcPr>
            <w:tcW w:type="dxa" w:w="130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2,205</w:t>
            </w:r>
          </w:p>
        </w:tc>
        <w:tc>
          <w:tcPr>
            <w:tcW w:type="dxa" w:w="130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82%</w:t>
            </w:r>
          </w:p>
        </w:tc>
        <w:tc>
          <w:tcPr>
            <w:tcW w:type="dxa" w:w="10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217</w:t>
            </w:r>
          </w:p>
        </w:tc>
        <w:tc>
          <w:tcPr>
            <w:tcW w:type="dxa" w:w="130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109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w:t>
            </w:r>
          </w:p>
        </w:tc>
        <w:tc>
          <w:tcPr>
            <w:tcW w:type="dxa" w:w="109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2.27×</w:t>
            </w:r>
          </w:p>
        </w:tc>
      </w:tr>
      <w:tr>
        <w:trPr>
          <w:cantSplit w:val="true"/>
        </w:trPr>
        <w:tc>
          <w:tcPr>
            <w:tcW w:type="dxa" w:w="22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Campus ambassadors</w:t>
            </w:r>
          </w:p>
        </w:tc>
        <w:tc>
          <w:tcPr>
            <w:tcW w:type="dxa" w:w="130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3,300</w:t>
            </w:r>
          </w:p>
        </w:tc>
        <w:tc>
          <w:tcPr>
            <w:tcW w:type="dxa" w:w="130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w:t>
            </w:r>
          </w:p>
        </w:tc>
        <w:tc>
          <w:tcPr>
            <w:tcW w:type="dxa" w:w="10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247</w:t>
            </w:r>
          </w:p>
        </w:tc>
        <w:tc>
          <w:tcPr>
            <w:tcW w:type="dxa" w:w="130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$16,800</w:t>
            </w:r>
          </w:p>
        </w:tc>
        <w:tc>
          <w:tcPr>
            <w:tcW w:type="dxa" w:w="10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w:t>
            </w:r>
          </w:p>
        </w:tc>
        <w:tc>
          <w:tcPr>
            <w:tcW w:type="dxa" w:w="10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w:t>
            </w:r>
          </w:p>
        </w:tc>
      </w:tr>
      <w:tr>
        <w:trPr>
          <w:cantSplit w:val="true"/>
        </w:trPr>
        <w:tc>
          <w:tcPr>
            <w:tcW w:type="dxa" w:w="22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Paid social</w:t>
            </w:r>
          </w:p>
        </w:tc>
        <w:tc>
          <w:tcPr>
            <w:tcW w:type="dxa" w:w="130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22,500</w:t>
            </w:r>
          </w:p>
        </w:tc>
        <w:tc>
          <w:tcPr>
            <w:tcW w:type="dxa" w:w="130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w:t>
            </w:r>
          </w:p>
        </w:tc>
        <w:tc>
          <w:tcPr>
            <w:tcW w:type="dxa" w:w="10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w:t>
            </w:r>
          </w:p>
        </w:tc>
        <w:tc>
          <w:tcPr>
            <w:tcW w:type="dxa" w:w="130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$36,000</w:t>
            </w:r>
          </w:p>
        </w:tc>
        <w:tc>
          <w:tcPr>
            <w:tcW w:type="dxa" w:w="109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$241</w:t>
            </w:r>
          </w:p>
        </w:tc>
        <w:tc>
          <w:tcPr>
            <w:tcW w:type="dxa" w:w="109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0.52×</w:t>
            </w:r>
          </w:p>
        </w:tc>
      </w:tr>
      <w:tr>
        <w:trPr>
          <w:cantSplit w:val="true"/>
        </w:trPr>
        <w:tc>
          <w:tcPr>
            <w:tcW w:type="dxa" w:w="22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Content and podcast</w:t>
            </w:r>
          </w:p>
        </w:tc>
        <w:tc>
          <w:tcPr>
            <w:tcW w:type="dxa" w:w="130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2,800</w:t>
            </w:r>
          </w:p>
        </w:tc>
        <w:tc>
          <w:tcPr>
            <w:tcW w:type="dxa" w:w="130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w:t>
            </w:r>
          </w:p>
        </w:tc>
        <w:tc>
          <w:tcPr>
            <w:tcW w:type="dxa" w:w="10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74</w:t>
            </w:r>
          </w:p>
        </w:tc>
        <w:tc>
          <w:tcPr>
            <w:tcW w:type="dxa" w:w="130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$24,000</w:t>
            </w:r>
          </w:p>
        </w:tc>
        <w:tc>
          <w:tcPr>
            <w:tcW w:type="dxa" w:w="10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$322</w:t>
            </w:r>
          </w:p>
        </w:tc>
        <w:tc>
          <w:tcPr>
            <w:tcW w:type="dxa" w:w="10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0.39×</w:t>
            </w:r>
          </w:p>
        </w:tc>
      </w:tr>
      <w:tr>
        <w:trPr>
          <w:cantSplit w:val="true"/>
        </w:trPr>
        <w:tc>
          <w:tcPr>
            <w:tcW w:type="dxa" w:w="22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Competitions</w:t>
            </w:r>
          </w:p>
        </w:tc>
        <w:tc>
          <w:tcPr>
            <w:tcW w:type="dxa" w:w="130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w:t>
            </w:r>
          </w:p>
        </w:tc>
        <w:tc>
          <w:tcPr>
            <w:tcW w:type="dxa" w:w="130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w:t>
            </w:r>
          </w:p>
        </w:tc>
        <w:tc>
          <w:tcPr>
            <w:tcW w:type="dxa" w:w="10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96</w:t>
            </w:r>
          </w:p>
        </w:tc>
        <w:tc>
          <w:tcPr>
            <w:tcW w:type="dxa" w:w="130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$32,000</w:t>
            </w:r>
          </w:p>
        </w:tc>
        <w:tc>
          <w:tcPr>
            <w:tcW w:type="dxa" w:w="109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$334</w:t>
            </w:r>
          </w:p>
        </w:tc>
        <w:tc>
          <w:tcPr>
            <w:tcW w:type="dxa" w:w="109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0.37×</w:t>
            </w:r>
          </w:p>
        </w:tc>
      </w:tr>
      <w:tr>
        <w:trPr>
          <w:cantSplit w:val="true"/>
        </w:trPr>
        <w:tc>
          <w:tcPr>
            <w:tcW w:type="dxa" w:w="226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30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34,005</w:t>
            </w:r>
          </w:p>
        </w:tc>
        <w:tc>
          <w:tcPr>
            <w:tcW w:type="dxa" w:w="130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34%</w:t>
            </w:r>
          </w:p>
        </w:tc>
        <w:tc>
          <w:tcPr>
            <w:tcW w:type="dxa" w:w="103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867</w:t>
            </w:r>
          </w:p>
        </w:tc>
        <w:tc>
          <w:tcPr>
            <w:tcW w:type="dxa" w:w="130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$124,800</w:t>
            </w:r>
          </w:p>
        </w:tc>
        <w:tc>
          <w:tcPr>
            <w:tcW w:type="dxa" w:w="1099"/>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$144</w:t>
            </w:r>
          </w:p>
        </w:tc>
        <w:tc>
          <w:tcPr>
            <w:tcW w:type="dxa" w:w="1099"/>
            <w:shd w:val="clear" w:fill="CBF24A"/>
            <w:tcMar>
              <w:top w:w="73" w:type="dxa"/>
              <w:start w:w="90" w:type="dxa"/>
              <w:bottom w:w="73" w:type="dxa"/>
              <w:end w:w="79" w:type="dxa"/>
            </w:tcMar>
          </w:tcPr>
          <w:p>
            <w:pPr>
              <w:spacing w:after="0" w:line="288" w:lineRule="auto"/>
            </w:pPr>
          </w:p>
        </w:tc>
      </w:tr>
    </w:tbl>
    <w:p>
      <w:pPr>
        <w:keepLines w:val="true"/>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364178"/>
            <wp:docPr id="12" name="Picture 12"/>
            <wp:cNvGraphicFramePr>
              <a:graphicFrameLocks noChangeAspect="1"/>
            </wp:cNvGraphicFramePr>
            <a:graphic>
              <a:graphicData uri="http://schemas.openxmlformats.org/drawingml/2006/picture">
                <pic:pic>
                  <pic:nvPicPr>
                    <pic:cNvPr id="0" name="cac_ltv.png"/>
                    <pic:cNvPicPr/>
                  </pic:nvPicPr>
                  <pic:blipFill>
                    <a:blip r:embed="rId22"/>
                    <a:stretch>
                      <a:fillRect/>
                    </a:stretch>
                  </pic:blipFill>
                  <pic:spPr>
                    <a:xfrm>
                      <a:off x="0" y="0"/>
                      <a:ext cx="5976000" cy="2364178"/>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Cost to acquire one paying founder, against a lifetime value of $125. Three channels pay for themselves; three do not.</w:t>
      </w:r>
    </w:p>
    <w:p>
      <w:pPr>
        <w:keepLines w:val="true"/>
        <w:widowControl w:val="true"/>
        <w:spacing w:before="0" w:after="100" w:line="322" w:lineRule="auto"/>
      </w:pPr>
      <w:r>
        <w:rPr>
          <w:rFonts w:ascii="Plus Jakarta Sans" w:hAnsi="Plus Jakarta Sans" w:cs="Segoe UI"/>
          <w:b w:val="0"/>
          <w:i w:val="0"/>
          <w:color w:val="0B0E14"/>
          <w:sz w:val="19"/>
          <w:szCs w:val="19"/>
        </w:rPr>
        <w:t>Paid social generates 22,500 sign-ups — two thirds of the year's total — and only 150 paying founders, at $241 each against a lifetime value of $125. On a subscription P&amp;L it loses money on every conversion.</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What to do about it</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Cap cold paid social and move the budget to retargeting, event fill and competition entry. Its remaining job is reach and credibility for the institutional sale, which is a marketing cost of the B2B business and should be reported there rather than judged on subscription CAC.</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What not to do about it</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Do not cut it to zero. The campus channels have a hard ceiling — there are only so many campuses with an ambassador team — and content needs distribution to produce the founder stories that the institutional sale runs on. The error would be to keep scaling it as though it were an acquisition channel.</w:t>
      </w:r>
    </w:p>
    <w:p>
      <w:pPr>
        <w:keepNext/>
        <w:keepLines w:val="true"/>
        <w:widowControl w:val="true"/>
        <w:spacing w:before="300" w:after="100" w:line="288" w:lineRule="auto"/>
      </w:pPr>
      <w:r>
        <w:rPr>
          <w:rFonts w:ascii="Plus Jakarta Sans" w:hAnsi="Plus Jakarta Sans" w:cs="Segoe UI"/>
          <w:b/>
          <w:i w:val="0"/>
          <w:color w:val="0B0E14"/>
          <w:sz w:val="26"/>
          <w:szCs w:val="26"/>
        </w:rPr>
        <w:t>The ambassador programme</w:t>
      </w:r>
    </w:p>
    <w:p>
      <w:pPr>
        <w:keepLines w:val="true"/>
        <w:widowControl w:val="true"/>
        <w:spacing w:before="0" w:after="100" w:line="322" w:lineRule="auto"/>
      </w:pPr>
      <w:r>
        <w:rPr>
          <w:rFonts w:ascii="Plus Jakarta Sans" w:hAnsi="Plus Jakarta Sans" w:cs="Segoe UI"/>
          <w:b w:val="0"/>
          <w:i w:val="0"/>
          <w:color w:val="0B0E14"/>
          <w:sz w:val="19"/>
          <w:szCs w:val="19"/>
        </w:rPr>
        <w:t>A campus team that earns its place, 96 ambassadors across twelve campuses by the Scale quarter. Status is earned through founders brought in and renewed each term — a title that cannot be lost is a title that stops working.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899"/>
        <w:gridCol w:w="1799"/>
        <w:gridCol w:w="3737"/>
        <w:gridCol w:w="2975"/>
      </w:tblGrid>
      <w:tr>
        <w:trPr>
          <w:tblHeader w:val="true"/>
        </w:trPr>
        <w:tc>
          <w:tcPr>
            <w:tcW w:type="dxa" w:w="90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Level</w:t>
            </w:r>
          </w:p>
        </w:tc>
        <w:tc>
          <w:tcPr>
            <w:tcW w:type="dxa" w:w="179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Role</w:t>
            </w:r>
          </w:p>
        </w:tc>
        <w:tc>
          <w:tcPr>
            <w:tcW w:type="dxa" w:w="37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do</w:t>
            </w:r>
          </w:p>
        </w:tc>
        <w:tc>
          <w:tcPr>
            <w:tcW w:type="dxa" w:w="297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get</w:t>
            </w:r>
          </w:p>
        </w:tc>
      </w:tr>
      <w:tr>
        <w:trPr>
          <w:cantSplit w:val="true"/>
        </w:trPr>
        <w:tc>
          <w:tcPr>
            <w:tcW w:type="dxa" w:w="90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01</w:t>
            </w:r>
          </w:p>
        </w:tc>
        <w:tc>
          <w:tcPr>
            <w:tcW w:type="dxa" w:w="17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Member</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Uses StartPad, joins workshops</w:t>
            </w:r>
          </w:p>
        </w:tc>
        <w:tc>
          <w:tcPr>
            <w:tcW w:type="dxa" w:w="29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Community standing</w:t>
            </w:r>
          </w:p>
        </w:tc>
      </w:tr>
      <w:tr>
        <w:trPr>
          <w:cantSplit w:val="true"/>
        </w:trPr>
        <w:tc>
          <w:tcPr>
            <w:tcW w:type="dxa" w:w="90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02</w:t>
            </w:r>
          </w:p>
        </w:tc>
        <w:tc>
          <w:tcPr>
            <w:tcW w:type="dxa" w:w="179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Ambassador</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Runs Mission 01 workshops</w:t>
            </w:r>
          </w:p>
        </w:tc>
        <w:tc>
          <w:tcPr>
            <w:tcW w:type="dxa" w:w="29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Free Pro access, stipend</w:t>
            </w:r>
          </w:p>
        </w:tc>
      </w:tr>
      <w:tr>
        <w:trPr>
          <w:cantSplit w:val="true"/>
        </w:trPr>
        <w:tc>
          <w:tcPr>
            <w:tcW w:type="dxa" w:w="90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03</w:t>
            </w:r>
          </w:p>
        </w:tc>
        <w:tc>
          <w:tcPr>
            <w:tcW w:type="dxa" w:w="17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Campus lead</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Leads the team, owns student activities</w:t>
            </w:r>
          </w:p>
        </w:tc>
        <w:tc>
          <w:tcPr>
            <w:tcW w:type="dxa" w:w="29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Mentor sessions, references</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The content engine</w:t>
      </w:r>
    </w:p>
    <w:p>
      <w:pPr>
        <w:keepLines w:val="true"/>
        <w:widowControl w:val="true"/>
        <w:spacing w:before="0" w:after="100" w:line="322" w:lineRule="auto"/>
      </w:pPr>
      <w:r>
        <w:rPr>
          <w:rFonts w:ascii="Plus Jakarta Sans" w:hAnsi="Plus Jakarta Sans" w:cs="Segoe UI"/>
          <w:b w:val="0"/>
          <w:i w:val="0"/>
          <w:color w:val="0B0E14"/>
          <w:sz w:val="19"/>
          <w:szCs w:val="19"/>
        </w:rPr>
        <w:t>One founder story, many pieces. Find founders who built from a graduation project; record a podcast episode in Egyptian Arabic; cut reels and posts for TikTok, Instagram and Facebook; every piece ends at Mission 01. The podcast is not a brand exercise — it is the asset that makes the institutional pitch credible, because a dean responds to a graduate of a university like theirs.</w:t>
      </w:r>
    </w:p>
    <w:p>
      <w:pPr>
        <w:keepNext/>
        <w:keepLines w:val="true"/>
        <w:widowControl w:val="true"/>
        <w:spacing w:before="300" w:after="100" w:line="288" w:lineRule="auto"/>
      </w:pPr>
      <w:r>
        <w:rPr>
          <w:rFonts w:ascii="Plus Jakarta Sans" w:hAnsi="Plus Jakarta Sans" w:cs="Segoe UI"/>
          <w:b/>
          <w:i w:val="0"/>
          <w:color w:val="0B0E14"/>
          <w:sz w:val="26"/>
          <w:szCs w:val="26"/>
        </w:rPr>
        <w:t>Year-one marketing budget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809"/>
        <w:gridCol w:w="1826"/>
        <w:gridCol w:w="4776"/>
      </w:tblGrid>
      <w:tr>
        <w:trPr>
          <w:tblHeader w:val="true"/>
        </w:trPr>
        <w:tc>
          <w:tcPr>
            <w:tcW w:type="dxa" w:w="28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Line</w:t>
            </w:r>
          </w:p>
        </w:tc>
        <w:tc>
          <w:tcPr>
            <w:tcW w:type="dxa" w:w="182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Amount</w:t>
            </w:r>
          </w:p>
        </w:tc>
        <w:tc>
          <w:tcPr>
            <w:tcW w:type="dxa" w:w="477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buys</w:t>
            </w:r>
          </w:p>
        </w:tc>
      </w:tr>
      <w:tr>
        <w:trPr>
          <w:cantSplit w:val="true"/>
        </w:trPr>
        <w:tc>
          <w:tcPr>
            <w:tcW w:type="dxa" w:w="280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Campus ambassadors</w:t>
            </w:r>
          </w:p>
        </w:tc>
        <w:tc>
          <w:tcPr>
            <w:tcW w:type="dxa" w:w="18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$16,800</w:t>
            </w:r>
          </w:p>
        </w:tc>
        <w:tc>
          <w:tcPr>
            <w:tcW w:type="dxa" w:w="47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3,300 sign-ups, 247 paying</w:t>
            </w:r>
          </w:p>
        </w:tc>
      </w:tr>
      <w:tr>
        <w:trPr>
          <w:cantSplit w:val="true"/>
        </w:trPr>
        <w:tc>
          <w:tcPr>
            <w:tcW w:type="dxa" w:w="280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Campus workshops</w:t>
            </w:r>
          </w:p>
        </w:tc>
        <w:tc>
          <w:tcPr>
            <w:tcW w:type="dxa" w:w="18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47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2,205 sign-ups, 217 paying</w:t>
            </w:r>
          </w:p>
        </w:tc>
      </w:tr>
      <w:tr>
        <w:trPr>
          <w:cantSplit w:val="true"/>
        </w:trPr>
        <w:tc>
          <w:tcPr>
            <w:tcW w:type="dxa" w:w="280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Competitions</w:t>
            </w:r>
          </w:p>
        </w:tc>
        <w:tc>
          <w:tcPr>
            <w:tcW w:type="dxa" w:w="18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$32,000</w:t>
            </w:r>
          </w:p>
        </w:tc>
        <w:tc>
          <w:tcPr>
            <w:tcW w:type="dxa" w:w="47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 sign-ups, 96 paying</w:t>
            </w:r>
          </w:p>
        </w:tc>
      </w:tr>
      <w:tr>
        <w:trPr>
          <w:cantSplit w:val="true"/>
        </w:trPr>
        <w:tc>
          <w:tcPr>
            <w:tcW w:type="dxa" w:w="280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sessions</w:t>
            </w:r>
          </w:p>
        </w:tc>
        <w:tc>
          <w:tcPr>
            <w:tcW w:type="dxa" w:w="18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$4,000</w:t>
            </w:r>
          </w:p>
        </w:tc>
        <w:tc>
          <w:tcPr>
            <w:tcW w:type="dxa" w:w="47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 sign-ups, 84 paying</w:t>
            </w:r>
          </w:p>
        </w:tc>
      </w:tr>
      <w:tr>
        <w:trPr>
          <w:cantSplit w:val="true"/>
        </w:trPr>
        <w:tc>
          <w:tcPr>
            <w:tcW w:type="dxa" w:w="280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Content and podcast</w:t>
            </w:r>
          </w:p>
        </w:tc>
        <w:tc>
          <w:tcPr>
            <w:tcW w:type="dxa" w:w="18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$24,000</w:t>
            </w:r>
          </w:p>
        </w:tc>
        <w:tc>
          <w:tcPr>
            <w:tcW w:type="dxa" w:w="47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2,800 sign-ups, 74 paying</w:t>
            </w:r>
          </w:p>
        </w:tc>
      </w:tr>
      <w:tr>
        <w:trPr>
          <w:cantSplit w:val="true"/>
        </w:trPr>
        <w:tc>
          <w:tcPr>
            <w:tcW w:type="dxa" w:w="280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Paid social</w:t>
            </w:r>
          </w:p>
        </w:tc>
        <w:tc>
          <w:tcPr>
            <w:tcW w:type="dxa" w:w="18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$36,000</w:t>
            </w:r>
          </w:p>
        </w:tc>
        <w:tc>
          <w:tcPr>
            <w:tcW w:type="dxa" w:w="47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22,500 sign-ups, 150 paying</w:t>
            </w:r>
          </w:p>
        </w:tc>
      </w:tr>
      <w:tr>
        <w:trPr>
          <w:cantSplit w:val="true"/>
        </w:trPr>
        <w:tc>
          <w:tcPr>
            <w:tcW w:type="dxa" w:w="2809"/>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826"/>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$124,800</w:t>
            </w:r>
          </w:p>
        </w:tc>
        <w:tc>
          <w:tcPr>
            <w:tcW w:type="dxa" w:w="4776"/>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34,005 sign-ups, 867 paying</w:t>
            </w:r>
          </w:p>
        </w:tc>
      </w:tr>
    </w:tbl>
    <w:p>
      <w:pPr>
        <w:keepLines w:val="true"/>
        <w:widowControl w:val="true"/>
        <w:spacing w:before="0" w:after="140" w:line="322" w:lineRule="auto"/>
      </w:pPr>
    </w:p>
    <w:p>
      <w:pPr>
        <w:keepNext/>
        <w:pageBreakBefore w:val="true"/>
        <w:spacing w:before="0" w:after="20"/>
      </w:pPr>
      <w:r>
        <w:rPr>
          <w:rFonts w:ascii="Plus Jakarta Sans" w:hAnsi="Plus Jakarta Sans" w:cs="Segoe UI"/>
          <w:b/>
          <w:i w:val="0"/>
          <w:color w:val="3418E0"/>
          <w:spacing w:val="28"/>
          <w:sz w:val="16"/>
          <w:szCs w:val="16"/>
        </w:rPr>
        <w:t>SECTION 08</w:t>
      </w:r>
    </w:p>
    <w:p>
      <w:pPr>
        <w:keepNext/>
        <w:spacing w:before="40" w:after="120"/>
      </w:pPr>
      <w:r>
        <w:rPr>
          <w:rFonts w:ascii="Plus Jakarta Sans" w:hAnsi="Plus Jakarta Sans" w:cs="Segoe UI"/>
          <w:b/>
          <w:i w:val="0"/>
          <w:color w:val="0B0E14"/>
          <w:sz w:val="42"/>
          <w:szCs w:val="42"/>
        </w:rPr>
        <w:t>NGO, government and ecosystem initiatives</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Both governments have committed publicly to qualifying a million entrepreneurs or innovators. None of them has a method, a platform or a reporting line. That is the opening.</w:t>
      </w:r>
    </w:p>
    <w:p>
      <w:pPr>
        <w:keepNext/>
        <w:keepLines w:val="true"/>
        <w:widowControl w:val="true"/>
        <w:spacing w:before="300" w:after="100" w:line="288" w:lineRule="auto"/>
      </w:pPr>
      <w:r>
        <w:rPr>
          <w:rFonts w:ascii="Plus Jakarta Sans" w:hAnsi="Plus Jakarta Sans" w:cs="Segoe UI"/>
          <w:b/>
          <w:i w:val="0"/>
          <w:color w:val="0B0E14"/>
          <w:sz w:val="26"/>
          <w:szCs w:val="26"/>
        </w:rPr>
        <w:t>The national programmes StartPad is built to plug into</w:t>
      </w:r>
    </w:p>
    <w:p>
      <w:pPr>
        <w:keepNext/>
        <w:spacing w:before="160" w:after="60"/>
        <w:jc w:val="center"/>
      </w:pPr>
      <w:r>
        <w:drawing>
          <wp:inline xmlns:a="http://schemas.openxmlformats.org/drawingml/2006/main" xmlns:pic="http://schemas.openxmlformats.org/drawingml/2006/picture">
            <wp:extent cx="5976000" cy="1653633"/>
            <wp:docPr id="13" name="Picture 13"/>
            <wp:cNvGraphicFramePr>
              <a:graphicFrameLocks noChangeAspect="1"/>
            </wp:cNvGraphicFramePr>
            <a:graphic>
              <a:graphicData uri="http://schemas.openxmlformats.org/drawingml/2006/picture">
                <pic:pic>
                  <pic:nvPicPr>
                    <pic:cNvPr id="0" name="ngo_initiatives.png"/>
                    <pic:cNvPicPr/>
                  </pic:nvPicPr>
                  <pic:blipFill>
                    <a:blip r:embed="rId23"/>
                    <a:stretch>
                      <a:fillRect/>
                    </a:stretch>
                  </pic:blipFill>
                  <pic:spPr>
                    <a:xfrm>
                      <a:off x="0" y="0"/>
                      <a:ext cx="5976000" cy="1653633"/>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Four named Egyptian programmes with public million-scale targets, each needing delivery capacity they do not have in-house.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988"/>
        <w:gridCol w:w="2518"/>
        <w:gridCol w:w="2121"/>
        <w:gridCol w:w="2783"/>
      </w:tblGrid>
      <w:tr>
        <w:trPr>
          <w:tblHeader w:val="true"/>
        </w:trPr>
        <w:tc>
          <w:tcPr>
            <w:tcW w:type="dxa" w:w="198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Programme</w:t>
            </w:r>
          </w:p>
        </w:tc>
        <w:tc>
          <w:tcPr>
            <w:tcW w:type="dxa" w:w="251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runs it</w:t>
            </w:r>
          </w:p>
        </w:tc>
        <w:tc>
          <w:tcPr>
            <w:tcW w:type="dxa" w:w="212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Their target</w:t>
            </w:r>
          </w:p>
        </w:tc>
        <w:tc>
          <w:tcPr>
            <w:tcW w:type="dxa" w:w="278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StartPad supplies</w:t>
            </w:r>
          </w:p>
        </w:tc>
      </w:tr>
      <w:tr>
        <w:trPr>
          <w:cantSplit w:val="true"/>
        </w:trPr>
        <w:tc>
          <w:tcPr>
            <w:tcW w:type="dxa" w:w="19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One Million Entrepreneurs</w:t>
            </w:r>
          </w:p>
        </w:tc>
        <w:tc>
          <w:tcPr>
            <w:tcW w:type="dxa" w:w="251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Ministry of Planning, through Rowad 2030, with Banque Misr and the National Bank of Egypt</w:t>
            </w:r>
          </w:p>
        </w:tc>
        <w:tc>
          <w:tcPr>
            <w:tcW w:type="dxa" w:w="212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million entrepreneurs qualified by 2030</w:t>
            </w:r>
          </w:p>
        </w:tc>
        <w:tc>
          <w:tcPr>
            <w:tcW w:type="dxa" w:w="278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qualification method itself, plus per-participant evidence a ministry can report</w:t>
            </w:r>
          </w:p>
        </w:tc>
      </w:tr>
      <w:tr>
        <w:trPr>
          <w:cantSplit w:val="true"/>
        </w:trPr>
        <w:tc>
          <w:tcPr>
            <w:tcW w:type="dxa" w:w="198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 Million Qualified Innovators</w:t>
            </w:r>
          </w:p>
        </w:tc>
        <w:tc>
          <w:tcPr>
            <w:tcW w:type="dxa" w:w="251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Ministry of Higher Education with UNDP, MBRF and ICESCO; launched Cairo, April 2025</w:t>
            </w:r>
          </w:p>
        </w:tc>
        <w:tc>
          <w:tcPr>
            <w:tcW w:type="dxa" w:w="212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Future skills for one million young people</w:t>
            </w:r>
          </w:p>
        </w:tc>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university delivery channel the initiative needs, already running on campus</w:t>
            </w:r>
          </w:p>
        </w:tc>
      </w:tr>
      <w:tr>
        <w:trPr>
          <w:cantSplit w:val="true"/>
        </w:trPr>
        <w:tc>
          <w:tcPr>
            <w:tcW w:type="dxa" w:w="19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MSMEDA governorate programme</w:t>
            </w:r>
          </w:p>
        </w:tc>
        <w:tc>
          <w:tcPr>
            <w:tcW w:type="dxa" w:w="251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Qetar El Kheir caravan, across 22 governorates</w:t>
            </w:r>
          </w:p>
        </w:tc>
        <w:tc>
          <w:tcPr>
            <w:tcW w:type="dxa" w:w="212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Reach founders outside the urban technology hubs</w:t>
            </w:r>
          </w:p>
        </w:tc>
        <w:tc>
          <w:tcPr>
            <w:tcW w:type="dxa" w:w="278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Bilingual self-serve missions for governorates no facilitator reaches, with sponsored seats</w:t>
            </w:r>
          </w:p>
        </w:tc>
      </w:tr>
      <w:tr>
        <w:trPr>
          <w:cantSplit w:val="true"/>
        </w:trPr>
        <w:tc>
          <w:tcPr>
            <w:tcW w:type="dxa" w:w="198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One Million International Licences</w:t>
            </w:r>
          </w:p>
        </w:tc>
        <w:tc>
          <w:tcPr>
            <w:tcW w:type="dxa" w:w="251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 Cisco, announced May 2026</w:t>
            </w:r>
          </w:p>
        </w:tc>
        <w:tc>
          <w:tcPr>
            <w:tcW w:type="dxa" w:w="212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Accredited technical and professional certification</w:t>
            </w:r>
          </w:p>
        </w:tc>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venture-building complement to a technical certificate</w:t>
            </w:r>
          </w:p>
        </w:tc>
      </w:tr>
    </w:tbl>
    <w:p>
      <w:pPr>
        <w:keepLines w:val="true"/>
        <w:widowControl w:val="true"/>
        <w:spacing w:before="0" w:after="140" w:line="322" w:lineRule="auto"/>
      </w:pPr>
    </w:p>
    <w:p>
      <w:pPr>
        <w:keepLines w:val="true"/>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Published progress on the One Million Entrepreneurs campaign stood at roughly 18,000 registrations against a target of one million. The gap is not ambition or funding — it is delivery capacity and a method that produces something reportable per participant. That gap is the product.</w:t>
      </w:r>
    </w:p>
    <w:p>
      <w:pPr>
        <w:keepNext/>
        <w:keepLines w:val="true"/>
        <w:widowControl w:val="true"/>
        <w:spacing w:before="300" w:after="100" w:line="288" w:lineRule="auto"/>
      </w:pPr>
      <w:r>
        <w:rPr>
          <w:rFonts w:ascii="Plus Jakarta Sans" w:hAnsi="Plus Jakarta Sans" w:cs="Segoe UI"/>
          <w:b/>
          <w:i w:val="0"/>
          <w:color w:val="0B0E14"/>
          <w:sz w:val="26"/>
          <w:szCs w:val="26"/>
        </w:rPr>
        <w:t>Why these partnerships matter more than their revenue</w:t>
      </w:r>
    </w:p>
    <w:p>
      <w:pPr>
        <w:keepLines w:val="true"/>
        <w:widowControl w:val="true"/>
        <w:spacing w:before="0" w:after="100" w:line="322" w:lineRule="auto"/>
      </w:pPr>
      <w:r>
        <w:rPr>
          <w:rFonts w:ascii="Plus Jakarta Sans" w:hAnsi="Plus Jakarta Sans" w:cs="Segoe UI"/>
          <w:b w:val="0"/>
          <w:i w:val="0"/>
          <w:color w:val="0B0E14"/>
          <w:sz w:val="19"/>
          <w:szCs w:val="19"/>
        </w:rPr>
        <w:t>Sponsored seats are $105k in year one — real money, but not the reason to pursue them. Three other things come with a national programme partnership.</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Volume without a facilitator.</w:t>
      </w:r>
      <w:r>
        <w:rPr>
          <w:rFonts w:ascii="Plus Jakarta Sans" w:hAnsi="Plus Jakarta Sans" w:cs="Segoe UI"/>
          <w:b w:val="0"/>
          <w:i w:val="0"/>
          <w:color w:val="0B0E14"/>
          <w:sz w:val="19"/>
          <w:szCs w:val="19"/>
        </w:rPr>
        <w:t xml:space="preserve"> Sponsored seats are platform-only, so they scale past the facilitator constraint that caps the cohort business. A governorate programme can place thousands of seats in a quarter that no bootcamp schedule could serve.</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Credibility that opens the university door.</w:t>
      </w:r>
      <w:r>
        <w:rPr>
          <w:rFonts w:ascii="Plus Jakarta Sans" w:hAnsi="Plus Jakarta Sans" w:cs="Segoe UI"/>
          <w:b w:val="0"/>
          <w:i w:val="0"/>
          <w:color w:val="0B0E14"/>
          <w:sz w:val="19"/>
          <w:szCs w:val="19"/>
        </w:rPr>
        <w:t xml:space="preserve"> A dean who has not heard of StartPad has heard of Rowad 2030. Named participation in a national programme shortens the first conversation at every one of the four doors, which is worth more than the seat revenue.</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Reach outside the cities we can serve.</w:t>
      </w:r>
      <w:r>
        <w:rPr>
          <w:rFonts w:ascii="Plus Jakarta Sans" w:hAnsi="Plus Jakarta Sans" w:cs="Segoe UI"/>
          <w:b w:val="0"/>
          <w:i w:val="0"/>
          <w:color w:val="0B0E14"/>
          <w:sz w:val="19"/>
          <w:szCs w:val="19"/>
        </w:rPr>
        <w:t xml:space="preserve"> The governorate programmes deliberately target Upper Egypt and the border governorates — exactly the population the SAM reachability filter excludes. Sponsored seats are how StartPad serves people it cannot send facilitators to.</w:t>
      </w:r>
    </w:p>
    <w:p>
      <w:pPr>
        <w:keepNext/>
        <w:keepLines w:val="true"/>
        <w:widowControl w:val="true"/>
        <w:spacing w:before="300" w:after="100" w:line="288" w:lineRule="auto"/>
      </w:pPr>
      <w:r>
        <w:rPr>
          <w:rFonts w:ascii="Plus Jakarta Sans" w:hAnsi="Plus Jakarta Sans" w:cs="Segoe UI"/>
          <w:b/>
          <w:i w:val="0"/>
          <w:color w:val="0B0E14"/>
          <w:sz w:val="26"/>
          <w:szCs w:val="26"/>
        </w:rPr>
        <w:t>The partnership path</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641"/>
        <w:gridCol w:w="1996"/>
        <w:gridCol w:w="3850"/>
        <w:gridCol w:w="2923"/>
      </w:tblGrid>
      <w:tr>
        <w:trPr>
          <w:tblHeader w:val="true"/>
        </w:trPr>
        <w:tc>
          <w:tcPr>
            <w:tcW w:type="dxa" w:w="642"/>
            <w:shd w:val="clear" w:fill="0B0E14"/>
            <w:tcMar>
              <w:top w:w="79" w:type="dxa"/>
              <w:start w:w="90" w:type="dxa"/>
              <w:bottom w:w="79" w:type="dxa"/>
              <w:end w:w="79" w:type="dxa"/>
            </w:tcMar>
          </w:tcPr>
          <w:p>
            <w:pPr>
              <w:spacing w:after="0" w:line="278" w:lineRule="auto"/>
            </w:pPr>
          </w:p>
        </w:tc>
        <w:tc>
          <w:tcPr>
            <w:tcW w:type="dxa" w:w="19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Step</w:t>
            </w:r>
          </w:p>
        </w:tc>
        <w:tc>
          <w:tcPr>
            <w:tcW w:type="dxa" w:w="385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happens</w:t>
            </w:r>
          </w:p>
        </w:tc>
        <w:tc>
          <w:tcPr>
            <w:tcW w:type="dxa" w:w="292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owns it</w:t>
            </w:r>
          </w:p>
        </w:tc>
      </w:tr>
      <w:tr>
        <w:trPr>
          <w:cantSplit w:val="true"/>
        </w:trPr>
        <w:tc>
          <w:tcPr>
            <w:tcW w:type="dxa" w:w="64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w:t>
            </w:r>
          </w:p>
        </w:tc>
        <w:tc>
          <w:tcPr>
            <w:tcW w:type="dxa" w:w="1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Show results</w:t>
            </w:r>
          </w:p>
        </w:tc>
        <w:tc>
          <w:tcPr>
            <w:tcW w:type="dxa" w:w="385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cohort report from a comparable pilot</w:t>
            </w:r>
          </w:p>
        </w:tc>
        <w:tc>
          <w:tcPr>
            <w:tcW w:type="dxa" w:w="29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Partnerships</w:t>
            </w:r>
          </w:p>
        </w:tc>
      </w:tr>
      <w:tr>
        <w:trPr>
          <w:cantSplit w:val="true"/>
        </w:trPr>
        <w:tc>
          <w:tcPr>
            <w:tcW w:type="dxa" w:w="64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w:t>
            </w:r>
          </w:p>
        </w:tc>
        <w:tc>
          <w:tcPr>
            <w:tcW w:type="dxa" w:w="1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Co-design a cohort</w:t>
            </w:r>
          </w:p>
        </w:tc>
        <w:tc>
          <w:tcPr>
            <w:tcW w:type="dxa" w:w="385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Their objective, our missions, agreed reporting</w:t>
            </w:r>
          </w:p>
        </w:tc>
        <w:tc>
          <w:tcPr>
            <w:tcW w:type="dxa" w:w="29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Curriculum with the partner</w:t>
            </w:r>
          </w:p>
        </w:tc>
      </w:tr>
      <w:tr>
        <w:trPr>
          <w:cantSplit w:val="true"/>
        </w:trPr>
        <w:tc>
          <w:tcPr>
            <w:tcW w:type="dxa" w:w="64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3</w:t>
            </w:r>
          </w:p>
        </w:tc>
        <w:tc>
          <w:tcPr>
            <w:tcW w:type="dxa" w:w="1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Run it</w:t>
            </w:r>
          </w:p>
        </w:tc>
        <w:tc>
          <w:tcPr>
            <w:tcW w:type="dxa" w:w="385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Sponsored seats, facilitation where the budget allows</w:t>
            </w:r>
          </w:p>
        </w:tc>
        <w:tc>
          <w:tcPr>
            <w:tcW w:type="dxa" w:w="29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Delivery Manager</w:t>
            </w:r>
          </w:p>
        </w:tc>
      </w:tr>
      <w:tr>
        <w:trPr>
          <w:cantSplit w:val="true"/>
        </w:trPr>
        <w:tc>
          <w:tcPr>
            <w:tcW w:type="dxa" w:w="64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w:t>
            </w:r>
          </w:p>
        </w:tc>
        <w:tc>
          <w:tcPr>
            <w:tcW w:type="dxa" w:w="1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Report back</w:t>
            </w:r>
          </w:p>
        </w:tc>
        <w:tc>
          <w:tcPr>
            <w:tcW w:type="dxa" w:w="385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Participation, progress, evidence, outcomes</w:t>
            </w:r>
          </w:p>
        </w:tc>
        <w:tc>
          <w:tcPr>
            <w:tcW w:type="dxa" w:w="29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Delivery, to the partner's own reporting format</w:t>
            </w:r>
          </w:p>
        </w:tc>
      </w:tr>
      <w:tr>
        <w:trPr>
          <w:cantSplit w:val="true"/>
        </w:trPr>
        <w:tc>
          <w:tcPr>
            <w:tcW w:type="dxa" w:w="64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w:t>
            </w:r>
          </w:p>
        </w:tc>
        <w:tc>
          <w:tcPr>
            <w:tcW w:type="dxa" w:w="1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Renew</w:t>
            </w:r>
          </w:p>
        </w:tc>
        <w:tc>
          <w:tcPr>
            <w:tcW w:type="dxa" w:w="385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larger cohort, or a governorate added</w:t>
            </w:r>
          </w:p>
        </w:tc>
        <w:tc>
          <w:tcPr>
            <w:tcW w:type="dxa" w:w="29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Partnerships</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The equivalent motion in Saudi Arabia</w:t>
      </w:r>
    </w:p>
    <w:p>
      <w:pPr>
        <w:keepLines w:val="true"/>
        <w:widowControl w:val="true"/>
        <w:spacing w:before="0" w:after="100" w:line="322" w:lineRule="auto"/>
      </w:pPr>
      <w:r>
        <w:rPr>
          <w:rFonts w:ascii="Plus Jakarta Sans" w:hAnsi="Plus Jakarta Sans" w:cs="Segoe UI"/>
          <w:b w:val="0"/>
          <w:i w:val="0"/>
          <w:color w:val="0B0E14"/>
          <w:sz w:val="19"/>
          <w:szCs w:val="19"/>
        </w:rPr>
        <w:t>The Kingdom's youth and SME institutions — Monsha'at on the SME side and the Misk Foundation on the youth-development side — run programmes with the same structural gap: ambition and budget at national scale, with delivery contracted out. The Saudi motion leads with these partners rather than with universities, which is why the Riyadh country manager is a partnerships hire and not a campus hire.</w:t>
      </w:r>
    </w:p>
    <w:p>
      <w:pPr>
        <w:keepLines w:val="true"/>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One caution on the Saudi side. Misk cancelled its 2026 Global Forum, and flagship-event cancellations usually signal a programme budget under review. The Saudi plan should not depend on a single institution: the Riyadh targets assume several programme partners, and the first Riyadh competition in the Scale quarter is the fallback route to founders if partnership budgets move.</w:t>
      </w:r>
    </w:p>
    <w:p>
      <w:pPr>
        <w:keepNext/>
        <w:keepLines w:val="true"/>
        <w:widowControl w:val="true"/>
        <w:spacing w:before="300" w:after="100" w:line="288" w:lineRule="auto"/>
      </w:pPr>
      <w:r>
        <w:rPr>
          <w:rFonts w:ascii="Plus Jakarta Sans" w:hAnsi="Plus Jakarta Sans" w:cs="Segoe UI"/>
          <w:b/>
          <w:i w:val="0"/>
          <w:color w:val="0B0E14"/>
          <w:sz w:val="26"/>
          <w:szCs w:val="26"/>
        </w:rPr>
        <w:t>What we must not promise</w:t>
      </w:r>
    </w:p>
    <w:p>
      <w:pPr>
        <w:keepLines w:val="true"/>
        <w:widowControl w:val="true"/>
        <w:spacing w:before="0" w:after="100" w:line="322" w:lineRule="auto"/>
      </w:pPr>
      <w:r>
        <w:rPr>
          <w:rFonts w:ascii="Plus Jakarta Sans" w:hAnsi="Plus Jakarta Sans" w:cs="Segoe UI"/>
          <w:b w:val="0"/>
          <w:i w:val="0"/>
          <w:color w:val="0B0E14"/>
          <w:sz w:val="19"/>
          <w:szCs w:val="19"/>
        </w:rPr>
        <w:t>A national programme will ask for an outcome number — jobs created, businesses registered, funding raised. StartPad records mission progress, evidence and review scores. Those are honest indicators of recorded work; they do not certify venture success, and the platform says so on the page. Contracting to an outcome the product cannot measure would be the fastest way to lose a government relationship, and every partnership agreement should state what is measured and what is not.</w:t>
      </w:r>
    </w:p>
    <w:p>
      <w:pPr>
        <w:keepNext/>
        <w:pageBreakBefore w:val="true"/>
        <w:spacing w:before="0" w:after="20"/>
      </w:pPr>
      <w:r>
        <w:rPr>
          <w:rFonts w:ascii="Plus Jakarta Sans" w:hAnsi="Plus Jakarta Sans" w:cs="Segoe UI"/>
          <w:b/>
          <w:i w:val="0"/>
          <w:color w:val="3418E0"/>
          <w:spacing w:val="28"/>
          <w:sz w:val="16"/>
          <w:szCs w:val="16"/>
        </w:rPr>
        <w:t>SECTION 09</w:t>
      </w:r>
    </w:p>
    <w:p>
      <w:pPr>
        <w:keepNext/>
        <w:spacing w:before="40" w:after="120"/>
      </w:pPr>
      <w:r>
        <w:rPr>
          <w:rFonts w:ascii="Plus Jakarta Sans" w:hAnsi="Plus Jakarta Sans" w:cs="Segoe UI"/>
          <w:b/>
          <w:i w:val="0"/>
          <w:color w:val="0B0E14"/>
          <w:sz w:val="42"/>
          <w:szCs w:val="42"/>
        </w:rPr>
        <w:t>Organisation and HR plan</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29 employees in year one, growing to 94 by year three, plus two non-employee layers that carry most of the delivery load. Who is needed, when, and what they cost.</w:t>
      </w:r>
    </w:p>
    <w:p>
      <w:pPr>
        <w:keepNext/>
        <w:spacing w:before="160" w:after="60"/>
        <w:jc w:val="center"/>
      </w:pPr>
      <w:r>
        <w:drawing>
          <wp:inline xmlns:a="http://schemas.openxmlformats.org/drawingml/2006/main" xmlns:pic="http://schemas.openxmlformats.org/drawingml/2006/picture">
            <wp:extent cx="5976000" cy="2824274"/>
            <wp:docPr id="14" name="Picture 14"/>
            <wp:cNvGraphicFramePr>
              <a:graphicFrameLocks noChangeAspect="1"/>
            </wp:cNvGraphicFramePr>
            <a:graphic>
              <a:graphicData uri="http://schemas.openxmlformats.org/drawingml/2006/picture">
                <pic:pic>
                  <pic:nvPicPr>
                    <pic:cNvPr id="0" name="org_chart.png"/>
                    <pic:cNvPicPr/>
                  </pic:nvPicPr>
                  <pic:blipFill>
                    <a:blip r:embed="rId24"/>
                    <a:stretch>
                      <a:fillRect/>
                    </a:stretch>
                  </pic:blipFill>
                  <pic:spPr>
                    <a:xfrm>
                      <a:off x="0" y="0"/>
                      <a:ext cx="5976000" cy="2824274"/>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The year-one organisation. Four reporting lines under the CEO, who also personally runs the Day 01 platform onboarding in every cohort.</w:t>
      </w:r>
    </w:p>
    <w:p>
      <w:pPr>
        <w:keepNext/>
        <w:keepLines w:val="true"/>
        <w:widowControl w:val="true"/>
        <w:spacing w:before="300" w:after="100" w:line="288" w:lineRule="auto"/>
      </w:pPr>
      <w:r>
        <w:rPr>
          <w:rFonts w:ascii="Plus Jakarta Sans" w:hAnsi="Plus Jakarta Sans" w:cs="Segoe UI"/>
          <w:b/>
          <w:i w:val="0"/>
          <w:color w:val="0B0E14"/>
          <w:sz w:val="26"/>
          <w:szCs w:val="26"/>
        </w:rPr>
        <w:t>The full establishment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016"/>
        <w:gridCol w:w="3630"/>
        <w:gridCol w:w="739"/>
        <w:gridCol w:w="739"/>
        <w:gridCol w:w="739"/>
        <w:gridCol w:w="1546"/>
      </w:tblGrid>
      <w:tr>
        <w:trPr>
          <w:tblHeader w:val="true"/>
        </w:trPr>
        <w:tc>
          <w:tcPr>
            <w:tcW w:type="dxa" w:w="201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Function</w:t>
            </w:r>
          </w:p>
        </w:tc>
        <w:tc>
          <w:tcPr>
            <w:tcW w:type="dxa" w:w="363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Role</w:t>
            </w:r>
          </w:p>
        </w:tc>
        <w:tc>
          <w:tcPr>
            <w:tcW w:type="dxa" w:w="73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Y1</w:t>
            </w:r>
          </w:p>
        </w:tc>
        <w:tc>
          <w:tcPr>
            <w:tcW w:type="dxa" w:w="73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Y2</w:t>
            </w:r>
          </w:p>
        </w:tc>
        <w:tc>
          <w:tcPr>
            <w:tcW w:type="dxa" w:w="73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Y3</w:t>
            </w:r>
          </w:p>
        </w:tc>
        <w:tc>
          <w:tcPr>
            <w:tcW w:type="dxa" w:w="154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Monthly cost</w:t>
            </w:r>
          </w:p>
        </w:tc>
      </w:tr>
      <w:tr>
        <w:trPr>
          <w:cantSplit w:val="true"/>
        </w:trPr>
        <w:tc>
          <w:tcPr>
            <w:tcW w:type="dxa" w:w="201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Leadership</w:t>
            </w: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Chief Executive Officer</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w:t>
            </w:r>
          </w:p>
        </w:tc>
      </w:tr>
      <w:tr>
        <w:trPr>
          <w:cantSplit w:val="true"/>
        </w:trPr>
        <w:tc>
          <w:tcPr>
            <w:tcW w:type="dxa" w:w="2017"/>
            <w:shd w:val="clear" w:fill="F5F6F8"/>
            <w:tcMar>
              <w:top w:w="73" w:type="dxa"/>
              <w:start w:w="90" w:type="dxa"/>
              <w:bottom w:w="73" w:type="dxa"/>
              <w:end w:w="79" w:type="dxa"/>
            </w:tcMar>
          </w:tcPr>
          <w:p>
            <w:pPr>
              <w:spacing w:after="0" w:line="288" w:lineRule="auto"/>
            </w:pP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Chief Operating Officer</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w:t>
            </w:r>
          </w:p>
        </w:tc>
      </w:tr>
      <w:tr>
        <w:trPr>
          <w:cantSplit w:val="true"/>
        </w:trPr>
        <w:tc>
          <w:tcPr>
            <w:tcW w:type="dxa" w:w="2017"/>
            <w:tcMar>
              <w:top w:w="73" w:type="dxa"/>
              <w:start w:w="90" w:type="dxa"/>
              <w:bottom w:w="73" w:type="dxa"/>
              <w:end w:w="79" w:type="dxa"/>
            </w:tcMar>
          </w:tcPr>
          <w:p>
            <w:pPr>
              <w:spacing w:after="0" w:line="288" w:lineRule="auto"/>
            </w:pP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Chief Technology Officer</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w:t>
            </w:r>
          </w:p>
        </w:tc>
      </w:tr>
      <w:tr>
        <w:trPr>
          <w:cantSplit w:val="true"/>
        </w:trPr>
        <w:tc>
          <w:tcPr>
            <w:tcW w:type="dxa" w:w="201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Product and Engineering</w:t>
            </w: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Senior full-stack engineer</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w:t>
            </w:r>
          </w:p>
        </w:tc>
      </w:tr>
      <w:tr>
        <w:trPr>
          <w:cantSplit w:val="true"/>
        </w:trPr>
        <w:tc>
          <w:tcPr>
            <w:tcW w:type="dxa" w:w="2017"/>
            <w:tcMar>
              <w:top w:w="73" w:type="dxa"/>
              <w:start w:w="90" w:type="dxa"/>
              <w:bottom w:w="73" w:type="dxa"/>
              <w:end w:w="79" w:type="dxa"/>
            </w:tcMar>
          </w:tcPr>
          <w:p>
            <w:pPr>
              <w:spacing w:after="0" w:line="288" w:lineRule="auto"/>
            </w:pP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AI engineer (Co-Founder, review scoring)</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$2,800</w:t>
            </w:r>
          </w:p>
        </w:tc>
      </w:tr>
      <w:tr>
        <w:trPr>
          <w:cantSplit w:val="true"/>
        </w:trPr>
        <w:tc>
          <w:tcPr>
            <w:tcW w:type="dxa" w:w="2017"/>
            <w:shd w:val="clear" w:fill="F5F6F8"/>
            <w:tcMar>
              <w:top w:w="73" w:type="dxa"/>
              <w:start w:w="90" w:type="dxa"/>
              <w:bottom w:w="73" w:type="dxa"/>
              <w:end w:w="79" w:type="dxa"/>
            </w:tcMar>
          </w:tcPr>
          <w:p>
            <w:pPr>
              <w:spacing w:after="0" w:line="288" w:lineRule="auto"/>
            </w:pP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Product designer</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w:t>
            </w:r>
          </w:p>
        </w:tc>
      </w:tr>
      <w:tr>
        <w:trPr>
          <w:cantSplit w:val="true"/>
        </w:trPr>
        <w:tc>
          <w:tcPr>
            <w:tcW w:type="dxa" w:w="2017"/>
            <w:tcMar>
              <w:top w:w="73" w:type="dxa"/>
              <w:start w:w="90" w:type="dxa"/>
              <w:bottom w:w="73" w:type="dxa"/>
              <w:end w:w="79" w:type="dxa"/>
            </w:tcMar>
          </w:tcPr>
          <w:p>
            <w:pPr>
              <w:spacing w:after="0" w:line="288" w:lineRule="auto"/>
            </w:pP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QA and platform reliability</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$1,300</w:t>
            </w:r>
          </w:p>
        </w:tc>
      </w:tr>
      <w:tr>
        <w:trPr>
          <w:cantSplit w:val="true"/>
        </w:trPr>
        <w:tc>
          <w:tcPr>
            <w:tcW w:type="dxa" w:w="201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Curriculum and Content</w:t>
            </w: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Curriculum</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w:t>
            </w:r>
          </w:p>
        </w:tc>
      </w:tr>
      <w:tr>
        <w:trPr>
          <w:cantSplit w:val="true"/>
        </w:trPr>
        <w:tc>
          <w:tcPr>
            <w:tcW w:type="dxa" w:w="2017"/>
            <w:tcMar>
              <w:top w:w="73" w:type="dxa"/>
              <w:start w:w="90" w:type="dxa"/>
              <w:bottom w:w="73" w:type="dxa"/>
              <w:end w:w="79" w:type="dxa"/>
            </w:tcMar>
          </w:tcPr>
          <w:p>
            <w:pPr>
              <w:spacing w:after="0" w:line="288" w:lineRule="auto"/>
            </w:pP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Curriculum producer</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w:t>
            </w:r>
          </w:p>
        </w:tc>
      </w:tr>
      <w:tr>
        <w:trPr>
          <w:cantSplit w:val="true"/>
        </w:trPr>
        <w:tc>
          <w:tcPr>
            <w:tcW w:type="dxa" w:w="2017"/>
            <w:shd w:val="clear" w:fill="F5F6F8"/>
            <w:tcMar>
              <w:top w:w="73" w:type="dxa"/>
              <w:start w:w="90" w:type="dxa"/>
              <w:bottom w:w="73" w:type="dxa"/>
              <w:end w:w="79" w:type="dxa"/>
            </w:tcMar>
          </w:tcPr>
          <w:p>
            <w:pPr>
              <w:spacing w:after="0" w:line="288" w:lineRule="auto"/>
            </w:pP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Localisation lead (EG / KSA dialect)</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w:t>
            </w:r>
          </w:p>
        </w:tc>
      </w:tr>
      <w:tr>
        <w:trPr>
          <w:cantSplit w:val="true"/>
        </w:trPr>
        <w:tc>
          <w:tcPr>
            <w:tcW w:type="dxa" w:w="201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Delivery</w:t>
            </w: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Delivery Manager — Egypt</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w:t>
            </w:r>
          </w:p>
        </w:tc>
      </w:tr>
      <w:tr>
        <w:trPr>
          <w:cantSplit w:val="true"/>
        </w:trPr>
        <w:tc>
          <w:tcPr>
            <w:tcW w:type="dxa" w:w="2017"/>
            <w:shd w:val="clear" w:fill="F5F6F8"/>
            <w:tcMar>
              <w:top w:w="73" w:type="dxa"/>
              <w:start w:w="90" w:type="dxa"/>
              <w:bottom w:w="73" w:type="dxa"/>
              <w:end w:w="79" w:type="dxa"/>
            </w:tcMar>
          </w:tcPr>
          <w:p>
            <w:pPr>
              <w:spacing w:after="0" w:line="288" w:lineRule="auto"/>
            </w:pP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Delivery Manager — KSA</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$4,500</w:t>
            </w:r>
          </w:p>
        </w:tc>
      </w:tr>
      <w:tr>
        <w:trPr>
          <w:cantSplit w:val="true"/>
        </w:trPr>
        <w:tc>
          <w:tcPr>
            <w:tcW w:type="dxa" w:w="2017"/>
            <w:tcMar>
              <w:top w:w="73" w:type="dxa"/>
              <w:start w:w="90" w:type="dxa"/>
              <w:bottom w:w="73" w:type="dxa"/>
              <w:end w:w="79" w:type="dxa"/>
            </w:tcMar>
          </w:tcPr>
          <w:p>
            <w:pPr>
              <w:spacing w:after="0" w:line="288" w:lineRule="auto"/>
            </w:pP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Lead facilitator</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w:t>
            </w:r>
          </w:p>
        </w:tc>
      </w:tr>
      <w:tr>
        <w:trPr>
          <w:cantSplit w:val="true"/>
        </w:trPr>
        <w:tc>
          <w:tcPr>
            <w:tcW w:type="dxa" w:w="2017"/>
            <w:shd w:val="clear" w:fill="F5F6F8"/>
            <w:tcMar>
              <w:top w:w="73" w:type="dxa"/>
              <w:start w:w="90" w:type="dxa"/>
              <w:bottom w:w="73" w:type="dxa"/>
              <w:end w:w="79" w:type="dxa"/>
            </w:tcMar>
          </w:tcPr>
          <w:p>
            <w:pPr>
              <w:spacing w:after="0" w:line="288" w:lineRule="auto"/>
            </w:pP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Mentor network manager</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$1,300</w:t>
            </w:r>
          </w:p>
        </w:tc>
      </w:tr>
      <w:tr>
        <w:trPr>
          <w:cantSplit w:val="true"/>
        </w:trPr>
        <w:tc>
          <w:tcPr>
            <w:tcW w:type="dxa" w:w="201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Growth and Marketing</w:t>
            </w: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Growth</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w:t>
            </w:r>
          </w:p>
        </w:tc>
      </w:tr>
      <w:tr>
        <w:trPr>
          <w:cantSplit w:val="true"/>
        </w:trPr>
        <w:tc>
          <w:tcPr>
            <w:tcW w:type="dxa" w:w="2017"/>
            <w:shd w:val="clear" w:fill="F5F6F8"/>
            <w:tcMar>
              <w:top w:w="73" w:type="dxa"/>
              <w:start w:w="90" w:type="dxa"/>
              <w:bottom w:w="73" w:type="dxa"/>
              <w:end w:w="79" w:type="dxa"/>
            </w:tcMar>
          </w:tcPr>
          <w:p>
            <w:pPr>
              <w:spacing w:after="0" w:line="288" w:lineRule="auto"/>
            </w:pP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Ambassador programme manager</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w:t>
            </w:r>
          </w:p>
        </w:tc>
      </w:tr>
      <w:tr>
        <w:trPr>
          <w:cantSplit w:val="true"/>
        </w:trPr>
        <w:tc>
          <w:tcPr>
            <w:tcW w:type="dxa" w:w="2017"/>
            <w:tcMar>
              <w:top w:w="73" w:type="dxa"/>
              <w:start w:w="90" w:type="dxa"/>
              <w:bottom w:w="73" w:type="dxa"/>
              <w:end w:w="79" w:type="dxa"/>
            </w:tcMar>
          </w:tcPr>
          <w:p>
            <w:pPr>
              <w:spacing w:after="0" w:line="288" w:lineRule="auto"/>
            </w:pP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Video and podcast producer</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$1,300</w:t>
            </w:r>
          </w:p>
        </w:tc>
      </w:tr>
      <w:tr>
        <w:trPr>
          <w:cantSplit w:val="true"/>
        </w:trPr>
        <w:tc>
          <w:tcPr>
            <w:tcW w:type="dxa" w:w="2017"/>
            <w:shd w:val="clear" w:fill="F5F6F8"/>
            <w:tcMar>
              <w:top w:w="73" w:type="dxa"/>
              <w:start w:w="90" w:type="dxa"/>
              <w:bottom w:w="73" w:type="dxa"/>
              <w:end w:w="79" w:type="dxa"/>
            </w:tcMar>
          </w:tcPr>
          <w:p>
            <w:pPr>
              <w:spacing w:after="0" w:line="288" w:lineRule="auto"/>
            </w:pP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Performance marketer</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w:t>
            </w:r>
          </w:p>
        </w:tc>
      </w:tr>
      <w:tr>
        <w:trPr>
          <w:cantSplit w:val="true"/>
        </w:trPr>
        <w:tc>
          <w:tcPr>
            <w:tcW w:type="dxa" w:w="201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Partnerships</w:t>
            </w: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Institutional Partnerships — Egypt</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$2,200</w:t>
            </w:r>
          </w:p>
        </w:tc>
      </w:tr>
      <w:tr>
        <w:trPr>
          <w:cantSplit w:val="true"/>
        </w:trPr>
        <w:tc>
          <w:tcPr>
            <w:tcW w:type="dxa" w:w="2017"/>
            <w:shd w:val="clear" w:fill="F5F6F8"/>
            <w:tcMar>
              <w:top w:w="73" w:type="dxa"/>
              <w:start w:w="90" w:type="dxa"/>
              <w:bottom w:w="73" w:type="dxa"/>
              <w:end w:w="79" w:type="dxa"/>
            </w:tcMar>
          </w:tcPr>
          <w:p>
            <w:pPr>
              <w:spacing w:after="0" w:line="288" w:lineRule="auto"/>
            </w:pP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Country Manager — KSA (Riyadh)</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$5,000</w:t>
            </w:r>
          </w:p>
        </w:tc>
      </w:tr>
      <w:tr>
        <w:trPr>
          <w:cantSplit w:val="true"/>
        </w:trPr>
        <w:tc>
          <w:tcPr>
            <w:tcW w:type="dxa" w:w="2017"/>
            <w:tcMar>
              <w:top w:w="73" w:type="dxa"/>
              <w:start w:w="90" w:type="dxa"/>
              <w:bottom w:w="73" w:type="dxa"/>
              <w:end w:w="79" w:type="dxa"/>
            </w:tcMar>
          </w:tcPr>
          <w:p>
            <w:pPr>
              <w:spacing w:after="0" w:line="288" w:lineRule="auto"/>
            </w:pP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Partnerships associate</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w:t>
            </w:r>
          </w:p>
        </w:tc>
      </w:tr>
      <w:tr>
        <w:trPr>
          <w:cantSplit w:val="true"/>
        </w:trPr>
        <w:tc>
          <w:tcPr>
            <w:tcW w:type="dxa" w:w="201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Operations and Finance</w:t>
            </w: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Finance and administration manager</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w:t>
            </w:r>
          </w:p>
        </w:tc>
      </w:tr>
      <w:tr>
        <w:trPr>
          <w:cantSplit w:val="true"/>
        </w:trPr>
        <w:tc>
          <w:tcPr>
            <w:tcW w:type="dxa" w:w="2017"/>
            <w:tcMar>
              <w:top w:w="73" w:type="dxa"/>
              <w:start w:w="90" w:type="dxa"/>
              <w:bottom w:w="73" w:type="dxa"/>
              <w:end w:w="79" w:type="dxa"/>
            </w:tcMar>
          </w:tcPr>
          <w:p>
            <w:pPr>
              <w:spacing w:after="0" w:line="288" w:lineRule="auto"/>
            </w:pP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Student success (bilingual)</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$900</w:t>
            </w:r>
          </w:p>
        </w:tc>
      </w:tr>
      <w:tr>
        <w:trPr>
          <w:cantSplit w:val="true"/>
        </w:trPr>
        <w:tc>
          <w:tcPr>
            <w:tcW w:type="dxa" w:w="201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3630"/>
            <w:shd w:val="clear" w:fill="CBF24A"/>
            <w:tcMar>
              <w:top w:w="73" w:type="dxa"/>
              <w:start w:w="90" w:type="dxa"/>
              <w:bottom w:w="73" w:type="dxa"/>
              <w:end w:w="79" w:type="dxa"/>
            </w:tcMar>
          </w:tcPr>
          <w:p>
            <w:pPr>
              <w:spacing w:after="0" w:line="288" w:lineRule="auto"/>
            </w:pPr>
          </w:p>
        </w:tc>
        <w:tc>
          <w:tcPr>
            <w:tcW w:type="dxa" w:w="739"/>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29</w:t>
            </w:r>
          </w:p>
        </w:tc>
        <w:tc>
          <w:tcPr>
            <w:tcW w:type="dxa" w:w="739"/>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56</w:t>
            </w:r>
          </w:p>
        </w:tc>
        <w:tc>
          <w:tcPr>
            <w:tcW w:type="dxa" w:w="739"/>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94</w:t>
            </w:r>
          </w:p>
        </w:tc>
        <w:tc>
          <w:tcPr>
            <w:tcW w:type="dxa" w:w="1546"/>
            <w:shd w:val="clear" w:fill="CBF24A"/>
            <w:tcMar>
              <w:top w:w="73" w:type="dxa"/>
              <w:start w:w="90" w:type="dxa"/>
              <w:bottom w:w="73" w:type="dxa"/>
              <w:end w:w="79" w:type="dxa"/>
            </w:tcMar>
          </w:tcPr>
          <w:p>
            <w:pPr>
              <w:spacing w:after="0" w:line="288" w:lineRule="auto"/>
            </w:pPr>
          </w:p>
        </w:tc>
      </w:tr>
    </w:tbl>
    <w:p>
      <w:pPr>
        <w:keepLines w:val="true"/>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771826"/>
            <wp:docPr id="15" name="Picture 15"/>
            <wp:cNvGraphicFramePr>
              <a:graphicFrameLocks noChangeAspect="1"/>
            </wp:cNvGraphicFramePr>
            <a:graphic>
              <a:graphicData uri="http://schemas.openxmlformats.org/drawingml/2006/picture">
                <pic:pic>
                  <pic:nvPicPr>
                    <pic:cNvPr id="0" name="headcount.png"/>
                    <pic:cNvPicPr/>
                  </pic:nvPicPr>
                  <pic:blipFill>
                    <a:blip r:embed="rId25"/>
                    <a:stretch>
                      <a:fillRect/>
                    </a:stretch>
                  </pic:blipFill>
                  <pic:spPr>
                    <a:xfrm>
                      <a:off x="0" y="0"/>
                      <a:ext cx="5976000" cy="2771826"/>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Headcount by function. Delivery and partnerships grow fastest, because they are what the revenue is made of.</w:t>
      </w:r>
    </w:p>
    <w:p>
      <w:pPr>
        <w:keepNext/>
        <w:keepLines w:val="true"/>
        <w:widowControl w:val="true"/>
        <w:spacing w:before="300" w:after="100" w:line="288" w:lineRule="auto"/>
      </w:pPr>
      <w:r>
        <w:rPr>
          <w:rFonts w:ascii="Plus Jakarta Sans" w:hAnsi="Plus Jakarta Sans" w:cs="Segoe UI"/>
          <w:b/>
          <w:i w:val="0"/>
          <w:color w:val="0B0E14"/>
          <w:sz w:val="26"/>
          <w:szCs w:val="26"/>
        </w:rPr>
        <w:t>Two layers that are not on the payroll</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Certified freelance facilitators</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cohort business runs on them. Four lead facilitators are employed; everything above 36 cohorts a year is delivered by a certified pool paid $120 a day. This keeps the largest variable cost variable, which is what protects the business in a quarter when a university postpones.</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96 campus ambassadors</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stipend, free Pro access and standing — not a salary. They are the cheapest acquisition channel at $68 per paying founder, and more importantly they are the early-warning system for which campuses are ready to buy.</w:t>
      </w:r>
    </w:p>
    <w:p>
      <w:pPr>
        <w:keepNext/>
        <w:keepLines w:val="true"/>
        <w:widowControl w:val="true"/>
        <w:spacing w:before="300" w:after="100" w:line="288" w:lineRule="auto"/>
      </w:pPr>
      <w:r>
        <w:rPr>
          <w:rFonts w:ascii="Plus Jakarta Sans" w:hAnsi="Plus Jakarta Sans" w:cs="Segoe UI"/>
          <w:b/>
          <w:i w:val="0"/>
          <w:color w:val="0B0E14"/>
          <w:sz w:val="26"/>
          <w:szCs w:val="26"/>
        </w:rPr>
        <w:t>The hiring sequence, and why this order</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Before anything — the KSA country manager.</w:t>
      </w:r>
      <w:r>
        <w:rPr>
          <w:rFonts w:ascii="Plus Jakarta Sans" w:hAnsi="Plus Jakarta Sans" w:cs="Segoe UI"/>
          <w:b w:val="0"/>
          <w:i w:val="0"/>
          <w:color w:val="0B0E14"/>
          <w:sz w:val="19"/>
          <w:szCs w:val="19"/>
        </w:rPr>
        <w:t xml:space="preserve"> The most expensive single hire in the plan and the first one, because the Saudi motion is partnership-led and a partnership cycle is long. Hiring this role late would push Saudi revenue out of year one entirely.</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Land quarter — delivery and curriculum.</w:t>
      </w:r>
      <w:r>
        <w:rPr>
          <w:rFonts w:ascii="Plus Jakarta Sans" w:hAnsi="Plus Jakarta Sans" w:cs="Segoe UI"/>
          <w:b w:val="0"/>
          <w:i w:val="0"/>
          <w:color w:val="0B0E14"/>
          <w:sz w:val="19"/>
          <w:szCs w:val="19"/>
        </w:rPr>
        <w:t xml:space="preserve"> Four lead facilitators and the Head of Curriculum, before any sales capacity. Four free pilots have to run flawlessly because they are the only sales collateral the Prove quarter will have.</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Prove quarter — partnerships and the ambassador manager.</w:t>
      </w:r>
      <w:r>
        <w:rPr>
          <w:rFonts w:ascii="Plus Jakarta Sans" w:hAnsi="Plus Jakarta Sans" w:cs="Segoe UI"/>
          <w:b w:val="0"/>
          <w:i w:val="0"/>
          <w:color w:val="0B0E14"/>
          <w:sz w:val="19"/>
          <w:szCs w:val="19"/>
        </w:rPr>
        <w:t xml:space="preserve"> Now that there are cohort reports to show, the partnerships associates and the ambassador programme manager can convert them.</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Expand quarter — engineering and student success.</w:t>
      </w:r>
      <w:r>
        <w:rPr>
          <w:rFonts w:ascii="Plus Jakarta Sans" w:hAnsi="Plus Jakarta Sans" w:cs="Segoe UI"/>
          <w:b w:val="0"/>
          <w:i w:val="0"/>
          <w:color w:val="0B0E14"/>
          <w:sz w:val="19"/>
          <w:szCs w:val="19"/>
        </w:rPr>
        <w:t xml:space="preserve"> Cohort volume triples. The admin workspace, the reporting exports and the review pipeline all need to hold at a volume they have not seen, and support load arrives with the students.</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Scale quarter — the second delivery manager and the facilitator pool.</w:t>
      </w:r>
      <w:r>
        <w:rPr>
          <w:rFonts w:ascii="Plus Jakarta Sans" w:hAnsi="Plus Jakarta Sans" w:cs="Segoe UI"/>
          <w:b w:val="0"/>
          <w:i w:val="0"/>
          <w:color w:val="0B0E14"/>
          <w:sz w:val="19"/>
          <w:szCs w:val="19"/>
        </w:rPr>
        <w:t xml:space="preserve"> The quarter peaks at 11 facilitators. Certification of the pool must be complete before the quarter starts, not during it.</w:t>
      </w:r>
    </w:p>
    <w:p>
      <w:pPr>
        <w:keepNext/>
        <w:keepLines w:val="true"/>
        <w:widowControl w:val="true"/>
        <w:spacing w:before="300" w:after="100" w:line="288" w:lineRule="auto"/>
      </w:pPr>
      <w:r>
        <w:rPr>
          <w:rFonts w:ascii="Plus Jakarta Sans" w:hAnsi="Plus Jakarta Sans" w:cs="Segoe UI"/>
          <w:b/>
          <w:i w:val="0"/>
          <w:color w:val="0B0E14"/>
          <w:sz w:val="26"/>
          <w:szCs w:val="26"/>
        </w:rPr>
        <w:t>Compensation and retention</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Cairo base, Riyadh exception</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Most roles are priced at Cairo. Two are priced at Riyadh — the country manager at $5,000 and the Saudi delivery manager at $4,500 a month — and together they are 25% of year-one payroll across two of 29 people. Under-pricing them is the most common way this plan fails quietly.</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Founders below market</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three leadership roles are at $3,000 a month, below what any of them could earn elsewhere. This is a deliberate runway decision and it should be corrected at the year-two raise, not left as a permanent feature.</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Facilitators are a career, not a gig</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certified pool is the operational asset. Certification, a rising day rate by tier, first refusal on employed lead-facilitator roles and visible cohort outcomes are what stop the pool leaking to the consultancies that compete for exactly these people.</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Bilingual is a requirement, not a preference</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student-facing and delivery role needs working Arabic and English. The content roles need more than that: Egyptian colloquial for Egypt and Saudi dialect for the Kingdom, composed rather than translated.</w:t>
      </w:r>
    </w:p>
    <w:p>
      <w:pPr>
        <w:keepNext/>
        <w:pageBreakBefore w:val="true"/>
        <w:spacing w:before="0" w:after="20"/>
      </w:pPr>
      <w:r>
        <w:rPr>
          <w:rFonts w:ascii="Plus Jakarta Sans" w:hAnsi="Plus Jakarta Sans" w:cs="Segoe UI"/>
          <w:b/>
          <w:i w:val="0"/>
          <w:color w:val="3418E0"/>
          <w:spacing w:val="28"/>
          <w:sz w:val="16"/>
          <w:szCs w:val="16"/>
        </w:rPr>
        <w:t>SECTION 10</w:t>
      </w:r>
    </w:p>
    <w:p>
      <w:pPr>
        <w:keepNext/>
        <w:spacing w:before="40" w:after="120"/>
      </w:pPr>
      <w:r>
        <w:rPr>
          <w:rFonts w:ascii="Plus Jakarta Sans" w:hAnsi="Plus Jakarta Sans" w:cs="Segoe UI"/>
          <w:b/>
          <w:i w:val="0"/>
          <w:color w:val="0B0E14"/>
          <w:sz w:val="42"/>
          <w:szCs w:val="42"/>
        </w:rPr>
        <w:t>Operational plan</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What has to be true, and in what order, for the go-to-market plan to be deliverable rather than aspirational. This section is the answer to: what do we actually need to accomplish the GTM plan?</w:t>
      </w:r>
    </w:p>
    <w:p>
      <w:pPr>
        <w:keepNext/>
        <w:keepLines w:val="true"/>
        <w:widowControl w:val="true"/>
        <w:spacing w:before="300" w:after="100" w:line="288" w:lineRule="auto"/>
      </w:pPr>
      <w:r>
        <w:rPr>
          <w:rFonts w:ascii="Plus Jakarta Sans" w:hAnsi="Plus Jakarta Sans" w:cs="Segoe UI"/>
          <w:b/>
          <w:i w:val="0"/>
          <w:color w:val="0B0E14"/>
          <w:sz w:val="26"/>
          <w:szCs w:val="26"/>
        </w:rPr>
        <w:t>The binding constraint</w:t>
      </w:r>
    </w:p>
    <w:p>
      <w:pPr>
        <w:keepLines w:val="true"/>
        <w:widowControl w:val="true"/>
        <w:spacing w:before="0" w:after="100" w:line="322" w:lineRule="auto"/>
      </w:pPr>
      <w:r>
        <w:rPr>
          <w:rFonts w:ascii="Plus Jakarta Sans" w:hAnsi="Plus Jakarta Sans" w:cs="Segoe UI"/>
          <w:b w:val="0"/>
          <w:i w:val="0"/>
          <w:color w:val="0B0E14"/>
          <w:sz w:val="19"/>
          <w:szCs w:val="19"/>
        </w:rPr>
        <w:t>Demand is not the constraint in year one. Delivery capacity is. A facilitator pair runs one cohort per two weeks and needs slack for travel, preparation and the weeks a campus is closed, which comes to 18 cohorts a pair a year. The quarterly plan therefore converts directly into a facilitator headcount, and that number is the operating plan's primary schedule.</w:t>
      </w:r>
    </w:p>
    <w:p>
      <w:pPr>
        <w:keepNext/>
        <w:spacing w:before="160" w:after="60"/>
        <w:jc w:val="center"/>
      </w:pPr>
      <w:r>
        <w:drawing>
          <wp:inline xmlns:a="http://schemas.openxmlformats.org/drawingml/2006/main" xmlns:pic="http://schemas.openxmlformats.org/drawingml/2006/picture">
            <wp:extent cx="5976000" cy="2706803"/>
            <wp:docPr id="16" name="Picture 16"/>
            <wp:cNvGraphicFramePr>
              <a:graphicFrameLocks noChangeAspect="1"/>
            </wp:cNvGraphicFramePr>
            <a:graphic>
              <a:graphicData uri="http://schemas.openxmlformats.org/drawingml/2006/picture">
                <pic:pic>
                  <pic:nvPicPr>
                    <pic:cNvPr id="0" name="cohort_ramp.png"/>
                    <pic:cNvPicPr/>
                  </pic:nvPicPr>
                  <pic:blipFill>
                    <a:blip r:embed="rId26"/>
                    <a:stretch>
                      <a:fillRect/>
                    </a:stretch>
                  </pic:blipFill>
                  <pic:spPr>
                    <a:xfrm>
                      <a:off x="0" y="0"/>
                      <a:ext cx="5976000" cy="2706803"/>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Cohorts by quarter against the facilitators required to deliver them. The Scale quarter needs roughly four times the facilitator capacity of the Land quarter.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605"/>
        <w:gridCol w:w="1386"/>
        <w:gridCol w:w="1386"/>
        <w:gridCol w:w="1240"/>
        <w:gridCol w:w="1313"/>
        <w:gridCol w:w="1021"/>
        <w:gridCol w:w="1459"/>
      </w:tblGrid>
      <w:tr>
        <w:trPr>
          <w:tblHeader w:val="true"/>
        </w:trPr>
        <w:tc>
          <w:tcPr>
            <w:tcW w:type="dxa" w:w="160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Quarter</w:t>
            </w:r>
          </w:p>
        </w:tc>
        <w:tc>
          <w:tcPr>
            <w:tcW w:type="dxa" w:w="13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Phase</w:t>
            </w:r>
          </w:p>
        </w:tc>
        <w:tc>
          <w:tcPr>
            <w:tcW w:type="dxa" w:w="13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Egypt paid</w:t>
            </w:r>
          </w:p>
        </w:tc>
        <w:tc>
          <w:tcPr>
            <w:tcW w:type="dxa" w:w="124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KSA paid</w:t>
            </w:r>
          </w:p>
        </w:tc>
        <w:tc>
          <w:tcPr>
            <w:tcW w:type="dxa" w:w="131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Free pilots</w:t>
            </w:r>
          </w:p>
        </w:tc>
        <w:tc>
          <w:tcPr>
            <w:tcW w:type="dxa" w:w="102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Total</w:t>
            </w:r>
          </w:p>
        </w:tc>
        <w:tc>
          <w:tcPr>
            <w:tcW w:type="dxa" w:w="145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Facilitators</w:t>
            </w:r>
          </w:p>
        </w:tc>
      </w:tr>
      <w:tr>
        <w:trPr>
          <w:cantSplit w:val="true"/>
        </w:trPr>
        <w:tc>
          <w:tcPr>
            <w:tcW w:type="dxa" w:w="160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2026</w:t>
            </w:r>
          </w:p>
        </w:tc>
        <w:tc>
          <w:tcPr>
            <w:tcW w:type="dxa" w:w="13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Land</w:t>
            </w:r>
          </w:p>
        </w:tc>
        <w:tc>
          <w:tcPr>
            <w:tcW w:type="dxa" w:w="13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13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02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4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r>
      <w:tr>
        <w:trPr>
          <w:cantSplit w:val="true"/>
        </w:trPr>
        <w:tc>
          <w:tcPr>
            <w:tcW w:type="dxa" w:w="160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Q1 2027</w:t>
            </w:r>
          </w:p>
        </w:tc>
        <w:tc>
          <w:tcPr>
            <w:tcW w:type="dxa" w:w="13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Prove</w:t>
            </w:r>
          </w:p>
        </w:tc>
        <w:tc>
          <w:tcPr>
            <w:tcW w:type="dxa" w:w="13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2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3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02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4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r>
      <w:tr>
        <w:trPr>
          <w:cantSplit w:val="true"/>
        </w:trPr>
        <w:tc>
          <w:tcPr>
            <w:tcW w:type="dxa" w:w="160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Q2 2027</w:t>
            </w:r>
          </w:p>
        </w:tc>
        <w:tc>
          <w:tcPr>
            <w:tcW w:type="dxa" w:w="13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Expand</w:t>
            </w:r>
          </w:p>
        </w:tc>
        <w:tc>
          <w:tcPr>
            <w:tcW w:type="dxa" w:w="13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2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w:t>
            </w:r>
          </w:p>
        </w:tc>
        <w:tc>
          <w:tcPr>
            <w:tcW w:type="dxa" w:w="13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02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w:t>
            </w:r>
          </w:p>
        </w:tc>
        <w:tc>
          <w:tcPr>
            <w:tcW w:type="dxa" w:w="14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r>
      <w:tr>
        <w:trPr>
          <w:cantSplit w:val="true"/>
        </w:trPr>
        <w:tc>
          <w:tcPr>
            <w:tcW w:type="dxa" w:w="160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Q3 2027</w:t>
            </w:r>
          </w:p>
        </w:tc>
        <w:tc>
          <w:tcPr>
            <w:tcW w:type="dxa" w:w="13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w:t>
            </w:r>
          </w:p>
        </w:tc>
        <w:tc>
          <w:tcPr>
            <w:tcW w:type="dxa" w:w="13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12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13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02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14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r>
      <w:tr>
        <w:trPr>
          <w:cantSplit w:val="true"/>
        </w:trPr>
        <w:tc>
          <w:tcPr>
            <w:tcW w:type="dxa" w:w="160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one</w:t>
            </w:r>
          </w:p>
        </w:tc>
        <w:tc>
          <w:tcPr>
            <w:tcW w:type="dxa" w:w="1386"/>
            <w:shd w:val="clear" w:fill="CBF24A"/>
            <w:tcMar>
              <w:top w:w="73" w:type="dxa"/>
              <w:start w:w="90" w:type="dxa"/>
              <w:bottom w:w="73" w:type="dxa"/>
              <w:end w:w="79" w:type="dxa"/>
            </w:tcMar>
          </w:tcPr>
          <w:p>
            <w:pPr>
              <w:spacing w:after="0" w:line="288" w:lineRule="auto"/>
            </w:pPr>
          </w:p>
        </w:tc>
        <w:tc>
          <w:tcPr>
            <w:tcW w:type="dxa" w:w="1386"/>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34</w:t>
            </w:r>
          </w:p>
        </w:tc>
        <w:tc>
          <w:tcPr>
            <w:tcW w:type="dxa" w:w="124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22</w:t>
            </w:r>
          </w:p>
        </w:tc>
        <w:tc>
          <w:tcPr>
            <w:tcW w:type="dxa" w:w="1313"/>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w:t>
            </w:r>
          </w:p>
        </w:tc>
        <w:tc>
          <w:tcPr>
            <w:tcW w:type="dxa" w:w="1021"/>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60</w:t>
            </w:r>
          </w:p>
        </w:tc>
        <w:tc>
          <w:tcPr>
            <w:tcW w:type="dxa" w:w="1459"/>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peak 11</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Readiness — what must exist before each phase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909"/>
        <w:gridCol w:w="5729"/>
        <w:gridCol w:w="1773"/>
      </w:tblGrid>
      <w:tr>
        <w:trPr>
          <w:tblHeader w:val="true"/>
        </w:trPr>
        <w:tc>
          <w:tcPr>
            <w:tcW w:type="dxa" w:w="19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By the start of</w:t>
            </w:r>
          </w:p>
        </w:tc>
        <w:tc>
          <w:tcPr>
            <w:tcW w:type="dxa" w:w="57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must be ready</w:t>
            </w:r>
          </w:p>
        </w:tc>
        <w:tc>
          <w:tcPr>
            <w:tcW w:type="dxa" w:w="177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Owner</w:t>
            </w:r>
          </w:p>
        </w:tc>
      </w:tr>
      <w:tr>
        <w:trPr>
          <w:cantSplit w:val="true"/>
        </w:trPr>
        <w:tc>
          <w:tcPr>
            <w:tcW w:type="dxa" w:w="190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2026 · Land</w:t>
            </w:r>
          </w:p>
        </w:tc>
        <w:tc>
          <w:tcPr>
            <w:tcW w:type="dxa" w:w="57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Four certified facilitators · the six-day curriculum and all materials in both languages · the admin workspace with cohort creation and invitations · a signed pilot agreement template · the Riyadh country manager in post</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COO</w:t>
            </w:r>
          </w:p>
        </w:tc>
      </w:tr>
      <w:tr>
        <w:trPr>
          <w:cantSplit w:val="true"/>
        </w:trPr>
        <w:tc>
          <w:tcPr>
            <w:tcW w:type="dxa" w:w="190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Q1 2027 · Prove</w:t>
            </w:r>
          </w:p>
        </w:tc>
        <w:tc>
          <w:tcPr>
            <w:tcW w:type="dxa" w:w="57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cohort report, automatically generated and presentable without editing · judging rubric and certificates · four completed pilot reports · the first competition format and platform entry flow</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COO and Head of Curriculum</w:t>
            </w:r>
          </w:p>
        </w:tc>
      </w:tr>
      <w:tr>
        <w:trPr>
          <w:cantSplit w:val="true"/>
        </w:trPr>
        <w:tc>
          <w:tcPr>
            <w:tcW w:type="dxa" w:w="190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Q2 2027 · Expand</w:t>
            </w:r>
          </w:p>
        </w:tc>
        <w:tc>
          <w:tcPr>
            <w:tcW w:type="dxa" w:w="57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Eight more certified facilitators · a partner onboarding pack for platform-only seats · bulk seat provisioning for sponsored cohorts · support cover in both languages at cohort volume</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Delivery Managers</w:t>
            </w:r>
          </w:p>
        </w:tc>
      </w:tr>
      <w:tr>
        <w:trPr>
          <w:cantSplit w:val="true"/>
        </w:trPr>
        <w:tc>
          <w:tcPr>
            <w:tcW w:type="dxa" w:w="190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Q3 2027 · Scale</w:t>
            </w:r>
          </w:p>
        </w:tc>
        <w:tc>
          <w:tcPr>
            <w:tcW w:type="dxa" w:w="57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full facilitator pool certified before the quarter opens · renewal pack and pricing for second-term licences · parallel-group scheduling for 100-plus intakes · Riyadh competition logistics</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COO and Head of Partnerships</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The cohort delivery machine</w:t>
      </w:r>
    </w:p>
    <w:p>
      <w:pPr>
        <w:keepLines w:val="true"/>
        <w:widowControl w:val="true"/>
        <w:spacing w:before="0" w:after="100" w:line="322" w:lineRule="auto"/>
      </w:pPr>
      <w:r>
        <w:rPr>
          <w:rFonts w:ascii="Plus Jakarta Sans" w:hAnsi="Plus Jakarta Sans" w:cs="Segoe UI"/>
          <w:b w:val="0"/>
          <w:i w:val="0"/>
          <w:color w:val="0B0E14"/>
          <w:sz w:val="19"/>
          <w:szCs w:val="19"/>
        </w:rPr>
        <w:t>Every cohort runs the same way, and the sameness is the point: it is what lets a freelance facilitator deliver a cohort the company has never seen, and what makes the cohort report comparable across institutions.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Scheduling.</w:t>
      </w:r>
      <w:r>
        <w:rPr>
          <w:rFonts w:ascii="Plus Jakarta Sans" w:hAnsi="Plus Jakarta Sans" w:cs="Segoe UI"/>
          <w:b w:val="0"/>
          <w:i w:val="0"/>
          <w:color w:val="0B0E14"/>
          <w:sz w:val="19"/>
          <w:szCs w:val="19"/>
        </w:rPr>
        <w:t xml:space="preserve"> Cohort dates are fixed against the academic calendar of the institution, not ours. Egyptian and Saudi terms differ, and Ramadan moves. The delivery calendar is built a term ahead and is the constraint sales sells against — never the other way round.</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Facilitator assignment.</w:t>
      </w:r>
      <w:r>
        <w:rPr>
          <w:rFonts w:ascii="Plus Jakarta Sans" w:hAnsi="Plus Jakarta Sans" w:cs="Segoe UI"/>
          <w:b w:val="0"/>
          <w:i w:val="0"/>
          <w:color w:val="0B0E14"/>
          <w:sz w:val="19"/>
          <w:szCs w:val="19"/>
        </w:rPr>
        <w:t xml:space="preserve"> A certified pair per group, with the lead facilitator employed for the first cohort at any new institution. The freelance pool covers repeat institutions, where the format is proven.</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Materials.</w:t>
      </w:r>
      <w:r>
        <w:rPr>
          <w:rFonts w:ascii="Plus Jakarta Sans" w:hAnsi="Plus Jakarta Sans" w:cs="Segoe UI"/>
          <w:b w:val="0"/>
          <w:i w:val="0"/>
          <w:color w:val="0B0E14"/>
          <w:sz w:val="19"/>
          <w:szCs w:val="19"/>
        </w:rPr>
        <w:t xml:space="preserve"> Printed kits, problem cards, canvases and certificates shipped to the venue a week ahead; digital copies in the admin workspace.</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The daily loop.</w:t>
      </w:r>
      <w:r>
        <w:rPr>
          <w:rFonts w:ascii="Plus Jakarta Sans" w:hAnsi="Plus Jakarta Sans" w:cs="Segoe UI"/>
          <w:b w:val="0"/>
          <w:i w:val="0"/>
          <w:color w:val="0B0E14"/>
          <w:sz w:val="19"/>
          <w:szCs w:val="19"/>
        </w:rPr>
        <w:t xml:space="preserve"> Opener on last night's StartPad progress; short input, then apply it; checkpoint marked Meets, Partly or Not yet; the team splits that night's missions and submits; AI feedback lands before the next opener. The loop repeats on days one to five.</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The Bazaar.</w:t>
      </w:r>
      <w:r>
        <w:rPr>
          <w:rFonts w:ascii="Plus Jakarta Sans" w:hAnsi="Plus Jakarta Sans" w:cs="Segoe UI"/>
          <w:b w:val="0"/>
          <w:i w:val="0"/>
          <w:color w:val="0B0E14"/>
          <w:sz w:val="19"/>
          <w:szCs w:val="19"/>
        </w:rPr>
        <w:t xml:space="preserve"> Day six is public — faculty, families, partners and judges. Judges see reviewed work, not slides. Certificates, photographs and the cohort report are issued the same week, because a report that arrives a month later does not renew anything.</w:t>
      </w:r>
    </w:p>
    <w:p>
      <w:pPr>
        <w:spacing w:after="100" w:line="317" w:lineRule="auto"/>
        <w:ind w:left="465" w:hanging="465"/>
      </w:pPr>
      <w:r>
        <w:rPr>
          <w:rFonts w:ascii="Plus Jakarta Sans" w:hAnsi="Plus Jakarta Sans" w:cs="Segoe UI"/>
          <w:b/>
          <w:color w:val="3418E0"/>
          <w:sz w:val="19"/>
          <w:szCs w:val="19"/>
        </w:rPr>
        <w:t xml:space="preserve">06   </w:t>
      </w:r>
      <w:r>
        <w:rPr>
          <w:rFonts w:ascii="Plus Jakarta Sans" w:hAnsi="Plus Jakarta Sans" w:cs="Segoe UI"/>
          <w:b/>
          <w:i w:val="0"/>
          <w:color w:val="0B0E14"/>
          <w:sz w:val="19"/>
          <w:szCs w:val="19"/>
        </w:rPr>
        <w:t>Handover.</w:t>
      </w:r>
      <w:r>
        <w:rPr>
          <w:rFonts w:ascii="Plus Jakarta Sans" w:hAnsi="Plus Jakarta Sans" w:cs="Segoe UI"/>
          <w:b w:val="0"/>
          <w:i w:val="0"/>
          <w:color w:val="0B0E14"/>
          <w:sz w:val="19"/>
          <w:szCs w:val="19"/>
        </w:rPr>
        <w:t xml:space="preserve"> Missions 11–15 stay open to the student afterwards, and the institution keeps visibility of progress. This is what turns a two-week engagement into a year-long relationship.</w:t>
      </w:r>
    </w:p>
    <w:p>
      <w:pPr>
        <w:keepNext/>
        <w:keepLines w:val="true"/>
        <w:widowControl w:val="true"/>
        <w:spacing w:before="300" w:after="100" w:line="288" w:lineRule="auto"/>
      </w:pPr>
      <w:r>
        <w:rPr>
          <w:rFonts w:ascii="Plus Jakarta Sans" w:hAnsi="Plus Jakarta Sans" w:cs="Segoe UI"/>
          <w:b/>
          <w:i w:val="0"/>
          <w:color w:val="0B0E14"/>
          <w:sz w:val="26"/>
          <w:szCs w:val="26"/>
        </w:rPr>
        <w:t>Facilitator certification</w:t>
      </w:r>
    </w:p>
    <w:p>
      <w:pPr>
        <w:keepLines w:val="true"/>
        <w:widowControl w:val="true"/>
        <w:spacing w:before="0" w:after="100" w:line="322" w:lineRule="auto"/>
      </w:pPr>
      <w:r>
        <w:rPr>
          <w:rFonts w:ascii="Plus Jakarta Sans" w:hAnsi="Plus Jakarta Sans" w:cs="Segoe UI"/>
          <w:b w:val="0"/>
          <w:i w:val="0"/>
          <w:color w:val="0B0E14"/>
          <w:sz w:val="19"/>
          <w:szCs w:val="19"/>
        </w:rPr>
        <w:t>The pool is the operational asset and the main single point of failure. Certification is four steps and is run by the Head of Curriculum: observe a full cohort; co-deliver two days under a lead facilitator; deliver a full cohort observed and scored against the facilitator rubric; recertify each term against cohort outcomes and student feedback. Nobody facilitates unobserved before step three is passed, including under schedule pressure — which is precisely when the temptation arrives.</w:t>
      </w:r>
    </w:p>
    <w:p>
      <w:pPr>
        <w:keepNext/>
        <w:keepLines w:val="true"/>
        <w:widowControl w:val="true"/>
        <w:spacing w:before="300" w:after="100" w:line="288" w:lineRule="auto"/>
      </w:pPr>
      <w:r>
        <w:rPr>
          <w:rFonts w:ascii="Plus Jakarta Sans" w:hAnsi="Plus Jakarta Sans" w:cs="Segoe UI"/>
          <w:b/>
          <w:i w:val="0"/>
          <w:color w:val="0B0E14"/>
          <w:sz w:val="26"/>
          <w:szCs w:val="26"/>
        </w:rPr>
        <w:t>What the platform must do to support the plan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864"/>
        <w:gridCol w:w="4774"/>
        <w:gridCol w:w="1773"/>
      </w:tblGrid>
      <w:tr>
        <w:trPr>
          <w:tblHeader w:val="true"/>
        </w:trPr>
        <w:tc>
          <w:tcPr>
            <w:tcW w:type="dxa" w:w="286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Capability</w:t>
            </w:r>
          </w:p>
        </w:tc>
        <w:tc>
          <w:tcPr>
            <w:tcW w:type="dxa" w:w="477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the GTM plan needs it</w:t>
            </w:r>
          </w:p>
        </w:tc>
        <w:tc>
          <w:tcPr>
            <w:tcW w:type="dxa" w:w="177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Needed by</w:t>
            </w:r>
          </w:p>
        </w:tc>
      </w:tr>
      <w:tr>
        <w:trPr>
          <w:cantSplit w:val="true"/>
        </w:trPr>
        <w:tc>
          <w:tcPr>
            <w:tcW w:type="dxa" w:w="286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admin account with cohort creation, bulk invitation and educator assignment</w:t>
            </w:r>
          </w:p>
        </w:tc>
        <w:tc>
          <w:tcPr>
            <w:tcW w:type="dxa" w:w="477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Without it there is no institutional product at all — only a student app</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286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Student-controlled sharing, with scoped programme data</w:t>
            </w:r>
          </w:p>
        </w:tc>
        <w:tc>
          <w:tcPr>
            <w:tcW w:type="dxa" w:w="477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trust position that makes a university sign; also the thing that keeps the company clear of student-data problems</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286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AI review at cohort volume, overnight</w:t>
            </w:r>
          </w:p>
        </w:tc>
        <w:tc>
          <w:tcPr>
            <w:tcW w:type="dxa" w:w="477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daily loop breaks if feedback is not ready before the next opener; 25 students submitting the same evening is a load spike, not a trickle</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286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automatic cohort report</w:t>
            </w:r>
          </w:p>
        </w:tc>
        <w:tc>
          <w:tcPr>
            <w:tcW w:type="dxa" w:w="477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It is the renewal document and the partnership sales collateral. Hand-writing it does not scale past the pilots</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w:t>
            </w:r>
          </w:p>
        </w:tc>
      </w:tr>
      <w:tr>
        <w:trPr>
          <w:cantSplit w:val="true"/>
        </w:trPr>
        <w:tc>
          <w:tcPr>
            <w:tcW w:type="dxa" w:w="286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Bulk seat provisioning and partner-level reporting</w:t>
            </w:r>
          </w:p>
        </w:tc>
        <w:tc>
          <w:tcPr>
            <w:tcW w:type="dxa" w:w="477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Sponsored-seat programmes place thousands of seats at once and report to their own donors</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Q2 2027</w:t>
            </w:r>
          </w:p>
        </w:tc>
      </w:tr>
      <w:tr>
        <w:trPr>
          <w:cantSplit w:val="true"/>
        </w:trPr>
        <w:tc>
          <w:tcPr>
            <w:tcW w:type="dxa" w:w="286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Full Arabic parity, right-to-left, including exported PDFs</w:t>
            </w:r>
          </w:p>
        </w:tc>
        <w:tc>
          <w:tcPr>
            <w:tcW w:type="dxa" w:w="477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review a student cannot read in their own language does not get acted on, and a report a ministry cannot read in Arabic does not get circulated</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Quality gates</w:t>
      </w:r>
    </w:p>
    <w:p>
      <w:pPr>
        <w:keepLines w:val="true"/>
        <w:widowControl w:val="true"/>
        <w:spacing w:before="0" w:after="100" w:line="322" w:lineRule="auto"/>
      </w:pPr>
      <w:r>
        <w:rPr>
          <w:rFonts w:ascii="Plus Jakarta Sans" w:hAnsi="Plus Jakarta Sans" w:cs="Segoe UI"/>
          <w:b w:val="0"/>
          <w:i w:val="0"/>
          <w:color w:val="0B0E14"/>
          <w:sz w:val="19"/>
          <w:szCs w:val="19"/>
        </w:rPr>
        <w:t>Four things are measured on every cohort, and a cohort that fails any of them triggers a review before the next cohort at that institution is scheduled.</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Mission completion.</w:t>
      </w:r>
      <w:r>
        <w:rPr>
          <w:rFonts w:ascii="Plus Jakarta Sans" w:hAnsi="Plus Jakarta Sans" w:cs="Segoe UI"/>
          <w:b w:val="0"/>
          <w:i w:val="0"/>
          <w:color w:val="0B0E14"/>
          <w:sz w:val="19"/>
          <w:szCs w:val="19"/>
        </w:rPr>
        <w:t xml:space="preserve"> At least 80% of students complete missions 01–10 by the Bazaar. Below that, the evening loop is not working and the facilitator pairing is examined first.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Review turnaround.</w:t>
      </w:r>
      <w:r>
        <w:rPr>
          <w:rFonts w:ascii="Plus Jakarta Sans" w:hAnsi="Plus Jakarta Sans" w:cs="Segoe UI"/>
          <w:b w:val="0"/>
          <w:i w:val="0"/>
          <w:color w:val="0B0E14"/>
          <w:sz w:val="19"/>
          <w:szCs w:val="19"/>
        </w:rPr>
        <w:t xml:space="preserve"> AI feedback available before the next day's opener, every night, without exception. This is a platform SLA, not a target.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Bazaar delivery.</w:t>
      </w:r>
      <w:r>
        <w:rPr>
          <w:rFonts w:ascii="Plus Jakarta Sans" w:hAnsi="Plus Jakarta Sans" w:cs="Segoe UI"/>
          <w:b w:val="0"/>
          <w:i w:val="0"/>
          <w:color w:val="0B0E14"/>
          <w:sz w:val="19"/>
          <w:szCs w:val="19"/>
        </w:rPr>
        <w:t xml:space="preserve"> Every team pitches and every team member speaks. A team that cannot is a facilitation failure that showed up two days earlier and was not caught.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Report issued inside five working days</w:t>
      </w:r>
      <w:r>
        <w:rPr>
          <w:rFonts w:ascii="Plus Jakarta Sans" w:hAnsi="Plus Jakarta Sans" w:cs="Segoe UI"/>
          <w:b w:val="0"/>
          <w:i w:val="0"/>
          <w:color w:val="0B0E14"/>
          <w:sz w:val="19"/>
          <w:szCs w:val="19"/>
        </w:rPr>
        <w:t xml:space="preserve"> of the Bazaar, to the programme lead who signed.</w:t>
      </w:r>
    </w:p>
    <w:p>
      <w:pPr>
        <w:keepNext/>
        <w:keepLines w:val="true"/>
        <w:widowControl w:val="true"/>
        <w:spacing w:before="300" w:after="100" w:line="288" w:lineRule="auto"/>
      </w:pPr>
      <w:r>
        <w:rPr>
          <w:rFonts w:ascii="Plus Jakarta Sans" w:hAnsi="Plus Jakarta Sans" w:cs="Segoe UI"/>
          <w:b/>
          <w:i w:val="0"/>
          <w:color w:val="0B0E14"/>
          <w:sz w:val="26"/>
          <w:szCs w:val="26"/>
        </w:rPr>
        <w:t>Support</w:t>
      </w:r>
    </w:p>
    <w:p>
      <w:pPr>
        <w:keepLines w:val="true"/>
        <w:widowControl w:val="true"/>
        <w:spacing w:before="0" w:after="100" w:line="322" w:lineRule="auto"/>
      </w:pPr>
      <w:r>
        <w:rPr>
          <w:rFonts w:ascii="Plus Jakarta Sans" w:hAnsi="Plus Jakarta Sans" w:cs="Segoe UI"/>
          <w:b w:val="0"/>
          <w:i w:val="0"/>
          <w:color w:val="0B0E14"/>
          <w:sz w:val="19"/>
          <w:szCs w:val="19"/>
        </w:rPr>
        <w:t>Bilingual student success cover during cohort weeks, which is when nearly all support load arrives — a cohort of 25 submitting the same evening generates more tickets than a month of self-serve founders. Two people in year one, rising to eleven by year three, scheduled around the delivery calendar rather than evenly across the week.</w:t>
      </w:r>
    </w:p>
    <w:p>
      <w:pPr>
        <w:keepNext/>
        <w:keepLines w:val="true"/>
        <w:widowControl w:val="true"/>
        <w:spacing w:before="300" w:after="100" w:line="288" w:lineRule="auto"/>
      </w:pPr>
      <w:r>
        <w:rPr>
          <w:rFonts w:ascii="Plus Jakarta Sans" w:hAnsi="Plus Jakarta Sans" w:cs="Segoe UI"/>
          <w:b/>
          <w:i w:val="0"/>
          <w:color w:val="0B0E14"/>
          <w:sz w:val="26"/>
          <w:szCs w:val="26"/>
        </w:rPr>
        <w:t>Data protection and the student relationship</w:t>
      </w:r>
    </w:p>
    <w:p>
      <w:pPr>
        <w:keepLines w:val="true"/>
        <w:widowControl w:val="true"/>
        <w:spacing w:before="0" w:after="100" w:line="322" w:lineRule="auto"/>
      </w:pPr>
      <w:r>
        <w:rPr>
          <w:rFonts w:ascii="Plus Jakarta Sans" w:hAnsi="Plus Jakarta Sans" w:cs="Segoe UI"/>
          <w:b w:val="0"/>
          <w:i w:val="0"/>
          <w:color w:val="0B0E14"/>
          <w:sz w:val="19"/>
          <w:szCs w:val="19"/>
        </w:rPr>
        <w:t>Students own their account and their idea. The programme sees mission progress, activity, the evidence the student chooses to share, review scores and educator approvals. It never sees AI Co-Founder chats, private profile data or unsubmitted drafts, and staff can never edit student work. Sharing is switched on by the student and can be switched off; only students with active consent appear in cohort metrics.</w:t>
      </w:r>
    </w:p>
    <w:p>
      <w:pPr>
        <w:keepLines w:val="true"/>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This is a commercial position as much as an ethical one. The institution is buying a reporting line, and the credibility of that line depends on the student having had a real choice. A cohort metric built on compelled consent is a metric a dean cannot defend, and the first time that is challenged the relationship ends.</w:t>
      </w:r>
    </w:p>
    <w:p>
      <w:pPr>
        <w:keepNext/>
        <w:pageBreakBefore w:val="true"/>
        <w:spacing w:before="0" w:after="20"/>
      </w:pPr>
      <w:r>
        <w:rPr>
          <w:rFonts w:ascii="Plus Jakarta Sans" w:hAnsi="Plus Jakarta Sans" w:cs="Segoe UI"/>
          <w:b/>
          <w:i w:val="0"/>
          <w:color w:val="3418E0"/>
          <w:spacing w:val="28"/>
          <w:sz w:val="16"/>
          <w:szCs w:val="16"/>
        </w:rPr>
        <w:t>SECTION 11</w:t>
      </w:r>
    </w:p>
    <w:p>
      <w:pPr>
        <w:keepNext/>
        <w:spacing w:before="40" w:after="120"/>
      </w:pPr>
      <w:r>
        <w:rPr>
          <w:rFonts w:ascii="Plus Jakarta Sans" w:hAnsi="Plus Jakarta Sans" w:cs="Segoe UI"/>
          <w:b/>
          <w:i w:val="0"/>
          <w:color w:val="0B0E14"/>
          <w:sz w:val="42"/>
          <w:szCs w:val="42"/>
        </w:rPr>
        <w:t>Financial plan</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Three years of revenue, cost and cash, built from the operating plan rather than from a growth rate.</w:t>
      </w:r>
    </w:p>
    <w:p>
      <w:pPr>
        <w:keepNext/>
        <w:keepLines w:val="true"/>
        <w:widowControl w:val="true"/>
        <w:spacing w:before="300" w:after="100" w:line="288" w:lineRule="auto"/>
      </w:pPr>
      <w:r>
        <w:rPr>
          <w:rFonts w:ascii="Plus Jakarta Sans" w:hAnsi="Plus Jakarta Sans" w:cs="Segoe UI"/>
          <w:b/>
          <w:i w:val="0"/>
          <w:color w:val="0B0E14"/>
          <w:sz w:val="26"/>
          <w:szCs w:val="26"/>
        </w:rPr>
        <w:t>Revenue</w:t>
      </w:r>
    </w:p>
    <w:p>
      <w:pPr>
        <w:keepNext/>
        <w:spacing w:before="160" w:after="60"/>
        <w:jc w:val="center"/>
      </w:pPr>
      <w:r>
        <w:drawing>
          <wp:inline xmlns:a="http://schemas.openxmlformats.org/drawingml/2006/main" xmlns:pic="http://schemas.openxmlformats.org/drawingml/2006/picture">
            <wp:extent cx="5976000" cy="2922433"/>
            <wp:docPr id="17" name="Picture 17"/>
            <wp:cNvGraphicFramePr>
              <a:graphicFrameLocks noChangeAspect="1"/>
            </wp:cNvGraphicFramePr>
            <a:graphic>
              <a:graphicData uri="http://schemas.openxmlformats.org/drawingml/2006/picture">
                <pic:pic>
                  <pic:nvPicPr>
                    <pic:cNvPr id="0" name="revenue_stack.png"/>
                    <pic:cNvPicPr/>
                  </pic:nvPicPr>
                  <pic:blipFill>
                    <a:blip r:embed="rId27"/>
                    <a:stretch>
                      <a:fillRect/>
                    </a:stretch>
                  </pic:blipFill>
                  <pic:spPr>
                    <a:xfrm>
                      <a:off x="0" y="0"/>
                      <a:ext cx="5976000" cy="2922433"/>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Revenue by line across three years.</w:t>
      </w:r>
    </w:p>
    <w:p>
      <w:pPr>
        <w:keepNext/>
        <w:spacing w:before="160" w:after="60"/>
        <w:jc w:val="center"/>
      </w:pPr>
      <w:r>
        <w:drawing>
          <wp:inline xmlns:a="http://schemas.openxmlformats.org/drawingml/2006/main" xmlns:pic="http://schemas.openxmlformats.org/drawingml/2006/picture">
            <wp:extent cx="5976000" cy="2058508"/>
            <wp:docPr id="18" name="Picture 18"/>
            <wp:cNvGraphicFramePr>
              <a:graphicFrameLocks noChangeAspect="1"/>
            </wp:cNvGraphicFramePr>
            <a:graphic>
              <a:graphicData uri="http://schemas.openxmlformats.org/drawingml/2006/picture">
                <pic:pic>
                  <pic:nvPicPr>
                    <pic:cNvPr id="0" name="revenue_mix.png"/>
                    <pic:cNvPicPr/>
                  </pic:nvPicPr>
                  <pic:blipFill>
                    <a:blip r:embed="rId28"/>
                    <a:stretch>
                      <a:fillRect/>
                    </a:stretch>
                  </pic:blipFill>
                  <pic:spPr>
                    <a:xfrm>
                      <a:off x="0" y="0"/>
                      <a:ext cx="5976000" cy="2058508"/>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The mix barely moves: this is an institutional business in every year, and subscriptions never become the point.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921"/>
        <w:gridCol w:w="1830"/>
        <w:gridCol w:w="1830"/>
        <w:gridCol w:w="1830"/>
      </w:tblGrid>
      <w:tr>
        <w:trPr>
          <w:tblHeader w:val="true"/>
        </w:trPr>
        <w:tc>
          <w:tcPr>
            <w:tcW w:type="dxa" w:w="392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Revenue line</w:t>
            </w:r>
          </w:p>
        </w:tc>
        <w:tc>
          <w:tcPr>
            <w:tcW w:type="dxa" w:w="183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83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83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r>
      <w:tr>
        <w:trPr>
          <w:cantSplit w:val="true"/>
        </w:trPr>
        <w:tc>
          <w:tcPr>
            <w:tcW w:type="dxa" w:w="392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Bootcamp cohorts (institutions)</w:t>
            </w:r>
          </w:p>
        </w:tc>
        <w:tc>
          <w:tcPr>
            <w:tcW w:type="dxa" w:w="18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$420k</w:t>
            </w:r>
          </w:p>
        </w:tc>
        <w:tc>
          <w:tcPr>
            <w:tcW w:type="dxa" w:w="18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$1.2m</w:t>
            </w:r>
          </w:p>
        </w:tc>
        <w:tc>
          <w:tcPr>
            <w:tcW w:type="dxa" w:w="18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$2.7m</w:t>
            </w:r>
          </w:p>
        </w:tc>
      </w:tr>
      <w:tr>
        <w:trPr>
          <w:cantSplit w:val="true"/>
        </w:trPr>
        <w:tc>
          <w:tcPr>
            <w:tcW w:type="dxa" w:w="392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seats (NGO and government)</w:t>
            </w:r>
          </w:p>
        </w:tc>
        <w:tc>
          <w:tcPr>
            <w:tcW w:type="dxa" w:w="18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$105k</w:t>
            </w:r>
          </w:p>
        </w:tc>
        <w:tc>
          <w:tcPr>
            <w:tcW w:type="dxa" w:w="18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$420k</w:t>
            </w:r>
          </w:p>
        </w:tc>
        <w:tc>
          <w:tcPr>
            <w:tcW w:type="dxa" w:w="18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$1.3m</w:t>
            </w:r>
          </w:p>
        </w:tc>
      </w:tr>
      <w:tr>
        <w:trPr>
          <w:cantSplit w:val="true"/>
        </w:trPr>
        <w:tc>
          <w:tcPr>
            <w:tcW w:type="dxa" w:w="392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Platform-only seats (programmes, incubators)</w:t>
            </w:r>
          </w:p>
        </w:tc>
        <w:tc>
          <w:tcPr>
            <w:tcW w:type="dxa" w:w="18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$34k</w:t>
            </w:r>
          </w:p>
        </w:tc>
        <w:tc>
          <w:tcPr>
            <w:tcW w:type="dxa" w:w="18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$126k</w:t>
            </w:r>
          </w:p>
        </w:tc>
        <w:tc>
          <w:tcPr>
            <w:tcW w:type="dxa" w:w="18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$337k</w:t>
            </w:r>
          </w:p>
        </w:tc>
      </w:tr>
      <w:tr>
        <w:trPr>
          <w:cantSplit w:val="true"/>
        </w:trPr>
        <w:tc>
          <w:tcPr>
            <w:tcW w:type="dxa" w:w="392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Faculty-wide licences</w:t>
            </w:r>
          </w:p>
        </w:tc>
        <w:tc>
          <w:tcPr>
            <w:tcW w:type="dxa" w:w="18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8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$100k</w:t>
            </w:r>
          </w:p>
        </w:tc>
        <w:tc>
          <w:tcPr>
            <w:tcW w:type="dxa" w:w="18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$364k</w:t>
            </w:r>
          </w:p>
        </w:tc>
      </w:tr>
      <w:tr>
        <w:trPr>
          <w:cantSplit w:val="true"/>
        </w:trPr>
        <w:tc>
          <w:tcPr>
            <w:tcW w:type="dxa" w:w="392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 subscriptions (Pro and Team)</w:t>
            </w:r>
          </w:p>
        </w:tc>
        <w:tc>
          <w:tcPr>
            <w:tcW w:type="dxa" w:w="18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$39k</w:t>
            </w:r>
          </w:p>
        </w:tc>
        <w:tc>
          <w:tcPr>
            <w:tcW w:type="dxa" w:w="18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$481k</w:t>
            </w:r>
          </w:p>
        </w:tc>
        <w:tc>
          <w:tcPr>
            <w:tcW w:type="dxa" w:w="18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$1.4m</w:t>
            </w:r>
          </w:p>
        </w:tc>
      </w:tr>
      <w:tr>
        <w:trPr>
          <w:cantSplit w:val="true"/>
        </w:trPr>
        <w:tc>
          <w:tcPr>
            <w:tcW w:type="dxa" w:w="3921"/>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revenue</w:t>
            </w:r>
          </w:p>
        </w:tc>
        <w:tc>
          <w:tcPr>
            <w:tcW w:type="dxa" w:w="183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$597k</w:t>
            </w:r>
          </w:p>
        </w:tc>
        <w:tc>
          <w:tcPr>
            <w:tcW w:type="dxa" w:w="183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$2.3m</w:t>
            </w:r>
          </w:p>
        </w:tc>
        <w:tc>
          <w:tcPr>
            <w:tcW w:type="dxa" w:w="183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$6.0m</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Year-one cost base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183"/>
        <w:gridCol w:w="1660"/>
        <w:gridCol w:w="4567"/>
      </w:tblGrid>
      <w:tr>
        <w:trPr>
          <w:tblHeader w:val="true"/>
        </w:trPr>
        <w:tc>
          <w:tcPr>
            <w:tcW w:type="dxa" w:w="31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Cost line</w:t>
            </w:r>
          </w:p>
        </w:tc>
        <w:tc>
          <w:tcPr>
            <w:tcW w:type="dxa" w:w="16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one</w:t>
            </w:r>
          </w:p>
        </w:tc>
        <w:tc>
          <w:tcPr>
            <w:tcW w:type="dxa" w:w="456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Note</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Payroll</w:t>
            </w:r>
          </w:p>
        </w:tc>
        <w:tc>
          <w:tcPr>
            <w:tcW w:type="dxa" w:w="16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$447,720</w:t>
            </w:r>
          </w:p>
        </w:tc>
        <w:tc>
          <w:tcPr>
            <w:tcW w:type="dxa" w:w="456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 people, averaging 65% of the establishment across the year</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 delivery — paid cohorts</w:t>
            </w:r>
          </w:p>
        </w:tc>
        <w:tc>
          <w:tcPr>
            <w:tcW w:type="dxa" w:w="16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$122,640</w:t>
            </w:r>
          </w:p>
        </w:tc>
        <w:tc>
          <w:tcPr>
            <w:tcW w:type="dxa" w:w="456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 cohorts × $2,190 direct cost</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 delivery — free pilots</w:t>
            </w:r>
          </w:p>
        </w:tc>
        <w:tc>
          <w:tcPr>
            <w:tcW w:type="dxa" w:w="16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$8,760</w:t>
            </w:r>
          </w:p>
        </w:tc>
        <w:tc>
          <w:tcPr>
            <w:tcW w:type="dxa" w:w="456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 free pilots — the cost of earning the first yes</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Growth and marketing</w:t>
            </w:r>
          </w:p>
        </w:tc>
        <w:tc>
          <w:tcPr>
            <w:tcW w:type="dxa" w:w="16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$124,800</w:t>
            </w:r>
          </w:p>
        </w:tc>
        <w:tc>
          <w:tcPr>
            <w:tcW w:type="dxa" w:w="456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All six channels, per the marketing plan</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Cloud, AI inference and third-party APIs</w:t>
            </w:r>
          </w:p>
        </w:tc>
        <w:tc>
          <w:tcPr>
            <w:tcW w:type="dxa" w:w="16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$26,000</w:t>
            </w:r>
          </w:p>
        </w:tc>
        <w:tc>
          <w:tcPr>
            <w:tcW w:type="dxa" w:w="456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Scales with active founders and AI review volume</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Software and tooling</w:t>
            </w:r>
          </w:p>
        </w:tc>
        <w:tc>
          <w:tcPr>
            <w:tcW w:type="dxa" w:w="16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$18,000</w:t>
            </w:r>
          </w:p>
        </w:tc>
        <w:tc>
          <w:tcPr>
            <w:tcW w:type="dxa" w:w="456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Platform tooling and internal systems</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Travel — Cairo, Riyadh and campuses</w:t>
            </w:r>
          </w:p>
        </w:tc>
        <w:tc>
          <w:tcPr>
            <w:tcW w:type="dxa" w:w="16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$34,000</w:t>
            </w:r>
          </w:p>
        </w:tc>
        <w:tc>
          <w:tcPr>
            <w:tcW w:type="dxa" w:w="456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Cairo to Riyadh, and campuses in both markets</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Legal, audit and the KSA entity</w:t>
            </w:r>
          </w:p>
        </w:tc>
        <w:tc>
          <w:tcPr>
            <w:tcW w:type="dxa" w:w="16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$38,000</w:t>
            </w:r>
          </w:p>
        </w:tc>
        <w:tc>
          <w:tcPr>
            <w:tcW w:type="dxa" w:w="456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Including the cost of establishing the Saudi entity</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Office — Cairo, plus a Riyadh desk</w:t>
            </w:r>
          </w:p>
        </w:tc>
        <w:tc>
          <w:tcPr>
            <w:tcW w:type="dxa" w:w="16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$30,000</w:t>
            </w:r>
          </w:p>
        </w:tc>
        <w:tc>
          <w:tcPr>
            <w:tcW w:type="dxa" w:w="456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Cairo office and a Riyadh desk</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Contingency</w:t>
            </w:r>
          </w:p>
        </w:tc>
        <w:tc>
          <w:tcPr>
            <w:tcW w:type="dxa" w:w="16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$67,994</w:t>
            </w:r>
          </w:p>
        </w:tc>
        <w:tc>
          <w:tcPr>
            <w:tcW w:type="dxa" w:w="456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 of the above</w:t>
            </w:r>
          </w:p>
        </w:tc>
      </w:tr>
      <w:tr>
        <w:trPr>
          <w:cantSplit w:val="true"/>
        </w:trPr>
        <w:tc>
          <w:tcPr>
            <w:tcW w:type="dxa" w:w="3183"/>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operating cost</w:t>
            </w:r>
          </w:p>
        </w:tc>
        <w:tc>
          <w:tcPr>
            <w:tcW w:type="dxa" w:w="1661"/>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$917,914</w:t>
            </w:r>
          </w:p>
        </w:tc>
        <w:tc>
          <w:tcPr>
            <w:tcW w:type="dxa" w:w="4567"/>
            <w:shd w:val="clear" w:fill="CBF24A"/>
            <w:tcMar>
              <w:top w:w="73" w:type="dxa"/>
              <w:start w:w="90" w:type="dxa"/>
              <w:bottom w:w="73" w:type="dxa"/>
              <w:end w:w="79" w:type="dxa"/>
            </w:tcMar>
          </w:tcPr>
          <w:p>
            <w:pPr>
              <w:spacing w:after="0" w:line="288" w:lineRule="auto"/>
            </w:pP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Three-year profit and loss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745"/>
        <w:gridCol w:w="2222"/>
        <w:gridCol w:w="2222"/>
        <w:gridCol w:w="2222"/>
      </w:tblGrid>
      <w:tr>
        <w:trPr>
          <w:tblHeader w:val="true"/>
        </w:trPr>
        <w:tc>
          <w:tcPr>
            <w:tcW w:type="dxa" w:w="2745"/>
            <w:shd w:val="clear" w:fill="0B0E14"/>
            <w:tcMar>
              <w:top w:w="79" w:type="dxa"/>
              <w:start w:w="90" w:type="dxa"/>
              <w:bottom w:w="79" w:type="dxa"/>
              <w:end w:w="79" w:type="dxa"/>
            </w:tcMar>
          </w:tcPr>
          <w:p>
            <w:pPr>
              <w:spacing w:after="0" w:line="278" w:lineRule="auto"/>
            </w:pPr>
          </w:p>
        </w:tc>
        <w:tc>
          <w:tcPr>
            <w:tcW w:type="dxa" w:w="22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 · 2026/27</w:t>
            </w:r>
          </w:p>
        </w:tc>
        <w:tc>
          <w:tcPr>
            <w:tcW w:type="dxa" w:w="22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 · 2027/28</w:t>
            </w:r>
          </w:p>
        </w:tc>
        <w:tc>
          <w:tcPr>
            <w:tcW w:type="dxa" w:w="22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 · 2028/29</w:t>
            </w:r>
          </w:p>
        </w:tc>
      </w:tr>
      <w:tr>
        <w:trPr>
          <w:cantSplit w:val="true"/>
        </w:trPr>
        <w:tc>
          <w:tcPr>
            <w:tcW w:type="dxa" w:w="274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$597k</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$2.3m</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$6.0m</w:t>
            </w:r>
          </w:p>
        </w:tc>
      </w:tr>
      <w:tr>
        <w:trPr>
          <w:cantSplit w:val="true"/>
        </w:trPr>
        <w:tc>
          <w:tcPr>
            <w:tcW w:type="dxa" w:w="274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Operating cost</w:t>
            </w:r>
          </w:p>
        </w:tc>
        <w:tc>
          <w:tcPr>
            <w:tcW w:type="dxa" w:w="2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$918k</w:t>
            </w:r>
          </w:p>
        </w:tc>
        <w:tc>
          <w:tcPr>
            <w:tcW w:type="dxa" w:w="2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$2.3m</w:t>
            </w:r>
          </w:p>
        </w:tc>
        <w:tc>
          <w:tcPr>
            <w:tcW w:type="dxa" w:w="2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$4.4m</w:t>
            </w:r>
          </w:p>
        </w:tc>
      </w:tr>
      <w:tr>
        <w:trPr>
          <w:cantSplit w:val="true"/>
        </w:trPr>
        <w:tc>
          <w:tcPr>
            <w:tcW w:type="dxa" w:w="274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Operating result</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−$321k</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+$5k</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+$1.6m</w:t>
            </w:r>
          </w:p>
        </w:tc>
      </w:tr>
      <w:tr>
        <w:trPr>
          <w:cantSplit w:val="true"/>
        </w:trPr>
        <w:tc>
          <w:tcPr>
            <w:tcW w:type="dxa" w:w="274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Operating margin</w:t>
            </w:r>
          </w:p>
        </w:tc>
        <w:tc>
          <w:tcPr>
            <w:tcW w:type="dxa" w:w="2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w:t>
            </w:r>
          </w:p>
        </w:tc>
        <w:tc>
          <w:tcPr>
            <w:tcW w:type="dxa" w:w="2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2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r>
      <w:tr>
        <w:trPr>
          <w:cantSplit w:val="true"/>
        </w:trPr>
        <w:tc>
          <w:tcPr>
            <w:tcW w:type="dxa" w:w="274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 per employee</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$21k</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$41k</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$64k</w:t>
            </w:r>
          </w:p>
        </w:tc>
      </w:tr>
      <w:tr>
        <w:trPr>
          <w:cantSplit w:val="true"/>
        </w:trPr>
        <w:tc>
          <w:tcPr>
            <w:tcW w:type="dxa" w:w="274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Cohorts delivered</w:t>
            </w:r>
          </w:p>
        </w:tc>
        <w:tc>
          <w:tcPr>
            <w:tcW w:type="dxa" w:w="2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w:t>
            </w:r>
          </w:p>
        </w:tc>
        <w:tc>
          <w:tcPr>
            <w:tcW w:type="dxa" w:w="2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w:t>
            </w:r>
          </w:p>
        </w:tc>
        <w:tc>
          <w:tcPr>
            <w:tcW w:type="dxa" w:w="2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320</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Cash, and the raise</w:t>
      </w:r>
    </w:p>
    <w:p>
      <w:pPr>
        <w:keepNext/>
        <w:spacing w:before="160" w:after="60"/>
        <w:jc w:val="center"/>
      </w:pPr>
      <w:r>
        <w:drawing>
          <wp:inline xmlns:a="http://schemas.openxmlformats.org/drawingml/2006/main" xmlns:pic="http://schemas.openxmlformats.org/drawingml/2006/picture">
            <wp:extent cx="5976000" cy="2511000"/>
            <wp:docPr id="19" name="Picture 19"/>
            <wp:cNvGraphicFramePr>
              <a:graphicFrameLocks noChangeAspect="1"/>
            </wp:cNvGraphicFramePr>
            <a:graphic>
              <a:graphicData uri="http://schemas.openxmlformats.org/drawingml/2006/picture">
                <pic:pic>
                  <pic:nvPicPr>
                    <pic:cNvPr id="0" name="cash_curve.png"/>
                    <pic:cNvPicPr/>
                  </pic:nvPicPr>
                  <pic:blipFill>
                    <a:blip r:embed="rId29"/>
                    <a:stretch>
                      <a:fillRect/>
                    </a:stretch>
                  </pic:blipFill>
                  <pic:spPr>
                    <a:xfrm>
                      <a:off x="0" y="0"/>
                      <a:ext cx="5976000" cy="2511000"/>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Cash on hand across three years. The trough is shallow because cohorts are invoiced before they are delivered.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45"/>
        <w:gridCol w:w="1799"/>
        <w:gridCol w:w="4567"/>
      </w:tblGrid>
      <w:tr>
        <w:trPr>
          <w:tblHeader w:val="true"/>
        </w:trPr>
        <w:tc>
          <w:tcPr>
            <w:tcW w:type="dxa" w:w="3045"/>
            <w:shd w:val="clear" w:fill="0B0E14"/>
            <w:tcMar>
              <w:top w:w="79" w:type="dxa"/>
              <w:start w:w="90" w:type="dxa"/>
              <w:bottom w:w="79" w:type="dxa"/>
              <w:end w:w="79" w:type="dxa"/>
            </w:tcMar>
          </w:tcPr>
          <w:p>
            <w:pPr>
              <w:spacing w:after="0" w:line="278" w:lineRule="auto"/>
            </w:pPr>
          </w:p>
        </w:tc>
        <w:tc>
          <w:tcPr>
            <w:tcW w:type="dxa" w:w="179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Amount</w:t>
            </w:r>
          </w:p>
        </w:tc>
        <w:tc>
          <w:tcPr>
            <w:tcW w:type="dxa" w:w="456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covers</w:t>
            </w:r>
          </w:p>
        </w:tc>
      </w:tr>
      <w:tr>
        <w:trPr>
          <w:cantSplit w:val="true"/>
        </w:trPr>
        <w:tc>
          <w:tcPr>
            <w:tcW w:type="dxa" w:w="304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Year-one deficit</w:t>
            </w:r>
          </w:p>
        </w:tc>
        <w:tc>
          <w:tcPr>
            <w:tcW w:type="dxa" w:w="17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$321k</w:t>
            </w:r>
          </w:p>
        </w:tc>
        <w:tc>
          <w:tcPr>
            <w:tcW w:type="dxa" w:w="456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gap while free pilots and hiring run ahead of cohort revenue</w:t>
            </w:r>
          </w:p>
        </w:tc>
      </w:tr>
      <w:tr>
        <w:trPr>
          <w:cantSplit w:val="true"/>
        </w:trPr>
        <w:tc>
          <w:tcPr>
            <w:tcW w:type="dxa" w:w="304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Year-two deficit</w:t>
            </w:r>
          </w:p>
        </w:tc>
        <w:tc>
          <w:tcPr>
            <w:tcW w:type="dxa" w:w="179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456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None — the business reaches breakeven in year two</w:t>
            </w:r>
          </w:p>
        </w:tc>
      </w:tr>
      <w:tr>
        <w:trPr>
          <w:cantSplit w:val="true"/>
        </w:trPr>
        <w:tc>
          <w:tcPr>
            <w:tcW w:type="dxa" w:w="304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Six-month operating reserve</w:t>
            </w:r>
          </w:p>
        </w:tc>
        <w:tc>
          <w:tcPr>
            <w:tcW w:type="dxa" w:w="17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$459k</w:t>
            </w:r>
          </w:p>
        </w:tc>
        <w:tc>
          <w:tcPr>
            <w:tcW w:type="dxa" w:w="456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Six months of the year-one cost base, held against a delayed term or a postponed partnership</w:t>
            </w:r>
          </w:p>
        </w:tc>
      </w:tr>
      <w:tr>
        <w:trPr>
          <w:cantSplit w:val="true"/>
        </w:trPr>
        <w:tc>
          <w:tcPr>
            <w:tcW w:type="dxa" w:w="304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raise</w:t>
            </w:r>
          </w:p>
        </w:tc>
        <w:tc>
          <w:tcPr>
            <w:tcW w:type="dxa" w:w="1799"/>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$800k</w:t>
            </w:r>
          </w:p>
        </w:tc>
        <w:tc>
          <w:tcPr>
            <w:tcW w:type="dxa" w:w="456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Sized to the deficit and a genuine reserve, not to a round number</w:t>
            </w:r>
          </w:p>
        </w:tc>
      </w:tr>
    </w:tbl>
    <w:p>
      <w:pPr>
        <w:keepLines w:val="true"/>
        <w:widowControl w:val="true"/>
        <w:spacing w:before="0" w:after="140" w:line="322" w:lineRule="auto"/>
      </w:pPr>
    </w:p>
    <w:p>
      <w:pPr>
        <w:keepLines w:val="true"/>
        <w:widowControl w:val="true"/>
        <w:spacing w:before="0" w:after="100" w:line="322" w:lineRule="auto"/>
      </w:pPr>
      <w:r>
        <w:rPr>
          <w:rFonts w:ascii="Plus Jakarta Sans" w:hAnsi="Plus Jakarta Sans" w:cs="Segoe UI"/>
          <w:b w:val="0"/>
          <w:i w:val="0"/>
          <w:color w:val="0B0E14"/>
          <w:sz w:val="19"/>
          <w:szCs w:val="19"/>
        </w:rPr>
        <w:t>$800k is small for a business that reaches $6.0m of revenue in year three, and the reason is structural rather than optimistic: an institution is invoiced before its cohort runs, the direct cost of $2,190 is incurred during delivery, and the gross margin is 71%. Growth in the institutional line releases working capital instead of consuming it. A subscription-led version of this company would need several times the capital to reach the same revenue.</w:t>
      </w:r>
    </w:p>
    <w:p>
      <w:pPr>
        <w:keepNext/>
        <w:keepLines w:val="true"/>
        <w:widowControl w:val="true"/>
        <w:spacing w:before="300" w:after="100" w:line="288" w:lineRule="auto"/>
      </w:pPr>
      <w:r>
        <w:rPr>
          <w:rFonts w:ascii="Plus Jakarta Sans" w:hAnsi="Plus Jakarta Sans" w:cs="Segoe UI"/>
          <w:b/>
          <w:i w:val="0"/>
          <w:color w:val="0B0E14"/>
          <w:sz w:val="26"/>
          <w:szCs w:val="26"/>
        </w:rPr>
        <w:t>Use of funds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737"/>
        <w:gridCol w:w="1245"/>
        <w:gridCol w:w="4429"/>
      </w:tblGrid>
      <w:tr>
        <w:trPr>
          <w:tblHeader w:val="true"/>
        </w:trPr>
        <w:tc>
          <w:tcPr>
            <w:tcW w:type="dxa" w:w="37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Use</w:t>
            </w:r>
          </w:p>
        </w:tc>
        <w:tc>
          <w:tcPr>
            <w:tcW w:type="dxa" w:w="124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Share</w:t>
            </w:r>
          </w:p>
        </w:tc>
        <w:tc>
          <w:tcPr>
            <w:tcW w:type="dxa" w:w="442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w:t>
            </w:r>
          </w:p>
        </w:tc>
      </w:tr>
      <w:tr>
        <w:trPr>
          <w:cantSplit w:val="true"/>
        </w:trPr>
        <w:tc>
          <w:tcPr>
            <w:tcW w:type="dxa" w:w="37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Delivery capacity — facilitators, certification, materials</w:t>
            </w:r>
          </w:p>
        </w:tc>
        <w:tc>
          <w:tcPr>
            <w:tcW w:type="dxa" w:w="12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w:t>
            </w:r>
          </w:p>
        </w:tc>
        <w:tc>
          <w:tcPr>
            <w:tcW w:type="dxa" w:w="44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binding constraint; every cohort beyond the current pool needs it</w:t>
            </w:r>
          </w:p>
        </w:tc>
      </w:tr>
      <w:tr>
        <w:trPr>
          <w:cantSplit w:val="true"/>
        </w:trPr>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Product and engineering</w:t>
            </w:r>
          </w:p>
        </w:tc>
        <w:tc>
          <w:tcPr>
            <w:tcW w:type="dxa" w:w="12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w:t>
            </w:r>
          </w:p>
        </w:tc>
        <w:tc>
          <w:tcPr>
            <w:tcW w:type="dxa" w:w="44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admin workspace, cohort reporting and AI review at volume</w:t>
            </w:r>
          </w:p>
        </w:tc>
      </w:tr>
      <w:tr>
        <w:trPr>
          <w:cantSplit w:val="true"/>
        </w:trPr>
        <w:tc>
          <w:tcPr>
            <w:tcW w:type="dxa" w:w="37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market entry</w:t>
            </w:r>
          </w:p>
        </w:tc>
        <w:tc>
          <w:tcPr>
            <w:tcW w:type="dxa" w:w="12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44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Country manager, delivery manager, entity and travel</w:t>
            </w:r>
          </w:p>
        </w:tc>
      </w:tr>
      <w:tr>
        <w:trPr>
          <w:cantSplit w:val="true"/>
        </w:trPr>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Growth — ambassadors, content, competitions</w:t>
            </w:r>
          </w:p>
        </w:tc>
        <w:tc>
          <w:tcPr>
            <w:tcW w:type="dxa" w:w="12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w:t>
            </w:r>
          </w:p>
        </w:tc>
        <w:tc>
          <w:tcPr>
            <w:tcW w:type="dxa" w:w="44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channels that actually return more than they cost</w:t>
            </w:r>
          </w:p>
        </w:tc>
      </w:tr>
      <w:tr>
        <w:trPr>
          <w:cantSplit w:val="true"/>
        </w:trPr>
        <w:tc>
          <w:tcPr>
            <w:tcW w:type="dxa" w:w="37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Operating reserve held unspent</w:t>
            </w:r>
          </w:p>
        </w:tc>
        <w:tc>
          <w:tcPr>
            <w:tcW w:type="dxa" w:w="12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44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postponed term or a delayed partnership should not be existential</w:t>
            </w:r>
          </w:p>
        </w:tc>
      </w:tr>
    </w:tbl>
    <w:p>
      <w:pPr>
        <w:keepLines w:val="true"/>
        <w:widowControl w:val="true"/>
        <w:spacing w:before="0" w:after="140" w:line="322" w:lineRule="auto"/>
      </w:pPr>
    </w:p>
    <w:p>
      <w:pPr>
        <w:keepNext/>
        <w:pageBreakBefore w:val="true"/>
        <w:spacing w:before="0" w:after="20"/>
      </w:pPr>
      <w:r>
        <w:rPr>
          <w:rFonts w:ascii="Plus Jakarta Sans" w:hAnsi="Plus Jakarta Sans" w:cs="Segoe UI"/>
          <w:b/>
          <w:i w:val="0"/>
          <w:color w:val="3418E0"/>
          <w:spacing w:val="28"/>
          <w:sz w:val="16"/>
          <w:szCs w:val="16"/>
        </w:rPr>
        <w:t>SECTION 12</w:t>
      </w:r>
    </w:p>
    <w:p>
      <w:pPr>
        <w:keepNext/>
        <w:spacing w:before="40" w:after="120"/>
      </w:pPr>
      <w:r>
        <w:rPr>
          <w:rFonts w:ascii="Plus Jakarta Sans" w:hAnsi="Plus Jakarta Sans" w:cs="Segoe UI"/>
          <w:b/>
          <w:i w:val="0"/>
          <w:color w:val="0B0E14"/>
          <w:sz w:val="42"/>
          <w:szCs w:val="42"/>
        </w:rPr>
        <w:t>Risks</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The five risks most likely to break this plan, what each would look like early, and what has already been built to absorb it.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353"/>
        <w:gridCol w:w="3460"/>
        <w:gridCol w:w="3598"/>
      </w:tblGrid>
      <w:tr>
        <w:trPr>
          <w:tblHeader w:val="true"/>
        </w:trPr>
        <w:tc>
          <w:tcPr>
            <w:tcW w:type="dxa" w:w="23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Risk</w:t>
            </w:r>
          </w:p>
        </w:tc>
        <w:tc>
          <w:tcPr>
            <w:tcW w:type="dxa" w:w="346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looks like early</w:t>
            </w:r>
          </w:p>
        </w:tc>
        <w:tc>
          <w:tcPr>
            <w:tcW w:type="dxa" w:w="359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Mitigation</w:t>
            </w:r>
          </w:p>
        </w:tc>
      </w:tr>
      <w:tr>
        <w:trPr>
          <w:cantSplit w:val="true"/>
        </w:trPr>
        <w:tc>
          <w:tcPr>
            <w:tcW w:type="dxa" w:w="235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capacity does not materialise</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Certification slips, or the pool leaks to consultancies paying more per day</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Certification starts in the Land quarter, a term ahead of need; the pool is a tiered career with a rising day rate; the quarterly plan is cut to facilitator capacity rather than the reverse</w:t>
            </w:r>
          </w:p>
        </w:tc>
      </w:tr>
      <w:tr>
        <w:trPr>
          <w:cantSplit w:val="true"/>
        </w:trPr>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procurement is slower than planned</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Pilots run but contracts sit unsigned through the Prove quarter</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contract covering all three layers; free pilots that make the cohort report the sales document; the Saudi partnership motion carries paid revenue from Q4 while Egypt is still proving</w:t>
            </w:r>
          </w:p>
        </w:tc>
      </w:tr>
      <w:tr>
        <w:trPr>
          <w:cantSplit w:val="true"/>
        </w:trPr>
        <w:tc>
          <w:tcPr>
            <w:tcW w:type="dxa" w:w="235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national programme partnership does not land</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Enthusiastic meetings, no budget line, repeated deferral</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Sponsored seats are 18% of year-one revenue, so the plan survives without them; two partnerships are pursued so neither is a single point of failure</w:t>
            </w:r>
          </w:p>
        </w:tc>
      </w:tr>
      <w:tr>
        <w:trPr>
          <w:cantSplit w:val="true"/>
        </w:trPr>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Subscription conversion is worse than modelled</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Activation holds but paywall conversion sits below 10%</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Subscriptions are 3% of year-one revenue. The plan is deliberately not built on them; the exposure is to institutional renewal instead</w:t>
            </w:r>
          </w:p>
        </w:tc>
      </w:tr>
      <w:tr>
        <w:trPr>
          <w:cantSplit w:val="true"/>
        </w:trPr>
        <w:tc>
          <w:tcPr>
            <w:tcW w:type="dxa" w:w="235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Currency and macro</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EGP devaluation repricing a USD-denominated plan against EGP costs</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Most costs are EGP and most institutional pricing can be set in EGP with USD reference; devaluation lowers the cost base faster than it lowers local willingness to pay</w:t>
            </w:r>
          </w:p>
        </w:tc>
      </w:tr>
      <w:tr>
        <w:trPr>
          <w:cantSplit w:val="true"/>
        </w:trPr>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Key-person concentration</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CEO personally runs Day 01 onboarding in every cohort</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This does not scale past roughly 20 cohorts a year and is a known year-two problem; the Day 01 session must be delivered by certified facilitators before the Expand quarter</w:t>
            </w:r>
          </w:p>
        </w:tc>
      </w:tr>
    </w:tbl>
    <w:p>
      <w:pPr>
        <w:keepLines w:val="true"/>
        <w:widowControl w:val="true"/>
        <w:spacing w:before="0" w:after="140" w:line="322" w:lineRule="auto"/>
      </w:pPr>
    </w:p>
    <w:p>
      <w:pPr>
        <w:keepLines w:val="true"/>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last row is the one to watch. It is written into the strategy as a feature — the founder personally opens every cohort — and it is genuinely good for the first twenty. It becomes the single hardest constraint in year two, when there are 150 cohorts and one founder, and the handover has to be designed well before it is needed.</w:t>
      </w:r>
    </w:p>
    <w:p>
      <w:pPr>
        <w:keepNext/>
        <w:pageBreakBefore w:val="true"/>
        <w:spacing w:before="0" w:after="20"/>
      </w:pPr>
      <w:r>
        <w:rPr>
          <w:rFonts w:ascii="Plus Jakarta Sans" w:hAnsi="Plus Jakarta Sans" w:cs="Segoe UI"/>
          <w:b/>
          <w:i w:val="0"/>
          <w:color w:val="3418E0"/>
          <w:spacing w:val="28"/>
          <w:sz w:val="16"/>
          <w:szCs w:val="16"/>
        </w:rPr>
        <w:t>SECTION 13</w:t>
      </w:r>
    </w:p>
    <w:p>
      <w:pPr>
        <w:keepNext/>
        <w:spacing w:before="40" w:after="120"/>
      </w:pPr>
      <w:r>
        <w:rPr>
          <w:rFonts w:ascii="Plus Jakarta Sans" w:hAnsi="Plus Jakarta Sans" w:cs="Segoe UI"/>
          <w:b/>
          <w:i w:val="0"/>
          <w:color w:val="0B0E14"/>
          <w:sz w:val="42"/>
          <w:szCs w:val="42"/>
        </w:rPr>
        <w:t>Milestones</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What has to be true at the end of each quarter for the next one to be deliverable.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660"/>
        <w:gridCol w:w="2699"/>
        <w:gridCol w:w="2699"/>
        <w:gridCol w:w="2353"/>
      </w:tblGrid>
      <w:tr>
        <w:trPr>
          <w:tblHeader w:val="true"/>
        </w:trPr>
        <w:tc>
          <w:tcPr>
            <w:tcW w:type="dxa" w:w="16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Quarter</w:t>
            </w:r>
          </w:p>
        </w:tc>
        <w:tc>
          <w:tcPr>
            <w:tcW w:type="dxa" w:w="269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Commercial</w:t>
            </w:r>
          </w:p>
        </w:tc>
        <w:tc>
          <w:tcPr>
            <w:tcW w:type="dxa" w:w="269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Operational</w:t>
            </w:r>
          </w:p>
        </w:tc>
        <w:tc>
          <w:tcPr>
            <w:tcW w:type="dxa" w:w="23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Product</w:t>
            </w:r>
          </w:p>
        </w:tc>
      </w:tr>
      <w:tr>
        <w:trPr>
          <w:cantSplit w:val="true"/>
        </w:trPr>
        <w:tc>
          <w:tcPr>
            <w:tcW w:type="dxa" w:w="16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2026 · Land</w:t>
            </w:r>
          </w:p>
        </w:tc>
        <w:tc>
          <w:tcPr>
            <w:tcW w:type="dxa" w:w="26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 paid KSA cohorts, 4 Egyptian free pilots, first partnership conversations open</w:t>
            </w:r>
          </w:p>
        </w:tc>
        <w:tc>
          <w:tcPr>
            <w:tcW w:type="dxa" w:w="26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 facilitators certified, Riyadh country manager in post, curriculum complete in both languages</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Admin workspace live, student-controlled sharing, overnight AI review at cohort volume</w:t>
            </w:r>
          </w:p>
        </w:tc>
      </w:tr>
      <w:tr>
        <w:trPr>
          <w:cantSplit w:val="true"/>
        </w:trPr>
        <w:tc>
          <w:tcPr>
            <w:tcW w:type="dxa" w:w="16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Q1 2027 · Prove</w:t>
            </w:r>
          </w:p>
        </w:tc>
        <w:tc>
          <w:tcPr>
            <w:tcW w:type="dxa" w:w="269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 paid cohorts, first licence signed off a pilot report, first competition run</w:t>
            </w:r>
          </w:p>
        </w:tc>
        <w:tc>
          <w:tcPr>
            <w:tcW w:type="dxa" w:w="269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report generated without manual editing, 8 facilitators certified</w:t>
            </w:r>
          </w:p>
        </w:tc>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 entry flow, judging rubric, certificates</w:t>
            </w:r>
          </w:p>
        </w:tc>
      </w:tr>
      <w:tr>
        <w:trPr>
          <w:cantSplit w:val="true"/>
        </w:trPr>
        <w:tc>
          <w:tcPr>
            <w:tcW w:type="dxa" w:w="16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Q2 2027 · Expand</w:t>
            </w:r>
          </w:p>
        </w:tc>
        <w:tc>
          <w:tcPr>
            <w:tcW w:type="dxa" w:w="26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 paid cohorts, first sponsored-seat programme signed, platform-only partners live</w:t>
            </w:r>
          </w:p>
        </w:tc>
        <w:tc>
          <w:tcPr>
            <w:tcW w:type="dxa" w:w="26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facilitators certified, bilingual support at cohort volume</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Bulk seat provisioning, partner-level reporting</w:t>
            </w:r>
          </w:p>
        </w:tc>
      </w:tr>
      <w:tr>
        <w:trPr>
          <w:cantSplit w:val="true"/>
        </w:trPr>
        <w:tc>
          <w:tcPr>
            <w:tcW w:type="dxa" w:w="16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Q3 2027 · Scale</w:t>
            </w:r>
          </w:p>
        </w:tc>
        <w:tc>
          <w:tcPr>
            <w:tcW w:type="dxa" w:w="269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 paid cohorts, first renewals, first Riyadh competition</w:t>
            </w:r>
          </w:p>
        </w:tc>
        <w:tc>
          <w:tcPr>
            <w:tcW w:type="dxa" w:w="269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Full pool certified before the quarter opens, parallel-group scheduling for 100-plus intakes</w:t>
            </w:r>
          </w:p>
        </w:tc>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Renewal and second-term licence flows, Day 01 onboarding delivered by facilitators rather than the founder</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What year one has to prove</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That the cohort report renews a licence.</w:t>
      </w:r>
      <w:r>
        <w:rPr>
          <w:rFonts w:ascii="Plus Jakarta Sans" w:hAnsi="Plus Jakarta Sans" w:cs="Segoe UI"/>
          <w:b w:val="0"/>
          <w:i w:val="0"/>
          <w:color w:val="0B0E14"/>
          <w:sz w:val="19"/>
          <w:szCs w:val="19"/>
        </w:rPr>
        <w:t xml:space="preserve"> Everything else in the model depends on an institution buying a second time off the strength of the first report. One renewal in the Scale quarter is worth more than ten new pilots.</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That a freelance facilitator delivers the same cohort as an employed one.</w:t>
      </w:r>
      <w:r>
        <w:rPr>
          <w:rFonts w:ascii="Plus Jakarta Sans" w:hAnsi="Plus Jakarta Sans" w:cs="Segoe UI"/>
          <w:b w:val="0"/>
          <w:i w:val="0"/>
          <w:color w:val="0B0E14"/>
          <w:sz w:val="19"/>
          <w:szCs w:val="19"/>
        </w:rPr>
        <w:t xml:space="preserve"> If the format does not survive delegation, the business has a ceiling of about twenty cohorts a year and the whole plan changes shape.</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That a national programme will contract a private platform.</w:t>
      </w:r>
      <w:r>
        <w:rPr>
          <w:rFonts w:ascii="Plus Jakarta Sans" w:hAnsi="Plus Jakarta Sans" w:cs="Segoe UI"/>
          <w:b w:val="0"/>
          <w:i w:val="0"/>
          <w:color w:val="0B0E14"/>
          <w:sz w:val="19"/>
          <w:szCs w:val="19"/>
        </w:rPr>
        <w:t xml:space="preserve"> This is unproven and the plan deliberately does not depend on it in year one. If it works, year three is conservative; if it does not, year three still stands on cohorts and licences.</w:t>
      </w:r>
    </w:p>
    <w:p>
      <w:pPr>
        <w:keepNext/>
        <w:pageBreakBefore w:val="true"/>
        <w:spacing w:before="0" w:after="20"/>
      </w:pPr>
      <w:r>
        <w:rPr>
          <w:rFonts w:ascii="Plus Jakarta Sans" w:hAnsi="Plus Jakarta Sans" w:cs="Segoe UI"/>
          <w:b/>
          <w:i w:val="0"/>
          <w:color w:val="3418E0"/>
          <w:spacing w:val="28"/>
          <w:sz w:val="16"/>
          <w:szCs w:val="16"/>
        </w:rPr>
        <w:t>SECTION 14</w:t>
      </w:r>
    </w:p>
    <w:p>
      <w:pPr>
        <w:keepNext/>
        <w:spacing w:before="40" w:after="120"/>
      </w:pPr>
      <w:r>
        <w:rPr>
          <w:rFonts w:ascii="Plus Jakarta Sans" w:hAnsi="Plus Jakarta Sans" w:cs="Segoe UI"/>
          <w:b/>
          <w:i w:val="0"/>
          <w:color w:val="0B0E14"/>
          <w:sz w:val="42"/>
          <w:szCs w:val="42"/>
        </w:rPr>
        <w:t>Appendix — assumptions and sources</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Every assumption behind the numbers, so a reader can argue with the inputs rather than the conclusions.</w:t>
      </w:r>
    </w:p>
    <w:p>
      <w:pPr>
        <w:keepNext/>
        <w:keepLines w:val="true"/>
        <w:widowControl w:val="true"/>
        <w:spacing w:before="300" w:after="100" w:line="288" w:lineRule="auto"/>
      </w:pPr>
      <w:r>
        <w:rPr>
          <w:rFonts w:ascii="Plus Jakarta Sans" w:hAnsi="Plus Jakarta Sans" w:cs="Segoe UI"/>
          <w:b/>
          <w:i w:val="0"/>
          <w:color w:val="0B0E14"/>
          <w:sz w:val="26"/>
          <w:szCs w:val="26"/>
        </w:rPr>
        <w:t>External figures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268"/>
        <w:gridCol w:w="1960"/>
        <w:gridCol w:w="4183"/>
      </w:tblGrid>
      <w:tr>
        <w:trPr>
          <w:tblHeader w:val="true"/>
        </w:trPr>
        <w:tc>
          <w:tcPr>
            <w:tcW w:type="dxa" w:w="3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Figure</w:t>
            </w:r>
          </w:p>
        </w:tc>
        <w:tc>
          <w:tcPr>
            <w:tcW w:type="dxa" w:w="19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41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Source</w:t>
            </w:r>
          </w:p>
        </w:tc>
      </w:tr>
      <w:tr>
        <w:trPr>
          <w:cantSplit w:val="true"/>
        </w:trPr>
        <w:tc>
          <w:tcPr>
            <w:tcW w:type="dxa" w:w="326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higher-education enrolment, 2024/25</w:t>
            </w:r>
          </w:p>
        </w:tc>
        <w:tc>
          <w:tcPr>
            <w:tcW w:type="dxa" w:w="19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3,900,000</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annual bulletin</w:t>
            </w:r>
          </w:p>
        </w:tc>
      </w:tr>
      <w:tr>
        <w:trPr>
          <w:cantSplit w:val="true"/>
        </w:trPr>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tertiary enrolment, 2022</w:t>
            </w:r>
          </w:p>
        </w:tc>
        <w:tc>
          <w:tcPr>
            <w:tcW w:type="dxa" w:w="19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1,600,000</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UNESCO UIS. The 84% gross enrolment ratio reported for 2024 implies growth; the lower figure is held</w:t>
            </w:r>
          </w:p>
        </w:tc>
      </w:tr>
      <w:tr>
        <w:trPr>
          <w:cantSplit w:val="true"/>
        </w:trPr>
        <w:tc>
          <w:tcPr>
            <w:tcW w:type="dxa" w:w="326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graduates, 2023</w:t>
            </w:r>
          </w:p>
        </w:tc>
        <w:tc>
          <w:tcPr>
            <w:tcW w:type="dxa" w:w="19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547,200</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reported via Ahram Online</w:t>
            </w:r>
          </w:p>
        </w:tc>
      </w:tr>
      <w:tr>
        <w:trPr>
          <w:cantSplit w:val="true"/>
        </w:trPr>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graduates each year</w:t>
            </w:r>
          </w:p>
        </w:tc>
        <w:tc>
          <w:tcPr>
            <w:tcW w:type="dxa" w:w="19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300,000</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Derived: enrolment over a four-year degree, discounted 25% for longer programmes and attrition</w:t>
            </w:r>
          </w:p>
        </w:tc>
      </w:tr>
      <w:tr>
        <w:trPr>
          <w:cantSplit w:val="true"/>
        </w:trPr>
        <w:tc>
          <w:tcPr>
            <w:tcW w:type="dxa" w:w="326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public colleges</w:t>
            </w:r>
          </w:p>
        </w:tc>
        <w:tc>
          <w:tcPr>
            <w:tcW w:type="dxa" w:w="19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551</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 28 universities, 551 colleges</w:t>
            </w:r>
          </w:p>
        </w:tc>
      </w:tr>
      <w:tr>
        <w:trPr>
          <w:cantSplit w:val="true"/>
        </w:trPr>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MENA startup funding, 2025</w:t>
            </w:r>
          </w:p>
        </w:tc>
        <w:tc>
          <w:tcPr>
            <w:tcW w:type="dxa" w:w="19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$7.5bn across 647 deals</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 full-year report</w:t>
            </w:r>
          </w:p>
        </w:tc>
      </w:tr>
      <w:tr>
        <w:trPr>
          <w:cantSplit w:val="true"/>
        </w:trPr>
        <w:tc>
          <w:tcPr>
            <w:tcW w:type="dxa" w:w="326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startup funding, 2025</w:t>
            </w:r>
          </w:p>
        </w:tc>
        <w:tc>
          <w:tcPr>
            <w:tcW w:type="dxa" w:w="19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$263m across 89 deals</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w:t>
            </w:r>
          </w:p>
        </w:tc>
      </w:tr>
      <w:tr>
        <w:trPr>
          <w:cantSplit w:val="true"/>
        </w:trPr>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startup funding, 2025</w:t>
            </w:r>
          </w:p>
        </w:tc>
        <w:tc>
          <w:tcPr>
            <w:tcW w:type="dxa" w:w="19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$5.0bn across 211 deals</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w:t>
            </w:r>
          </w:p>
        </w:tc>
      </w:tr>
      <w:tr>
        <w:trPr>
          <w:cantSplit w:val="true"/>
        </w:trPr>
        <w:tc>
          <w:tcPr>
            <w:tcW w:type="dxa" w:w="326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One Million Entrepreneurs registrations</w:t>
            </w:r>
          </w:p>
        </w:tc>
        <w:tc>
          <w:tcPr>
            <w:tcW w:type="dxa" w:w="19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~18,000</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Ministry of Planning</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Our assumptions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614"/>
        <w:gridCol w:w="1699"/>
        <w:gridCol w:w="5098"/>
      </w:tblGrid>
      <w:tr>
        <w:trPr>
          <w:tblHeader w:val="true"/>
        </w:trPr>
        <w:tc>
          <w:tcPr>
            <w:tcW w:type="dxa" w:w="26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Assumption</w:t>
            </w:r>
          </w:p>
        </w:tc>
        <w:tc>
          <w:tcPr>
            <w:tcW w:type="dxa" w:w="169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09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Reasoning</w:t>
            </w:r>
          </w:p>
        </w:tc>
      </w:tr>
      <w:tr>
        <w:trPr>
          <w:cantSplit w:val="true"/>
        </w:trPr>
        <w:tc>
          <w:tcPr>
            <w:tcW w:type="dxa" w:w="26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 price</w:t>
            </w:r>
          </w:p>
        </w:tc>
        <w:tc>
          <w:tcPr>
            <w:tcW w:type="dxa" w:w="16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$7,500</w:t>
            </w:r>
          </w:p>
        </w:tc>
        <w:tc>
          <w:tcPr>
            <w:tcW w:type="dxa" w:w="50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 per student — below the per-student cost of a single external trainer day with nothing left behind</w:t>
            </w:r>
          </w:p>
        </w:tc>
      </w:tr>
      <w:tr>
        <w:trPr>
          <w:cantSplit w:val="true"/>
        </w:trPr>
        <w:tc>
          <w:tcPr>
            <w:tcW w:type="dxa" w:w="26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 subscription</w:t>
            </w:r>
          </w:p>
        </w:tc>
        <w:tc>
          <w:tcPr>
            <w:tcW w:type="dxa" w:w="169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 / year</w:t>
            </w:r>
          </w:p>
        </w:tc>
        <w:tc>
          <w:tcPr>
            <w:tcW w:type="dxa" w:w="50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Priced for a student in Cairo, not a founder in London</w:t>
            </w:r>
          </w:p>
        </w:tc>
      </w:tr>
      <w:tr>
        <w:trPr>
          <w:cantSplit w:val="true"/>
        </w:trPr>
        <w:tc>
          <w:tcPr>
            <w:tcW w:type="dxa" w:w="26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Team subscription</w:t>
            </w:r>
          </w:p>
        </w:tc>
        <w:tc>
          <w:tcPr>
            <w:tcW w:type="dxa" w:w="16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$179 / year</w:t>
            </w:r>
          </w:p>
        </w:tc>
        <w:tc>
          <w:tcPr>
            <w:tcW w:type="dxa" w:w="50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payment covering a founding team; converts less often, pays three times more</w:t>
            </w:r>
          </w:p>
        </w:tc>
      </w:tr>
      <w:tr>
        <w:trPr>
          <w:cantSplit w:val="true"/>
        </w:trPr>
        <w:tc>
          <w:tcPr>
            <w:tcW w:type="dxa" w:w="26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seat</w:t>
            </w:r>
          </w:p>
        </w:tc>
        <w:tc>
          <w:tcPr>
            <w:tcW w:type="dxa" w:w="169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50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Discounted against the list seat because the volume is the point</w:t>
            </w:r>
          </w:p>
        </w:tc>
      </w:tr>
      <w:tr>
        <w:trPr>
          <w:cantSplit w:val="true"/>
        </w:trPr>
        <w:tc>
          <w:tcPr>
            <w:tcW w:type="dxa" w:w="26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fit filter</w:t>
            </w:r>
          </w:p>
        </w:tc>
        <w:tc>
          <w:tcPr>
            <w:tcW w:type="dxa" w:w="16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50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Business, engineering, computing, design and applied science carry capstones that map to the missions</w:t>
            </w:r>
          </w:p>
        </w:tc>
      </w:tr>
      <w:tr>
        <w:trPr>
          <w:cantSplit w:val="true"/>
        </w:trPr>
        <w:tc>
          <w:tcPr>
            <w:tcW w:type="dxa" w:w="26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Has an idea filter</w:t>
            </w:r>
          </w:p>
        </w:tc>
        <w:tc>
          <w:tcPr>
            <w:tcW w:type="dxa" w:w="169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50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Wider than final-year capstone, narrower than the whole student body</w:t>
            </w:r>
          </w:p>
        </w:tc>
      </w:tr>
      <w:tr>
        <w:trPr>
          <w:cantSplit w:val="true"/>
        </w:trPr>
        <w:tc>
          <w:tcPr>
            <w:tcW w:type="dxa" w:w="26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Cohorts per facilitator pair per year</w:t>
            </w:r>
          </w:p>
        </w:tc>
        <w:tc>
          <w:tcPr>
            <w:tcW w:type="dxa" w:w="16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50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cohort per two weeks, with slack for travel, preparation and campus holidays</w:t>
            </w:r>
          </w:p>
        </w:tc>
      </w:tr>
      <w:tr>
        <w:trPr>
          <w:cantSplit w:val="true"/>
        </w:trPr>
        <w:tc>
          <w:tcPr>
            <w:tcW w:type="dxa" w:w="26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day rate</w:t>
            </w:r>
          </w:p>
        </w:tc>
        <w:tc>
          <w:tcPr>
            <w:tcW w:type="dxa" w:w="169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w:t>
            </w:r>
          </w:p>
        </w:tc>
        <w:tc>
          <w:tcPr>
            <w:tcW w:type="dxa" w:w="50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freelance rate, Egypt</w:t>
            </w:r>
          </w:p>
        </w:tc>
      </w:tr>
      <w:tr>
        <w:trPr>
          <w:cantSplit w:val="true"/>
        </w:trPr>
        <w:tc>
          <w:tcPr>
            <w:tcW w:type="dxa" w:w="26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B2C subscriber life</w:t>
            </w:r>
          </w:p>
        </w:tc>
        <w:tc>
          <w:tcPr>
            <w:tcW w:type="dxa" w:w="16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 years</w:t>
            </w:r>
          </w:p>
        </w:tc>
        <w:tc>
          <w:tcPr>
            <w:tcW w:type="dxa" w:w="50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founder who finishes has no reason to renew a third year; one who stalls churns inside the first</w:t>
            </w:r>
          </w:p>
        </w:tc>
      </w:tr>
      <w:tr>
        <w:trPr>
          <w:cantSplit w:val="true"/>
        </w:trPr>
        <w:tc>
          <w:tcPr>
            <w:tcW w:type="dxa" w:w="26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Year-one hiring ramp</w:t>
            </w:r>
          </w:p>
        </w:tc>
        <w:tc>
          <w:tcPr>
            <w:tcW w:type="dxa" w:w="169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65%</w:t>
            </w:r>
          </w:p>
        </w:tc>
        <w:tc>
          <w:tcPr>
            <w:tcW w:type="dxa" w:w="50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Average establishment across the year; nobody but the founders is on the payroll from month one</w:t>
            </w:r>
          </w:p>
        </w:tc>
      </w:tr>
      <w:tr>
        <w:trPr>
          <w:cantSplit w:val="true"/>
        </w:trPr>
        <w:tc>
          <w:tcPr>
            <w:tcW w:type="dxa" w:w="26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B2B commission</w:t>
            </w:r>
          </w:p>
        </w:tc>
        <w:tc>
          <w:tcPr>
            <w:tcW w:type="dxa" w:w="16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 of institutional revenue</w:t>
            </w:r>
          </w:p>
        </w:tc>
        <w:tc>
          <w:tcPr>
            <w:tcW w:type="dxa" w:w="50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Institutional business is sold by people, and people on a number are paid on it</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What this plan does not claim</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It does not claim an outcome number. StartPad records mission progress, evidence and review scores. It does not certify that a venture will succeed, and no partnership should be contracted against a metric the product cannot measure.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It does not assume a second raise. Years two and three are funded from operations on these numbers. A growth raise would change the shape of year three, not its viability.</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 channel conversion rates are modelled, not measured. They are the assumption most likely to be wrong in both directions, and the first cohort quarter will replace them with observed figures.</w:t>
      </w:r>
    </w:p>
    <w:sectPr w:rsidR="00FC693F" w:rsidRPr="0006063C" w:rsidSect="00034616">
      <w:headerReference w:type="default" r:id="rId9"/>
      <w:footerReference w:type="default" r:id="rId10"/>
      <w:pgSz w:w="11906" w:h="16838"/>
      <w:pgMar w:top="1134" w:right="1247" w:bottom="1077" w:left="1247" w:header="624"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Plus Jakarta Sans" w:hAnsi="Plus Jakarta Sans" w:cs="Segoe UI"/>
        <w:b w:val="0"/>
        <w:i w:val="0"/>
        <w:color w:val="9AA0AF"/>
        <w:sz w:val="14"/>
        <w:szCs w:val="14"/>
      </w:rPr>
      <w:t xml:space="preserve">October 2026 – September 2029          </w:t>
    </w:r>
    <w:r>
      <w:rPr>
        <w:rFonts w:ascii="Plus Jakarta Sans" w:hAnsi="Plus Jakarta Sans" w:cs="Segoe UI"/>
        <w:color w:val="6B7285"/>
        <w:sz w:val="16"/>
        <w:szCs w:val="16"/>
      </w:rPr>
      <w:fldChar w:fldCharType="begin"/>
    </w:r>
    <w:r>
      <w:rPr>
        <w:rFonts w:ascii="Plus Jakarta Sans" w:hAnsi="Plus Jakarta Sans" w:cs="Segoe UI"/>
        <w:color w:val="6B7285"/>
        <w:sz w:val="16"/>
        <w:szCs w:val="16"/>
      </w:rPr>
      <w:instrText xml:space="preserve"> PAGE </w:instrText>
    </w:r>
    <w:r>
      <w:rPr>
        <w:rFonts w:ascii="Plus Jakarta Sans" w:hAnsi="Plus Jakarta Sans" w:cs="Segoe UI"/>
        <w:color w:val="6B7285"/>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E2E4EA"/>
      </w:pBdr>
      <w:spacing w:after="0"/>
    </w:pPr>
    <w:r>
      <w:rPr>
        <w:rFonts w:ascii="Plus Jakarta Sans" w:hAnsi="Plus Jakarta Sans" w:cs="Segoe UI"/>
        <w:b/>
        <w:i w:val="0"/>
        <w:color w:val="9AA0AF"/>
        <w:spacing w:val="24"/>
        <w:sz w:val="14"/>
        <w:szCs w:val="14"/>
      </w:rPr>
      <w:t>STARTPAD  ·  BUSINESS PLAN  ·  EGYPT AND SAUDI ARABIA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lus Jakarta Sans" w:hAnsi="Plus Jakarta Sans"/>
      <w:color w:val="0B0E1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