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6F8B"/>
          <w:sz w:val="19"/>
          <w:spacing w:val="60"/>
        </w:rPr>
        <w:t>PARTNERSHIP PROPOSAL</w:t>
      </w:r>
    </w:p>
    <w:p>
      <w:pPr>
        <w:spacing w:after="80"/>
        <w:jc w:val="center"/>
      </w:pPr>
      <w:r>
        <w:rPr>
          <w:b/>
          <w:color w:val="0F2B46"/>
          <w:sz w:val="36"/>
        </w:rPr>
        <w:t>Investment Partner — Venture Studio Structuring &amp; Investor Relations</w:t>
      </w:r>
    </w:p>
    <w:p>
      <w:pPr>
        <w:spacing w:after="200"/>
        <w:jc w:val="center"/>
        <w:pBdr>
          <w:bottom w:val="single" w:sz="8" w:space="2" w:color="C9D3DC"/>
        </w:pBdr>
      </w:pPr>
      <w:r>
        <w:rPr>
          <w:i/>
          <w:color w:val="444A52"/>
          <w:sz w:val="22"/>
        </w:rPr>
        <w:t>Submitted to the Partnership Committee of Core VEX Venture Studio</w:t>
      </w:r>
    </w:p>
    <w:tbl>
      <w:tblPr>
        <w:tblW w:type="auto" w:w="0"/>
        <w:tblLayout w:type="fixed"/>
        <w:tblLook w:firstColumn="1" w:firstRow="1" w:lastColumn="0" w:lastRow="0" w:noHBand="0" w:noVBand="1" w:val="04A0"/>
      </w:tblPr>
      <w:tblGrid>
        <w:gridCol w:w="4752"/>
        <w:gridCol w:w="4752"/>
      </w:tblGrid>
      <w:tr>
        <w:tc>
          <w:tcPr>
            <w:tcW w:type="dxa" w:w="4752"/>
          </w:tcPr>
          <w:p>
            <w:pPr>
              <w:spacing w:after="20"/>
            </w:pPr>
            <w:r>
              <w:rPr>
                <w:b/>
                <w:color w:val="0F2B46"/>
                <w:sz w:val="19"/>
              </w:rPr>
              <w:t xml:space="preserve">Prepared by  </w:t>
            </w:r>
            <w:r>
              <w:rPr>
                <w:color w:val="444A52"/>
                <w:sz w:val="19"/>
              </w:rPr>
              <w:t>Abdelrhman Soliman</w:t>
            </w:r>
          </w:p>
          <w:p>
            <w:pPr>
              <w:spacing w:after="20"/>
            </w:pPr>
            <w:r>
              <w:rPr>
                <w:b/>
                <w:color w:val="0F2B46"/>
                <w:sz w:val="19"/>
              </w:rPr>
              <w:t xml:space="preserve">Position proposed  </w:t>
            </w:r>
            <w:r>
              <w:rPr>
                <w:color w:val="444A52"/>
                <w:sz w:val="19"/>
              </w:rPr>
              <w:t>Investment Partner</w:t>
            </w:r>
          </w:p>
          <w:p>
            <w:pPr>
              <w:spacing w:after="20"/>
            </w:pPr>
            <w:r>
              <w:rPr>
                <w:b/>
                <w:color w:val="0F2B46"/>
                <w:sz w:val="19"/>
              </w:rPr>
              <w:t xml:space="preserve">Location  </w:t>
            </w:r>
            <w:r>
              <w:rPr>
                <w:color w:val="444A52"/>
                <w:sz w:val="19"/>
              </w:rPr>
              <w:t>Cairo, Egypt</w:t>
            </w:r>
          </w:p>
        </w:tc>
        <w:tc>
          <w:tcPr>
            <w:tcW w:type="dxa" w:w="4752"/>
          </w:tcPr>
          <w:p>
            <w:pPr>
              <w:spacing w:after="20"/>
            </w:pPr>
            <w:r>
              <w:rPr>
                <w:b/>
                <w:color w:val="0F2B46"/>
                <w:sz w:val="19"/>
              </w:rPr>
              <w:t xml:space="preserve">Email  </w:t>
            </w:r>
            <w:r>
              <w:rPr>
                <w:color w:val="444A52"/>
                <w:sz w:val="19"/>
              </w:rPr>
              <w:t>abdelrhmansoliman96@gmail.com</w:t>
            </w:r>
          </w:p>
          <w:p>
            <w:pPr>
              <w:spacing w:after="20"/>
            </w:pPr>
            <w:r>
              <w:rPr>
                <w:b/>
                <w:color w:val="0F2B46"/>
                <w:sz w:val="19"/>
              </w:rPr>
              <w:t xml:space="preserve">Mobile  </w:t>
            </w:r>
            <w:r>
              <w:rPr>
                <w:color w:val="444A52"/>
                <w:sz w:val="19"/>
              </w:rPr>
              <w:t>+20 109 651 5287</w:t>
            </w:r>
          </w:p>
          <w:p>
            <w:pPr>
              <w:spacing w:after="20"/>
            </w:pPr>
            <w:r>
              <w:rPr>
                <w:b/>
                <w:color w:val="0F2B46"/>
                <w:sz w:val="19"/>
              </w:rPr>
              <w:t xml:space="preserve">Date  </w:t>
            </w:r>
            <w:r>
              <w:rPr>
                <w:color w:val="444A52"/>
                <w:sz w:val="19"/>
              </w:rPr>
              <w:t>14 October 2026</w:t>
            </w:r>
          </w:p>
        </w:tc>
      </w:tr>
    </w:tbl>
    <w:p>
      <w:pPr>
        <w:spacing w:after="40"/>
        <w:pBdr>
          <w:bottom w:val="single" w:sz="8" w:space="2" w:color="C9D3DC"/>
        </w:pBdr>
      </w:pPr>
    </w:p>
    <w:p>
      <w:pPr>
        <w:spacing w:before="120" w:after="200" w:line="269" w:lineRule="auto"/>
        <w:jc w:val="center"/>
      </w:pPr>
      <w:r>
        <w:rPr>
          <w:b w:val="0"/>
          <w:i/>
          <w:color w:val="7A828C"/>
          <w:sz w:val="17"/>
        </w:rPr>
        <w:t>Private &amp; Confidential — This document is submitted for the sole consideration of Core VEX Venture Studio and its shareholders. It is non-binding and intended to form the basis of a definitive partnership agreement.</w:t>
      </w:r>
    </w:p>
    <w:p>
      <w:pPr>
        <w:spacing w:before="320" w:after="140"/>
        <w:pBdr>
          <w:bottom w:val="single" w:sz="12" w:space="2" w:color="1F6F8B"/>
        </w:pBdr>
      </w:pPr>
      <w:r>
        <w:rPr>
          <w:rFonts w:ascii="Calibri" w:hAnsi="Calibri"/>
          <w:b/>
          <w:color w:val="0F2B46"/>
          <w:sz w:val="24"/>
        </w:rPr>
        <w:t>1.  EXECUTIVE SUMMARY</w:t>
      </w:r>
    </w:p>
    <w:p>
      <w:pPr>
        <w:spacing w:before="0" w:after="120" w:line="269" w:lineRule="auto"/>
      </w:pPr>
      <w:r>
        <w:rPr>
          <w:b w:val="0"/>
          <w:i w:val="0"/>
          <w:color w:val="444A52"/>
          <w:sz w:val="21"/>
        </w:rPr>
        <w:t>Core VEX Venture Studio is building ventures at a moment when capital in the MENA region is abundant in intent but selective in execution. Studios that win are not the ones with the most ideas — they are the ones with an institutional-grade structure, a credible investment thesis, and a standing relationship with the limited partners, angels, family offices and co-investment funds that write cheques repeatedly.</w:t>
      </w:r>
    </w:p>
    <w:p>
      <w:pPr>
        <w:spacing w:before="0" w:after="120" w:line="269" w:lineRule="auto"/>
      </w:pPr>
      <w:r>
        <w:rPr>
          <w:b w:val="0"/>
          <w:i w:val="0"/>
          <w:color w:val="444A52"/>
          <w:sz w:val="21"/>
        </w:rPr>
        <w:t>I am proposing to join Core VEX as Investment Partner, taking full ownership of the Studio's investment architecture and investor relations function: how the studio and its vehicles are structured, how ventures are evaluated and capitalised, how LPs and co-investors are sourced, converted and retained, and how the studio reports to the capital that backs it.</w:t>
      </w:r>
    </w:p>
    <w:p>
      <w:pPr>
        <w:spacing w:before="0" w:after="120" w:line="269" w:lineRule="auto"/>
      </w:pPr>
      <w:r>
        <w:rPr>
          <w:b w:val="0"/>
          <w:i w:val="0"/>
          <w:color w:val="444A52"/>
          <w:sz w:val="21"/>
        </w:rPr>
        <w:t>I bring over seven years across venture capital, private equity and startup advisory; leadership of multiple investment syndicates and an investment team; support for more than $10M in fundraising; and direct mentorship of 100+ startups. My network spans angels, VCs, syndicates, family offices and ecosystem partners across MENA and global markets — a network I will put to work immediately for Core VEX ventures and for the studio's own capital base.</w:t>
      </w:r>
    </w:p>
    <w:p>
      <w:pPr>
        <w:spacing w:before="0" w:after="120" w:line="269" w:lineRule="auto"/>
      </w:pPr>
      <w:r>
        <w:rPr>
          <w:b w:val="0"/>
          <w:i w:val="0"/>
          <w:color w:val="444A52"/>
          <w:sz w:val="21"/>
        </w:rPr>
        <w:t>Two alternative partnership structures are set out in Section 5. Both are built on the same commitment and the same deliverables; they differ only in how the consideration is weighted between equity, cash compensation, and performance-linked fundraising participation, allowing Core VEX to choose the structure that best fits its cash position and cap-table strategy.</w:t>
      </w:r>
    </w:p>
    <w:p>
      <w:pPr>
        <w:spacing w:before="320" w:after="140"/>
        <w:pBdr>
          <w:bottom w:val="single" w:sz="12" w:space="2" w:color="1F6F8B"/>
        </w:pBdr>
      </w:pPr>
      <w:r>
        <w:rPr>
          <w:rFonts w:ascii="Calibri" w:hAnsi="Calibri"/>
          <w:b/>
          <w:color w:val="0F2B46"/>
          <w:sz w:val="24"/>
        </w:rPr>
        <w:t>2.  WHY THIS PARTNERSHIP</w:t>
      </w:r>
    </w:p>
    <w:p>
      <w:pPr>
        <w:spacing w:before="220" w:after="80"/>
      </w:pPr>
      <w:r>
        <w:rPr>
          <w:b/>
          <w:color w:val="0F2B46"/>
          <w:sz w:val="22"/>
        </w:rPr>
        <w:t>2.1  The gap a venture studio must close</w:t>
      </w:r>
    </w:p>
    <w:p>
      <w:pPr>
        <w:pStyle w:val="ListBullet"/>
        <w:spacing w:after="60" w:line="264" w:lineRule="auto"/>
        <w:ind w:left="576"/>
      </w:pPr>
      <w:r>
        <w:rPr>
          <w:b/>
          <w:color w:val="0F2B46"/>
          <w:sz w:val="21"/>
        </w:rPr>
        <w:t xml:space="preserve">Structure is the bottleneck. </w:t>
      </w:r>
      <w:r>
        <w:rPr>
          <w:color w:val="444A52"/>
          <w:sz w:val="21"/>
        </w:rPr>
        <w:t>A studio without a defined fund or vehicle structure cannot absorb institutional capital — LPs do not invest into ambiguity.</w:t>
      </w:r>
    </w:p>
    <w:p>
      <w:pPr>
        <w:pStyle w:val="ListBullet"/>
        <w:spacing w:after="60" w:line="264" w:lineRule="auto"/>
        <w:ind w:left="576"/>
      </w:pPr>
      <w:r>
        <w:rPr>
          <w:b/>
          <w:color w:val="0F2B46"/>
          <w:sz w:val="21"/>
        </w:rPr>
        <w:t xml:space="preserve">Venture readiness is a repeatable process. </w:t>
      </w:r>
      <w:r>
        <w:rPr>
          <w:color w:val="444A52"/>
          <w:sz w:val="21"/>
        </w:rPr>
        <w:t>Founders inside a studio need the same investor-readiness discipline as any independent startup: models, data rooms, valuation logic, and a fundraising roadmap.</w:t>
      </w:r>
    </w:p>
    <w:p>
      <w:pPr>
        <w:pStyle w:val="ListBullet"/>
        <w:spacing w:after="60" w:line="264" w:lineRule="auto"/>
        <w:ind w:left="576"/>
      </w:pPr>
      <w:r>
        <w:rPr>
          <w:b/>
          <w:color w:val="0F2B46"/>
          <w:sz w:val="21"/>
        </w:rPr>
        <w:t xml:space="preserve">Capital is a relationship business. </w:t>
      </w:r>
      <w:r>
        <w:rPr>
          <w:color w:val="444A52"/>
          <w:sz w:val="21"/>
        </w:rPr>
        <w:t>Investor relations is not a fundraising campaign; it is a permanent function — pipeline, reporting, governance, and trust compounded over years.</w:t>
      </w:r>
    </w:p>
    <w:p>
      <w:pPr>
        <w:pStyle w:val="ListBullet"/>
        <w:spacing w:after="60" w:line="264" w:lineRule="auto"/>
        <w:ind w:left="576"/>
      </w:pPr>
      <w:r>
        <w:rPr>
          <w:b/>
          <w:color w:val="0F2B46"/>
          <w:sz w:val="21"/>
        </w:rPr>
        <w:t xml:space="preserve">Co-investment is leverage. </w:t>
      </w:r>
      <w:r>
        <w:rPr>
          <w:color w:val="444A52"/>
          <w:sz w:val="21"/>
        </w:rPr>
        <w:t>Co-investment is how a studio multiplies its cheque size without multiplying its balance sheet. That requires standing relationships, not cold outreach.</w:t>
      </w:r>
    </w:p>
    <w:p>
      <w:pPr>
        <w:spacing w:before="220" w:after="80"/>
      </w:pPr>
      <w:r>
        <w:rPr>
          <w:b/>
          <w:color w:val="0F2B46"/>
          <w:sz w:val="22"/>
        </w:rPr>
        <w:t>2.2  What I close it with</w:t>
      </w:r>
    </w:p>
    <w:p>
      <w:pPr>
        <w:pStyle w:val="ListBullet"/>
        <w:spacing w:after="60" w:line="264" w:lineRule="auto"/>
        <w:ind w:left="576"/>
      </w:pPr>
      <w:r>
        <w:rPr>
          <w:b/>
          <w:color w:val="0F2B46"/>
          <w:sz w:val="21"/>
        </w:rPr>
        <w:t xml:space="preserve">Structuring capability. </w:t>
      </w:r>
      <w:r>
        <w:rPr>
          <w:color w:val="444A52"/>
          <w:sz w:val="21"/>
        </w:rPr>
        <w:t>Design and documentation of the studio's investment structure, vehicles, and economics.</w:t>
      </w:r>
    </w:p>
    <w:p>
      <w:pPr>
        <w:pStyle w:val="ListBullet"/>
        <w:spacing w:after="60" w:line="264" w:lineRule="auto"/>
        <w:ind w:left="576"/>
      </w:pPr>
      <w:r>
        <w:rPr>
          <w:b/>
          <w:color w:val="0F2B46"/>
          <w:sz w:val="21"/>
        </w:rPr>
        <w:t xml:space="preserve">A live investor network. </w:t>
      </w:r>
      <w:r>
        <w:rPr>
          <w:color w:val="444A52"/>
          <w:sz w:val="21"/>
        </w:rPr>
        <w:t>An active, warm network of angels, VCs, syndicate leads, family offices and institutional investors across MENA and internationally.</w:t>
      </w:r>
    </w:p>
    <w:p>
      <w:pPr>
        <w:pStyle w:val="ListBullet"/>
        <w:spacing w:after="60" w:line="264" w:lineRule="auto"/>
        <w:ind w:left="576"/>
      </w:pPr>
      <w:r>
        <w:rPr>
          <w:b/>
          <w:color w:val="0F2B46"/>
          <w:sz w:val="21"/>
        </w:rPr>
        <w:t xml:space="preserve">Deal discipline. </w:t>
      </w:r>
      <w:r>
        <w:rPr>
          <w:color w:val="444A52"/>
          <w:sz w:val="21"/>
        </w:rPr>
        <w:t>Full-cycle deal execution — origination, due diligence, financial modelling, valuation, term negotiation, closing and portfolio monitoring.</w:t>
      </w:r>
    </w:p>
    <w:p>
      <w:pPr>
        <w:pStyle w:val="ListBullet"/>
        <w:spacing w:after="60" w:line="264" w:lineRule="auto"/>
        <w:ind w:left="576"/>
      </w:pPr>
      <w:r>
        <w:rPr>
          <w:b/>
          <w:color w:val="0F2B46"/>
          <w:sz w:val="21"/>
        </w:rPr>
        <w:t xml:space="preserve">Market credibility. </w:t>
      </w:r>
      <w:r>
        <w:rPr>
          <w:color w:val="444A52"/>
          <w:sz w:val="21"/>
        </w:rPr>
        <w:t>Recognised presence in the regional venture ecosystem that positions Core VEX in front of capital rather than chasing it.</w:t>
      </w:r>
    </w:p>
    <w:p>
      <w:r>
        <w:br w:type="page"/>
      </w:r>
    </w:p>
    <w:p>
      <w:pPr>
        <w:spacing w:before="320" w:after="140"/>
        <w:pBdr>
          <w:bottom w:val="single" w:sz="12" w:space="2" w:color="1F6F8B"/>
        </w:pBdr>
      </w:pPr>
      <w:r>
        <w:rPr>
          <w:rFonts w:ascii="Calibri" w:hAnsi="Calibri"/>
          <w:b/>
          <w:color w:val="0F2B46"/>
          <w:sz w:val="24"/>
        </w:rPr>
        <w:t>3.  PROPOSED ROLE: INVESTMENT PARTNER</w:t>
      </w:r>
    </w:p>
    <w:p>
      <w:pPr>
        <w:spacing w:before="0" w:after="160" w:line="269" w:lineRule="auto"/>
      </w:pPr>
      <w:r>
        <w:rPr>
          <w:b w:val="0"/>
          <w:i w:val="0"/>
          <w:color w:val="444A52"/>
          <w:sz w:val="21"/>
        </w:rPr>
        <w:t>As Investment Partner I will hold accountability for two interlocking mandates — the Studio's investment structure and its investor relations — and will sit on the partnership table with full participation in investment decision-making.</w:t>
      </w:r>
    </w:p>
    <w:p>
      <w:pPr>
        <w:spacing w:before="220" w:after="80"/>
      </w:pPr>
      <w:r>
        <w:rPr>
          <w:b/>
          <w:color w:val="0F2B46"/>
          <w:sz w:val="22"/>
        </w:rPr>
        <w:t>3.1  Mandate A — Venture Studio Structure &amp; Investment Architecture</w:t>
      </w:r>
    </w:p>
    <w:p>
      <w:pPr>
        <w:pStyle w:val="ListBullet"/>
        <w:spacing w:after="60" w:line="264" w:lineRule="auto"/>
        <w:ind w:left="576"/>
      </w:pPr>
      <w:r>
        <w:rPr>
          <w:color w:val="444A52"/>
          <w:sz w:val="21"/>
        </w:rPr>
        <w:t>Design the studio's operating and legal structure: studio entity, holding vehicle, SPVs, and the optional studio fund — including jurisdiction, governance and investor-facing economics.</w:t>
      </w:r>
    </w:p>
    <w:p>
      <w:pPr>
        <w:pStyle w:val="ListBullet"/>
        <w:spacing w:after="60" w:line="264" w:lineRule="auto"/>
        <w:ind w:left="576"/>
      </w:pPr>
      <w:r>
        <w:rPr>
          <w:color w:val="444A52"/>
          <w:sz w:val="21"/>
        </w:rPr>
        <w:t>Define studio economics: founder and studio equity splits, venture-level cap table policy, anti-dilution and follow-on reserve strategy, and the carry and fee model across vehicles.</w:t>
      </w:r>
    </w:p>
    <w:p>
      <w:pPr>
        <w:pStyle w:val="ListBullet"/>
        <w:spacing w:after="60" w:line="264" w:lineRule="auto"/>
        <w:ind w:left="576"/>
      </w:pPr>
      <w:r>
        <w:rPr>
          <w:color w:val="444A52"/>
          <w:sz w:val="21"/>
        </w:rPr>
        <w:t>Build the investment thesis and mandate: target sectors, stage, cheque sizes, ownership targets, portfolio construction and capital deployment pacing.</w:t>
      </w:r>
    </w:p>
    <w:p>
      <w:pPr>
        <w:pStyle w:val="ListBullet"/>
        <w:spacing w:after="60" w:line="264" w:lineRule="auto"/>
        <w:ind w:left="576"/>
      </w:pPr>
      <w:r>
        <w:rPr>
          <w:color w:val="444A52"/>
          <w:sz w:val="21"/>
        </w:rPr>
        <w:t>Establish the investment process end to end: deal origination funnel, screening criteria, due diligence framework, Investment Committee charter, memo standards and approval gates.</w:t>
      </w:r>
    </w:p>
    <w:p>
      <w:pPr>
        <w:pStyle w:val="ListBullet"/>
        <w:spacing w:after="60" w:line="264" w:lineRule="auto"/>
        <w:ind w:left="576"/>
      </w:pPr>
      <w:r>
        <w:rPr>
          <w:color w:val="444A52"/>
          <w:sz w:val="21"/>
        </w:rPr>
        <w:t>Standardise venture financial infrastructure: financial models, valuation methodologies (DCF, comparables, VC method, scorecard), unit economics, and runway and KPI dashboards.</w:t>
      </w:r>
    </w:p>
    <w:p>
      <w:pPr>
        <w:pStyle w:val="ListBullet"/>
        <w:spacing w:after="60" w:line="264" w:lineRule="auto"/>
        <w:ind w:left="576"/>
      </w:pPr>
      <w:r>
        <w:rPr>
          <w:color w:val="444A52"/>
          <w:sz w:val="21"/>
        </w:rPr>
        <w:t>Own portfolio management: milestone tracking, follow-on decisions, bridge strategy, valuation marks, NAV reporting and exit planning.</w:t>
      </w:r>
    </w:p>
    <w:p>
      <w:pPr>
        <w:pStyle w:val="ListBullet"/>
        <w:spacing w:after="60" w:line="264" w:lineRule="auto"/>
        <w:ind w:left="576"/>
      </w:pPr>
      <w:r>
        <w:rPr>
          <w:color w:val="444A52"/>
          <w:sz w:val="21"/>
        </w:rPr>
        <w:t>Prepare and maintain the studio-level data room, governance documentation and reporting calendar to institutional standards.</w:t>
      </w:r>
    </w:p>
    <w:p>
      <w:pPr>
        <w:spacing w:before="220" w:after="80"/>
      </w:pPr>
      <w:r>
        <w:rPr>
          <w:b/>
          <w:color w:val="0F2B46"/>
          <w:sz w:val="22"/>
        </w:rPr>
        <w:t>3.2  Mandate B — Investor Relations, LP &amp; Network Activities</w:t>
      </w:r>
    </w:p>
    <w:p>
      <w:pPr>
        <w:pStyle w:val="ListBullet"/>
        <w:spacing w:after="60" w:line="264" w:lineRule="auto"/>
        <w:ind w:left="576"/>
      </w:pPr>
      <w:r>
        <w:rPr>
          <w:color w:val="444A52"/>
          <w:sz w:val="21"/>
        </w:rPr>
        <w:t>Build and own the LP and investor pipeline: angels, HNWIs, family offices, corporates, VC funds, DFIs and institutional allocators across MENA, GCC, Europe and beyond.</w:t>
      </w:r>
    </w:p>
    <w:p>
      <w:pPr>
        <w:pStyle w:val="ListBullet"/>
        <w:spacing w:after="60" w:line="264" w:lineRule="auto"/>
        <w:ind w:left="576"/>
      </w:pPr>
      <w:r>
        <w:rPr>
          <w:color w:val="444A52"/>
          <w:sz w:val="21"/>
        </w:rPr>
        <w:t>Produce the full investor-facing collateral suite: studio deck, thesis memo, LP teaser, PPM-style materials, track-record pack, FAQ and diligence responses.</w:t>
      </w:r>
    </w:p>
    <w:p>
      <w:pPr>
        <w:pStyle w:val="ListBullet"/>
        <w:spacing w:after="60" w:line="264" w:lineRule="auto"/>
        <w:ind w:left="576"/>
      </w:pPr>
      <w:r>
        <w:rPr>
          <w:color w:val="444A52"/>
          <w:sz w:val="21"/>
        </w:rPr>
        <w:t>Lead investor engagement end to end: targeting, outreach, meetings, diligence management, negotiation support and closing coordination.</w:t>
      </w:r>
    </w:p>
    <w:p>
      <w:pPr>
        <w:pStyle w:val="ListBullet"/>
        <w:spacing w:after="60" w:line="264" w:lineRule="auto"/>
        <w:ind w:left="576"/>
      </w:pPr>
      <w:r>
        <w:rPr>
          <w:color w:val="444A52"/>
          <w:sz w:val="21"/>
        </w:rPr>
        <w:t>Run the ongoing IR function: quarterly LP reports, annual letters, capital account and NAV communication, AGM and investor day preparation, and ad-hoc LP requests.</w:t>
      </w:r>
    </w:p>
    <w:p>
      <w:pPr>
        <w:pStyle w:val="ListBullet"/>
        <w:spacing w:after="60" w:line="264" w:lineRule="auto"/>
        <w:ind w:left="576"/>
      </w:pPr>
      <w:r>
        <w:rPr>
          <w:color w:val="444A52"/>
          <w:sz w:val="21"/>
        </w:rPr>
        <w:t>Structure and syndicate co-investment: assemble SPVs and syndicate allocations alongside partner funds, syndicate leads and angel networks so Core VEX ventures are funded beyond the studio's own capacity.</w:t>
      </w:r>
    </w:p>
    <w:p>
      <w:pPr>
        <w:pStyle w:val="ListBullet"/>
        <w:spacing w:after="60" w:line="264" w:lineRule="auto"/>
        <w:ind w:left="576"/>
      </w:pPr>
      <w:r>
        <w:rPr>
          <w:color w:val="444A52"/>
          <w:sz w:val="21"/>
        </w:rPr>
        <w:t>Establish strategic partnerships with funds, accelerators, syndicates, corporates and ecosystem institutions to create reciprocal deal flow and co-investment capacity.</w:t>
      </w:r>
    </w:p>
    <w:p>
      <w:pPr>
        <w:pStyle w:val="ListBullet"/>
        <w:spacing w:after="60" w:line="264" w:lineRule="auto"/>
        <w:ind w:left="576"/>
      </w:pPr>
      <w:r>
        <w:rPr>
          <w:color w:val="444A52"/>
          <w:sz w:val="21"/>
        </w:rPr>
        <w:t>Support portfolio founders directly on fundraising: narrative, deck, model, data room, investor targeting and round execution.</w:t>
      </w:r>
    </w:p>
    <w:p>
      <w:pPr>
        <w:pStyle w:val="ListBullet"/>
        <w:spacing w:after="60" w:line="264" w:lineRule="auto"/>
        <w:ind w:left="576"/>
      </w:pPr>
      <w:r>
        <w:rPr>
          <w:color w:val="444A52"/>
          <w:sz w:val="21"/>
        </w:rPr>
        <w:t>Represent Core VEX externally — at conferences, in media, and in the regional ecosystem — as the studio's investment-side voice.</w:t>
      </w:r>
    </w:p>
    <w:p>
      <w:pPr>
        <w:spacing w:before="220" w:after="80"/>
      </w:pPr>
      <w:r>
        <w:rPr>
          <w:b/>
          <w:color w:val="0F2B46"/>
          <w:sz w:val="22"/>
        </w:rPr>
        <w:t>3.3  Commitment &amp; Working Model</w:t>
      </w:r>
    </w:p>
    <w:p>
      <w:pPr>
        <w:pStyle w:val="ListBullet"/>
        <w:spacing w:after="60" w:line="264" w:lineRule="auto"/>
        <w:ind w:left="576"/>
      </w:pPr>
      <w:r>
        <w:rPr>
          <w:color w:val="444A52"/>
          <w:sz w:val="21"/>
        </w:rPr>
        <w:t>Part-time partner-level engagement, structured around the studio's investment cycle, Investment Committee calendar and active fundraising windows.</w:t>
      </w:r>
    </w:p>
    <w:p>
      <w:pPr>
        <w:pStyle w:val="ListBullet"/>
        <w:spacing w:after="60" w:line="264" w:lineRule="auto"/>
        <w:ind w:left="576"/>
      </w:pPr>
      <w:r>
        <w:rPr>
          <w:color w:val="444A52"/>
          <w:sz w:val="21"/>
        </w:rPr>
        <w:t>Seat on the Investment Committee with full voting participation on venture investments, follow-ons and exits.</w:t>
      </w:r>
    </w:p>
    <w:p>
      <w:pPr>
        <w:pStyle w:val="ListBullet"/>
        <w:spacing w:after="60" w:line="264" w:lineRule="auto"/>
        <w:ind w:left="576"/>
      </w:pPr>
      <w:r>
        <w:rPr>
          <w:color w:val="444A52"/>
          <w:sz w:val="21"/>
        </w:rPr>
        <w:t>Direct accountability to the founding partners and the studio's shareholders.</w:t>
      </w:r>
    </w:p>
    <w:p>
      <w:pPr>
        <w:pStyle w:val="ListBullet"/>
        <w:spacing w:after="60" w:line="264" w:lineRule="auto"/>
        <w:ind w:left="576"/>
      </w:pPr>
      <w:r>
        <w:rPr>
          <w:color w:val="444A52"/>
          <w:sz w:val="21"/>
        </w:rPr>
        <w:t>Hands-on availability to portfolio founders during live fundraising rounds.</w:t>
      </w:r>
    </w:p>
    <w:p>
      <w:r>
        <w:br w:type="page"/>
      </w:r>
    </w:p>
    <w:p>
      <w:pPr>
        <w:spacing w:before="320" w:after="140"/>
        <w:pBdr>
          <w:bottom w:val="single" w:sz="12" w:space="2" w:color="1F6F8B"/>
        </w:pBdr>
      </w:pPr>
      <w:r>
        <w:rPr>
          <w:rFonts w:ascii="Calibri" w:hAnsi="Calibri"/>
          <w:b/>
          <w:color w:val="0F2B46"/>
          <w:sz w:val="24"/>
        </w:rPr>
        <w:t>4.  PROFESSIONAL BACKGROUND &amp; TRACK RECORD</w:t>
      </w:r>
    </w:p>
    <w:p>
      <w:pPr>
        <w:spacing w:before="0" w:after="200" w:line="269" w:lineRule="auto"/>
      </w:pPr>
      <w:r>
        <w:rPr>
          <w:b w:val="0"/>
          <w:i w:val="0"/>
          <w:color w:val="444A52"/>
          <w:sz w:val="21"/>
        </w:rPr>
        <w:t>Syndicate Lead and Head of Investment with more than seven years across venture capital, private equity and startup advisory, specialising in investment evaluation, fundraising strategy, investor relations, financial modelling and portfolio development — working with founders, angels, VCs and family offices across MENA and global markets. Mentor to over 100 startups and contributor to more than $10M of fundraising through syndicate leadership, investment advisory and investor engagement.</w:t>
      </w:r>
    </w:p>
    <w:p>
      <w:pPr>
        <w:spacing w:before="220" w:after="80"/>
      </w:pPr>
      <w:r>
        <w:rPr>
          <w:b/>
          <w:color w:val="0F2B46"/>
          <w:sz w:val="22"/>
        </w:rPr>
        <w:t>4.1  Track Record at a Glance</w:t>
      </w:r>
    </w:p>
    <w:tbl>
      <w:tblPr>
        <w:tblW w:type="auto" w:w="0"/>
        <w:jc w:val="center"/>
        <w:tblLook w:firstColumn="1" w:firstRow="1" w:lastColumn="0" w:lastRow="0" w:noHBand="0" w:noVBand="1" w:val="04A0"/>
      </w:tblPr>
      <w:tblGrid>
        <w:gridCol w:w="2376"/>
        <w:gridCol w:w="2376"/>
        <w:gridCol w:w="2376"/>
        <w:gridCol w:w="2376"/>
      </w:tblGrid>
      <w:tr>
        <w:tc>
          <w:tcPr>
            <w:tcW w:type="dxa" w:w="2376"/>
            <w:shd w:val="clear" w:color="auto" w:fill="F2F6F9"/>
          </w:tcPr>
          <w:p>
            <w:pPr>
              <w:spacing w:before="120" w:after="0"/>
              <w:jc w:val="center"/>
            </w:pPr>
            <w:r>
              <w:rPr>
                <w:b/>
                <w:color w:val="0F2B46"/>
                <w:sz w:val="28"/>
              </w:rPr>
              <w:t>7+ Years</w:t>
            </w:r>
          </w:p>
          <w:p>
            <w:pPr>
              <w:spacing w:after="120"/>
              <w:jc w:val="center"/>
            </w:pPr>
            <w:r>
              <w:rPr>
                <w:color w:val="444A52"/>
                <w:sz w:val="17"/>
              </w:rPr>
              <w:t>VC, PE &amp; advisory</w:t>
            </w:r>
          </w:p>
        </w:tc>
        <w:tc>
          <w:tcPr>
            <w:tcW w:type="dxa" w:w="2376"/>
            <w:shd w:val="clear" w:color="auto" w:fill="F2F6F9"/>
          </w:tcPr>
          <w:p>
            <w:pPr>
              <w:spacing w:before="120" w:after="0"/>
              <w:jc w:val="center"/>
            </w:pPr>
            <w:r>
              <w:rPr>
                <w:b/>
                <w:color w:val="0F2B46"/>
                <w:sz w:val="28"/>
              </w:rPr>
              <w:t>$10M+</w:t>
            </w:r>
          </w:p>
          <w:p>
            <w:pPr>
              <w:spacing w:after="120"/>
              <w:jc w:val="center"/>
            </w:pPr>
            <w:r>
              <w:rPr>
                <w:color w:val="444A52"/>
                <w:sz w:val="17"/>
              </w:rPr>
              <w:t>Fundraising supported</w:t>
            </w:r>
          </w:p>
        </w:tc>
        <w:tc>
          <w:tcPr>
            <w:tcW w:type="dxa" w:w="2376"/>
            <w:shd w:val="clear" w:color="auto" w:fill="F2F6F9"/>
          </w:tcPr>
          <w:p>
            <w:pPr>
              <w:spacing w:before="120" w:after="0"/>
              <w:jc w:val="center"/>
            </w:pPr>
            <w:r>
              <w:rPr>
                <w:b/>
                <w:color w:val="0F2B46"/>
                <w:sz w:val="28"/>
              </w:rPr>
              <w:t>100+</w:t>
            </w:r>
          </w:p>
          <w:p>
            <w:pPr>
              <w:spacing w:after="120"/>
              <w:jc w:val="center"/>
            </w:pPr>
            <w:r>
              <w:rPr>
                <w:color w:val="444A52"/>
                <w:sz w:val="17"/>
              </w:rPr>
              <w:t>Startups mentored</w:t>
            </w:r>
          </w:p>
        </w:tc>
        <w:tc>
          <w:tcPr>
            <w:tcW w:type="dxa" w:w="2376"/>
            <w:shd w:val="clear" w:color="auto" w:fill="F2F6F9"/>
          </w:tcPr>
          <w:p>
            <w:pPr>
              <w:spacing w:before="120" w:after="0"/>
              <w:jc w:val="center"/>
            </w:pPr>
            <w:r>
              <w:rPr>
                <w:b/>
                <w:color w:val="0F2B46"/>
                <w:sz w:val="28"/>
              </w:rPr>
              <w:t>Multiple</w:t>
            </w:r>
          </w:p>
          <w:p>
            <w:pPr>
              <w:spacing w:after="120"/>
              <w:jc w:val="center"/>
            </w:pPr>
            <w:r>
              <w:rPr>
                <w:color w:val="444A52"/>
                <w:sz w:val="17"/>
              </w:rPr>
              <w:t>Syndicates led</w:t>
            </w:r>
          </w:p>
        </w:tc>
      </w:tr>
    </w:tbl>
    <w:p>
      <w:pPr>
        <w:spacing w:before="0" w:after="80" w:line="269" w:lineRule="auto"/>
      </w:pPr>
      <w:r>
        <w:rPr>
          <w:b w:val="0"/>
          <w:i w:val="0"/>
          <w:color w:val="444A52"/>
          <w:sz w:val="21"/>
        </w:rPr>
      </w:r>
    </w:p>
    <w:p>
      <w:pPr>
        <w:spacing w:before="220" w:after="80"/>
      </w:pPr>
      <w:r>
        <w:rPr>
          <w:b/>
          <w:color w:val="0F2B46"/>
          <w:sz w:val="22"/>
        </w:rPr>
        <w:t>4.2  Selected Experience</w:t>
      </w:r>
    </w:p>
    <w:p>
      <w:pPr>
        <w:spacing w:before="200" w:after="0"/>
      </w:pPr>
      <w:r>
        <w:rPr>
          <w:b/>
          <w:color w:val="0F2B46"/>
          <w:sz w:val="21"/>
        </w:rPr>
        <w:t>Syndicate Lead &amp; Head of Investment Team</w:t>
      </w:r>
      <w:r>
        <w:rPr>
          <w:color w:val="1F6F8B"/>
          <w:sz w:val="20"/>
        </w:rPr>
        <w:t xml:space="preserve">   |   Multiples Ventures — Cairo, Egypt</w:t>
      </w:r>
    </w:p>
    <w:p>
      <w:pPr>
        <w:spacing w:after="60"/>
      </w:pPr>
      <w:r>
        <w:rPr>
          <w:i/>
          <w:color w:val="7A828C"/>
          <w:sz w:val="18"/>
        </w:rPr>
        <w:t>June 2025 – June 2026</w:t>
      </w:r>
    </w:p>
    <w:p>
      <w:pPr>
        <w:pStyle w:val="ListBullet"/>
        <w:spacing w:after="60" w:line="264" w:lineRule="auto"/>
        <w:ind w:left="576"/>
      </w:pPr>
      <w:r>
        <w:rPr>
          <w:color w:val="444A52"/>
          <w:sz w:val="21"/>
        </w:rPr>
        <w:t>Led multiple investment syndicates and managed the full deal cycle, closing fundraising rounds and co-investments with regional and global investors.</w:t>
      </w:r>
    </w:p>
    <w:p>
      <w:pPr>
        <w:pStyle w:val="ListBullet"/>
        <w:spacing w:after="60" w:line="264" w:lineRule="auto"/>
        <w:ind w:left="576"/>
      </w:pPr>
      <w:r>
        <w:rPr>
          <w:color w:val="444A52"/>
          <w:sz w:val="21"/>
        </w:rPr>
        <w:t>Managed and directed the investment team across due diligence, financial modelling, valuation and portfolio monitoring, ensuring institutional-quality execution.</w:t>
      </w:r>
    </w:p>
    <w:p>
      <w:pPr>
        <w:pStyle w:val="ListBullet"/>
        <w:spacing w:after="60" w:line="264" w:lineRule="auto"/>
        <w:ind w:left="576"/>
      </w:pPr>
      <w:r>
        <w:rPr>
          <w:color w:val="444A52"/>
          <w:sz w:val="21"/>
        </w:rPr>
        <w:t>Built and maintained investor relations with angels, VCs and ecosystem partners, while guiding founders on business plans, pitch decks and fundraising strategy.</w:t>
      </w:r>
    </w:p>
    <w:p>
      <w:pPr>
        <w:pStyle w:val="ListBullet"/>
        <w:spacing w:after="60" w:line="264" w:lineRule="auto"/>
        <w:ind w:left="576"/>
      </w:pPr>
      <w:r>
        <w:rPr>
          <w:color w:val="444A52"/>
          <w:sz w:val="21"/>
        </w:rPr>
        <w:t>Designed fundraising roadmaps, scenario analyses and exit strategies that drove portfolio growth and long-term value creation.</w:t>
      </w:r>
    </w:p>
    <w:p>
      <w:pPr>
        <w:spacing w:before="200" w:after="0"/>
      </w:pPr>
      <w:r>
        <w:rPr>
          <w:b/>
          <w:color w:val="0F2B46"/>
          <w:sz w:val="21"/>
        </w:rPr>
        <w:t>Senior Investment Analyst</w:t>
      </w:r>
      <w:r>
        <w:rPr>
          <w:color w:val="1F6F8B"/>
          <w:sz w:val="20"/>
        </w:rPr>
        <w:t xml:space="preserve">   |   Multiples Ventures — Cairo, Egypt</w:t>
      </w:r>
    </w:p>
    <w:p>
      <w:pPr>
        <w:spacing w:after="60"/>
      </w:pPr>
      <w:r>
        <w:rPr>
          <w:i/>
          <w:color w:val="7A828C"/>
          <w:sz w:val="18"/>
        </w:rPr>
        <w:t>January 2024 – June 2025</w:t>
      </w:r>
    </w:p>
    <w:p>
      <w:pPr>
        <w:pStyle w:val="ListBullet"/>
        <w:spacing w:after="60" w:line="264" w:lineRule="auto"/>
        <w:ind w:left="576"/>
      </w:pPr>
      <w:r>
        <w:rPr>
          <w:color w:val="444A52"/>
          <w:sz w:val="21"/>
        </w:rPr>
        <w:t>Led end-to-end due diligence for early-stage and growth startups, delivering investor-ready data rooms that accelerated funding decisions.</w:t>
      </w:r>
    </w:p>
    <w:p>
      <w:pPr>
        <w:pStyle w:val="ListBullet"/>
        <w:spacing w:after="60" w:line="264" w:lineRule="auto"/>
        <w:ind w:left="576"/>
      </w:pPr>
      <w:r>
        <w:rPr>
          <w:color w:val="444A52"/>
          <w:sz w:val="21"/>
        </w:rPr>
        <w:t>Built sophisticated financial models and startup valuations that guided strategic planning and strengthened investor confidence.</w:t>
      </w:r>
    </w:p>
    <w:p>
      <w:pPr>
        <w:pStyle w:val="ListBullet"/>
        <w:spacing w:after="60" w:line="264" w:lineRule="auto"/>
        <w:ind w:left="576"/>
      </w:pPr>
      <w:r>
        <w:rPr>
          <w:color w:val="444A52"/>
          <w:sz w:val="21"/>
        </w:rPr>
        <w:t>Advised founders on business plans and pitch decks aligned to market dynamics and investor criteria, and on market positioning through industry and competitive analysis.</w:t>
      </w:r>
    </w:p>
    <w:p>
      <w:pPr>
        <w:spacing w:before="200" w:after="0"/>
      </w:pPr>
      <w:r>
        <w:rPr>
          <w:b/>
          <w:color w:val="0F2B46"/>
          <w:sz w:val="21"/>
        </w:rPr>
        <w:t>Venture Builder &amp; Founder</w:t>
      </w:r>
      <w:r>
        <w:rPr>
          <w:color w:val="1F6F8B"/>
          <w:sz w:val="20"/>
        </w:rPr>
        <w:t xml:space="preserve">   |   StartPad — Cairo, Egypt  (www.StartPad.me)</w:t>
      </w:r>
    </w:p>
    <w:p>
      <w:pPr>
        <w:spacing w:after="60"/>
      </w:pPr>
      <w:r>
        <w:rPr>
          <w:i/>
          <w:color w:val="7A828C"/>
          <w:sz w:val="18"/>
        </w:rPr>
        <w:t>July 2026 – Present</w:t>
      </w:r>
    </w:p>
    <w:p>
      <w:pPr>
        <w:pStyle w:val="ListBullet"/>
        <w:spacing w:after="60" w:line="264" w:lineRule="auto"/>
        <w:ind w:left="576"/>
      </w:pPr>
      <w:r>
        <w:rPr>
          <w:color w:val="444A52"/>
          <w:sz w:val="21"/>
        </w:rPr>
        <w:t>Founded StartPad, a structured venture-building platform that takes first-time founders from raw idea to validated startup and launch-ready MVP.</w:t>
      </w:r>
    </w:p>
    <w:p>
      <w:pPr>
        <w:pStyle w:val="ListBullet"/>
        <w:spacing w:after="60" w:line="264" w:lineRule="auto"/>
        <w:ind w:left="576"/>
      </w:pPr>
      <w:r>
        <w:rPr>
          <w:color w:val="444A52"/>
          <w:sz w:val="21"/>
        </w:rPr>
        <w:t>Designed a 15-mission founder journey spanning ideation, validation, problem–solution fit, business model, MVP and launch — converting the startup process into executable stages.</w:t>
      </w:r>
    </w:p>
    <w:p>
      <w:pPr>
        <w:pStyle w:val="ListBullet"/>
        <w:spacing w:after="60" w:line="264" w:lineRule="auto"/>
        <w:ind w:left="576"/>
      </w:pPr>
      <w:r>
        <w:rPr>
          <w:color w:val="444A52"/>
          <w:sz w:val="21"/>
        </w:rPr>
        <w:t>Integrated AI-powered tooling and feedback into the founder workflow for validation, business modelling and decision-making.</w:t>
      </w:r>
    </w:p>
    <w:p>
      <w:pPr>
        <w:pStyle w:val="ListBullet"/>
        <w:spacing w:after="60" w:line="264" w:lineRule="auto"/>
        <w:ind w:left="576"/>
      </w:pPr>
      <w:r>
        <w:rPr>
          <w:color w:val="444A52"/>
          <w:sz w:val="21"/>
        </w:rPr>
        <w:t>Built for the MENA ecosystem with bilingual support, community and mentorship — direct, operator-level venture-building experience relevant to studio execution.</w:t>
      </w:r>
    </w:p>
    <w:p>
      <w:pPr>
        <w:spacing w:before="200" w:after="0"/>
      </w:pPr>
      <w:r>
        <w:rPr>
          <w:b/>
          <w:color w:val="0F2B46"/>
          <w:sz w:val="21"/>
        </w:rPr>
        <w:t>Startup Investment Mentor</w:t>
      </w:r>
      <w:r>
        <w:rPr>
          <w:color w:val="1F6F8B"/>
          <w:sz w:val="20"/>
        </w:rPr>
        <w:t xml:space="preserve">   |   Startupbootcamp | VC4A | Independent — Global</w:t>
      </w:r>
    </w:p>
    <w:p>
      <w:pPr>
        <w:spacing w:after="60"/>
      </w:pPr>
      <w:r>
        <w:rPr>
          <w:i/>
          <w:color w:val="7A828C"/>
          <w:sz w:val="18"/>
        </w:rPr>
        <w:t>April 2024 – Present</w:t>
      </w:r>
    </w:p>
    <w:p>
      <w:pPr>
        <w:pStyle w:val="ListBullet"/>
        <w:spacing w:after="60" w:line="264" w:lineRule="auto"/>
        <w:ind w:left="576"/>
      </w:pPr>
      <w:r>
        <w:rPr>
          <w:color w:val="444A52"/>
          <w:sz w:val="21"/>
        </w:rPr>
        <w:t>Mentored 50+ startups across MENA on investment readiness: financial modelling, fundraising strategy, pitch decks and business plans.</w:t>
      </w:r>
    </w:p>
    <w:p>
      <w:pPr>
        <w:pStyle w:val="ListBullet"/>
        <w:spacing w:after="60" w:line="264" w:lineRule="auto"/>
        <w:ind w:left="576"/>
      </w:pPr>
      <w:r>
        <w:rPr>
          <w:color w:val="444A52"/>
          <w:sz w:val="21"/>
        </w:rPr>
        <w:t>Delivered workshops and webinars on TAM/SAM/SOM analysis, market-entry strategy and business planning.</w:t>
      </w:r>
    </w:p>
    <w:p>
      <w:pPr>
        <w:spacing w:before="200" w:after="0"/>
      </w:pPr>
      <w:r>
        <w:rPr>
          <w:b/>
          <w:color w:val="0F2B46"/>
          <w:sz w:val="21"/>
        </w:rPr>
        <w:t>Investment Unit Supervisor</w:t>
      </w:r>
      <w:r>
        <w:rPr>
          <w:color w:val="1F6F8B"/>
          <w:sz w:val="20"/>
        </w:rPr>
        <w:t xml:space="preserve">   |   G. WORLD MENA — Cairo, Egypt</w:t>
      </w:r>
    </w:p>
    <w:p>
      <w:pPr>
        <w:spacing w:after="60"/>
      </w:pPr>
      <w:r>
        <w:rPr>
          <w:i/>
          <w:color w:val="7A828C"/>
          <w:sz w:val="18"/>
        </w:rPr>
        <w:t>April 2022 – December 2023</w:t>
      </w:r>
    </w:p>
    <w:p>
      <w:pPr>
        <w:pStyle w:val="ListBullet"/>
        <w:spacing w:after="60" w:line="264" w:lineRule="auto"/>
        <w:ind w:left="576"/>
      </w:pPr>
      <w:r>
        <w:rPr>
          <w:color w:val="444A52"/>
          <w:sz w:val="21"/>
        </w:rPr>
        <w:t>Led evaluation of private investment funds, including venture capital and private equity, applying DCF, PESTEL and Porter frameworks.</w:t>
      </w:r>
    </w:p>
    <w:p>
      <w:pPr>
        <w:pStyle w:val="ListBullet"/>
        <w:spacing w:after="60" w:line="264" w:lineRule="auto"/>
        <w:ind w:left="576"/>
      </w:pPr>
      <w:r>
        <w:rPr>
          <w:color w:val="444A52"/>
          <w:sz w:val="21"/>
        </w:rPr>
        <w:t>Conducted due diligence and authored sector economic reports across the MENA region.</w:t>
      </w:r>
    </w:p>
    <w:p>
      <w:pPr>
        <w:pStyle w:val="ListBullet"/>
        <w:spacing w:after="60" w:line="264" w:lineRule="auto"/>
        <w:ind w:left="576"/>
      </w:pPr>
      <w:r>
        <w:rPr>
          <w:color w:val="444A52"/>
          <w:sz w:val="21"/>
        </w:rPr>
        <w:t>Managed market research and analysed sovereign, hedge and REIT funds to produce actionable investment insight.</w:t>
      </w:r>
    </w:p>
    <w:p>
      <w:pPr>
        <w:spacing w:before="200" w:after="0"/>
      </w:pPr>
      <w:r>
        <w:rPr>
          <w:b/>
          <w:color w:val="0F2B46"/>
          <w:sz w:val="21"/>
        </w:rPr>
        <w:t>Investment Analyst</w:t>
      </w:r>
      <w:r>
        <w:rPr>
          <w:color w:val="1F6F8B"/>
          <w:sz w:val="20"/>
        </w:rPr>
        <w:t xml:space="preserve">   |   G. WORLD MENA — Cairo, Egypt</w:t>
      </w:r>
    </w:p>
    <w:p>
      <w:pPr>
        <w:spacing w:after="60"/>
      </w:pPr>
      <w:r>
        <w:rPr>
          <w:i/>
          <w:color w:val="7A828C"/>
          <w:sz w:val="18"/>
        </w:rPr>
        <w:t>September 2020 – April 2022</w:t>
      </w:r>
    </w:p>
    <w:p>
      <w:pPr>
        <w:pStyle w:val="ListBullet"/>
        <w:spacing w:after="60" w:line="264" w:lineRule="auto"/>
        <w:ind w:left="576"/>
      </w:pPr>
      <w:r>
        <w:rPr>
          <w:color w:val="444A52"/>
          <w:sz w:val="21"/>
        </w:rPr>
        <w:t>Conducted market analysis across fintech, e-commerce and cloud computing, focused on high-growth MENA opportunities.</w:t>
      </w:r>
    </w:p>
    <w:p>
      <w:pPr>
        <w:pStyle w:val="ListBullet"/>
        <w:spacing w:after="60" w:line="264" w:lineRule="auto"/>
        <w:ind w:left="576"/>
      </w:pPr>
      <w:r>
        <w:rPr>
          <w:color w:val="444A52"/>
          <w:sz w:val="21"/>
        </w:rPr>
        <w:t>Assessed public and private investment funds and prepared strategic reports to optimise portfolio performance.</w:t>
      </w:r>
    </w:p>
    <w:p>
      <w:pPr>
        <w:spacing w:before="220" w:after="80"/>
      </w:pPr>
      <w:r>
        <w:rPr>
          <w:b/>
          <w:color w:val="0F2B46"/>
          <w:sz w:val="22"/>
        </w:rPr>
        <w:t>4.3  Credentials &amp; Recognition</w:t>
      </w:r>
    </w:p>
    <w:p>
      <w:pPr>
        <w:pStyle w:val="ListBullet"/>
        <w:spacing w:after="60" w:line="264" w:lineRule="auto"/>
        <w:ind w:left="576"/>
      </w:pPr>
      <w:r>
        <w:rPr>
          <w:color w:val="444A52"/>
          <w:sz w:val="21"/>
        </w:rPr>
        <w:t>VC Fund Manager Masterclass (2024) — managed two simulated funds delivering DPIs of +6x (early-stage) and +120x (growth-stage).</w:t>
      </w:r>
    </w:p>
    <w:p>
      <w:pPr>
        <w:pStyle w:val="ListBullet"/>
        <w:spacing w:after="60" w:line="264" w:lineRule="auto"/>
        <w:ind w:left="576"/>
      </w:pPr>
      <w:r>
        <w:rPr>
          <w:color w:val="444A52"/>
          <w:sz w:val="21"/>
        </w:rPr>
        <w:t>CFA Level I (2021); Advanced Valuation &amp; Strategy — M&amp;A, PE &amp; VC, Erasmus University Rotterdam (2024); Venture Capital &amp; Private Equity, Università Bocconi (2024); Alternative Investing Course 2, Apollo Academy (2024); Investment Banking Virtual Experience, J.P. Morgan (2021); Data Analysis Program, Dubai Future Foundation (2021).</w:t>
      </w:r>
    </w:p>
    <w:p>
      <w:pPr>
        <w:pStyle w:val="ListBullet"/>
        <w:spacing w:after="60" w:line="264" w:lineRule="auto"/>
        <w:ind w:left="576"/>
      </w:pPr>
      <w:r>
        <w:rPr>
          <w:color w:val="444A52"/>
          <w:sz w:val="21"/>
        </w:rPr>
        <w:t>Winner, 24 Fintech Thought Leaders Competition (2024) — "Reimagining the Financial Services Value Chain", selected among 15 top entries.</w:t>
      </w:r>
    </w:p>
    <w:p>
      <w:pPr>
        <w:pStyle w:val="ListBullet"/>
        <w:spacing w:after="60" w:line="264" w:lineRule="auto"/>
        <w:ind w:left="576"/>
      </w:pPr>
      <w:r>
        <w:rPr>
          <w:color w:val="444A52"/>
          <w:sz w:val="21"/>
        </w:rPr>
        <w:t>Top 10 LinkedIn Content Creators in MENA Venture Capital (2026) — recognised for thought leadership and ecosystem insight.</w:t>
      </w:r>
    </w:p>
    <w:p>
      <w:pPr>
        <w:pStyle w:val="ListBullet"/>
        <w:spacing w:after="60" w:line="264" w:lineRule="auto"/>
        <w:ind w:left="576"/>
      </w:pPr>
      <w:r>
        <w:rPr>
          <w:color w:val="444A52"/>
          <w:sz w:val="21"/>
        </w:rPr>
        <w:t>Media and publications: Investment World newsletter; ecosystem media articles; Asharq News (Sharq Bounce); Alhadath Alyoum TV (Financial Market programme).</w:t>
      </w:r>
    </w:p>
    <w:p>
      <w:pPr>
        <w:pStyle w:val="ListBullet"/>
        <w:spacing w:after="60" w:line="264" w:lineRule="auto"/>
        <w:ind w:left="576"/>
      </w:pPr>
      <w:r>
        <w:rPr>
          <w:color w:val="444A52"/>
          <w:sz w:val="21"/>
        </w:rPr>
        <w:t>BSc Accounting &amp; Business Management, Ain Shams University — graduated with Honours (83.49%). Arabic (native), English (C1), German (A2).</w:t>
      </w:r>
    </w:p>
    <w:p>
      <w:r>
        <w:br w:type="page"/>
      </w:r>
    </w:p>
    <w:p>
      <w:pPr>
        <w:spacing w:before="320" w:after="140"/>
        <w:pBdr>
          <w:bottom w:val="single" w:sz="12" w:space="2" w:color="1F6F8B"/>
        </w:pBdr>
      </w:pPr>
      <w:r>
        <w:rPr>
          <w:rFonts w:ascii="Calibri" w:hAnsi="Calibri"/>
          <w:b/>
          <w:color w:val="0F2B46"/>
          <w:sz w:val="24"/>
        </w:rPr>
        <w:t>5.  PROPOSED PARTNERSHIP TERMS</w:t>
      </w:r>
    </w:p>
    <w:p>
      <w:pPr>
        <w:spacing w:before="0" w:after="200" w:line="269" w:lineRule="auto"/>
      </w:pPr>
      <w:r>
        <w:rPr>
          <w:b w:val="0"/>
          <w:i w:val="0"/>
          <w:color w:val="444A52"/>
          <w:sz w:val="21"/>
        </w:rPr>
        <w:t>The two options below are economically equivalent in spirit and identical in scope of work and commitment. Option 1 is weighted toward equity ownership with a lower cash cost and a lower fundraising participation rate; Option 2 reduces the equity allocation in exchange for higher cash compensation and a higher participation rate on capital I introduce. Core VEX may elect either option.</w:t>
      </w:r>
    </w:p>
    <w:p>
      <w:pPr>
        <w:spacing w:before="220" w:after="80"/>
      </w:pPr>
      <w:r>
        <w:rPr>
          <w:b/>
          <w:color w:val="1F6F8B"/>
          <w:sz w:val="22"/>
        </w:rPr>
        <w:t>Option 1 — Equity-Weighted Structure</w:t>
      </w:r>
    </w:p>
    <w:tbl>
      <w:tblPr>
        <w:tblW w:type="auto" w:w="0"/>
        <w:jc w:val="center"/>
        <w:tblLook w:firstColumn="1" w:firstRow="1" w:lastColumn="0" w:lastRow="0" w:noHBand="0" w:noVBand="1" w:val="04A0"/>
      </w:tblPr>
      <w:tblGrid>
        <w:gridCol w:w="4752"/>
        <w:gridCol w:w="4752"/>
      </w:tblGrid>
      <w:tr>
        <w:tc>
          <w:tcPr>
            <w:tcW w:type="dxa" w:w="9504"/>
            <w:gridSpan w:val="2"/>
            <w:shd w:val="clear" w:color="auto" w:fill="0F2B46"/>
          </w:tcPr>
          <w:p>
            <w:pPr>
              <w:spacing w:before="100" w:after="20"/>
            </w:pPr>
            <w:r>
              <w:rPr>
                <w:b/>
                <w:color w:val="FFFFFF"/>
                <w:sz w:val="24"/>
              </w:rPr>
              <w:t>OPTION 1</w:t>
            </w:r>
          </w:p>
          <w:p>
            <w:pPr>
              <w:spacing w:after="100"/>
            </w:pPr>
            <w:r>
              <w:rPr>
                <w:i/>
                <w:color w:val="DCE8F0"/>
                <w:sz w:val="18"/>
              </w:rPr>
              <w:t>Higher ownership, lower cash cost to the studio</w:t>
            </w:r>
          </w:p>
        </w:tc>
      </w:tr>
      <w:tr>
        <w:tc>
          <w:tcPr>
            <w:tcW w:type="dxa" w:w="2736"/>
            <w:shd w:val="clear" w:color="auto" w:fill="F2F6F9"/>
          </w:tcPr>
          <w:p>
            <w:pPr>
              <w:spacing w:before="80" w:after="80"/>
            </w:pPr>
            <w:r>
              <w:rPr>
                <w:b/>
                <w:color w:val="0F2B46"/>
                <w:sz w:val="19"/>
              </w:rPr>
              <w:t>Equity</w:t>
            </w:r>
          </w:p>
        </w:tc>
        <w:tc>
          <w:tcPr>
            <w:tcW w:type="dxa" w:w="6768"/>
          </w:tcPr>
          <w:p>
            <w:pPr>
              <w:spacing w:before="80" w:after="80"/>
            </w:pPr>
            <w:r>
              <w:rPr>
                <w:color w:val="444A52"/>
                <w:sz w:val="19"/>
              </w:rPr>
              <w:t>5.0% equity in Core VEX Venture Studio (fully diluted at grant), with vesting and governance as agreed in the definitive documents.</w:t>
            </w:r>
          </w:p>
        </w:tc>
      </w:tr>
      <w:tr>
        <w:tc>
          <w:tcPr>
            <w:tcW w:type="dxa" w:w="2736"/>
            <w:shd w:val="clear" w:color="auto" w:fill="F2F6F9"/>
          </w:tcPr>
          <w:p>
            <w:pPr>
              <w:spacing w:before="80" w:after="80"/>
            </w:pPr>
            <w:r>
              <w:rPr>
                <w:b/>
                <w:color w:val="0F2B46"/>
                <w:sz w:val="19"/>
              </w:rPr>
              <w:t>Cash compensation</w:t>
            </w:r>
          </w:p>
        </w:tc>
        <w:tc>
          <w:tcPr>
            <w:tcW w:type="dxa" w:w="6768"/>
          </w:tcPr>
          <w:p>
            <w:pPr>
              <w:spacing w:before="80" w:after="80"/>
            </w:pPr>
            <w:r>
              <w:rPr>
                <w:color w:val="444A52"/>
                <w:sz w:val="19"/>
              </w:rPr>
              <w:t>EGP 50,000 per month, part-time Investment Partner engagement.</w:t>
            </w:r>
          </w:p>
        </w:tc>
      </w:tr>
      <w:tr>
        <w:tc>
          <w:tcPr>
            <w:tcW w:type="dxa" w:w="2736"/>
            <w:shd w:val="clear" w:color="auto" w:fill="F2F6F9"/>
          </w:tcPr>
          <w:p>
            <w:pPr>
              <w:spacing w:before="80" w:after="80"/>
            </w:pPr>
            <w:r>
              <w:rPr>
                <w:b/>
                <w:color w:val="0F2B46"/>
                <w:sz w:val="19"/>
              </w:rPr>
              <w:t>Fundraising participation</w:t>
            </w:r>
          </w:p>
        </w:tc>
        <w:tc>
          <w:tcPr>
            <w:tcW w:type="dxa" w:w="6768"/>
          </w:tcPr>
          <w:p>
            <w:pPr>
              <w:spacing w:before="80" w:after="80"/>
            </w:pPr>
            <w:r>
              <w:rPr>
                <w:color w:val="444A52"/>
                <w:sz w:val="19"/>
              </w:rPr>
              <w:t>1.0% of all capital raised by the studio or its ventures through me or my investor network.</w:t>
            </w:r>
          </w:p>
        </w:tc>
      </w:tr>
      <w:tr>
        <w:tc>
          <w:tcPr>
            <w:tcW w:type="dxa" w:w="2736"/>
            <w:shd w:val="clear" w:color="auto" w:fill="F2F6F9"/>
          </w:tcPr>
          <w:p>
            <w:pPr>
              <w:spacing w:before="80" w:after="80"/>
            </w:pPr>
            <w:r>
              <w:rPr>
                <w:b/>
                <w:color w:val="0F2B46"/>
                <w:sz w:val="19"/>
              </w:rPr>
              <w:t>Scope of work</w:t>
            </w:r>
          </w:p>
        </w:tc>
        <w:tc>
          <w:tcPr>
            <w:tcW w:type="dxa" w:w="6768"/>
          </w:tcPr>
          <w:p>
            <w:pPr>
              <w:spacing w:before="80" w:after="80"/>
            </w:pPr>
            <w:r>
              <w:rPr>
                <w:color w:val="444A52"/>
                <w:sz w:val="19"/>
              </w:rPr>
              <w:t>Full Investment Partner mandate per Section 3 — studio structuring, investment architecture, IR, LP relations and co-investment syndication.</w:t>
            </w:r>
          </w:p>
        </w:tc>
      </w:tr>
      <w:tr>
        <w:tc>
          <w:tcPr>
            <w:tcW w:type="dxa" w:w="2736"/>
            <w:shd w:val="clear" w:color="auto" w:fill="F2F6F9"/>
          </w:tcPr>
          <w:p>
            <w:pPr>
              <w:spacing w:before="80" w:after="80"/>
            </w:pPr>
            <w:r>
              <w:rPr>
                <w:b/>
                <w:color w:val="0F2B46"/>
                <w:sz w:val="19"/>
              </w:rPr>
              <w:t>Best suited to</w:t>
            </w:r>
          </w:p>
        </w:tc>
        <w:tc>
          <w:tcPr>
            <w:tcW w:type="dxa" w:w="6768"/>
          </w:tcPr>
          <w:p>
            <w:pPr>
              <w:spacing w:before="80" w:after="80"/>
            </w:pPr>
            <w:r>
              <w:rPr>
                <w:color w:val="444A52"/>
                <w:sz w:val="19"/>
              </w:rPr>
              <w:t>A studio prioritising cash runway and willing to align the partner through long-term ownership.</w:t>
            </w:r>
          </w:p>
        </w:tc>
      </w:tr>
    </w:tbl>
    <w:p>
      <w:pPr>
        <w:spacing w:before="0" w:after="200" w:line="269" w:lineRule="auto"/>
      </w:pPr>
      <w:r>
        <w:rPr>
          <w:b w:val="0"/>
          <w:i w:val="0"/>
          <w:color w:val="444A52"/>
          <w:sz w:val="21"/>
        </w:rPr>
      </w:r>
    </w:p>
    <w:p>
      <w:pPr>
        <w:spacing w:before="220" w:after="80"/>
      </w:pPr>
      <w:r>
        <w:rPr>
          <w:b/>
          <w:color w:val="1F6F8B"/>
          <w:sz w:val="22"/>
        </w:rPr>
        <w:t>Option 2 — Cash &amp; Performance-Weighted Structure</w:t>
      </w:r>
    </w:p>
    <w:tbl>
      <w:tblPr>
        <w:tblW w:type="auto" w:w="0"/>
        <w:jc w:val="center"/>
        <w:tblLook w:firstColumn="1" w:firstRow="1" w:lastColumn="0" w:lastRow="0" w:noHBand="0" w:noVBand="1" w:val="04A0"/>
      </w:tblPr>
      <w:tblGrid>
        <w:gridCol w:w="4752"/>
        <w:gridCol w:w="4752"/>
      </w:tblGrid>
      <w:tr>
        <w:tc>
          <w:tcPr>
            <w:tcW w:type="dxa" w:w="9504"/>
            <w:gridSpan w:val="2"/>
            <w:shd w:val="clear" w:color="auto" w:fill="1F6F8B"/>
          </w:tcPr>
          <w:p>
            <w:pPr>
              <w:spacing w:before="100" w:after="20"/>
            </w:pPr>
            <w:r>
              <w:rPr>
                <w:b/>
                <w:color w:val="FFFFFF"/>
                <w:sz w:val="24"/>
              </w:rPr>
              <w:t>OPTION 2</w:t>
            </w:r>
          </w:p>
          <w:p>
            <w:pPr>
              <w:spacing w:after="100"/>
            </w:pPr>
            <w:r>
              <w:rPr>
                <w:i/>
                <w:color w:val="DCE8F0"/>
                <w:sz w:val="18"/>
              </w:rPr>
              <w:t>Lower dilution, higher cash and higher performance participation</w:t>
            </w:r>
          </w:p>
        </w:tc>
      </w:tr>
      <w:tr>
        <w:tc>
          <w:tcPr>
            <w:tcW w:type="dxa" w:w="2736"/>
            <w:shd w:val="clear" w:color="auto" w:fill="F2F6F9"/>
          </w:tcPr>
          <w:p>
            <w:pPr>
              <w:spacing w:before="80" w:after="80"/>
            </w:pPr>
            <w:r>
              <w:rPr>
                <w:b/>
                <w:color w:val="0F2B46"/>
                <w:sz w:val="19"/>
              </w:rPr>
              <w:t>Equity</w:t>
            </w:r>
          </w:p>
        </w:tc>
        <w:tc>
          <w:tcPr>
            <w:tcW w:type="dxa" w:w="6768"/>
          </w:tcPr>
          <w:p>
            <w:pPr>
              <w:spacing w:before="80" w:after="80"/>
            </w:pPr>
            <w:r>
              <w:rPr>
                <w:color w:val="444A52"/>
                <w:sz w:val="19"/>
              </w:rPr>
              <w:t>3.0% equity in Core VEX Venture Studio (fully diluted at grant), with vesting and governance as agreed in the definitive documents.</w:t>
            </w:r>
          </w:p>
        </w:tc>
      </w:tr>
      <w:tr>
        <w:tc>
          <w:tcPr>
            <w:tcW w:type="dxa" w:w="2736"/>
            <w:shd w:val="clear" w:color="auto" w:fill="F2F6F9"/>
          </w:tcPr>
          <w:p>
            <w:pPr>
              <w:spacing w:before="80" w:after="80"/>
            </w:pPr>
            <w:r>
              <w:rPr>
                <w:b/>
                <w:color w:val="0F2B46"/>
                <w:sz w:val="19"/>
              </w:rPr>
              <w:t>Cash compensation</w:t>
            </w:r>
          </w:p>
        </w:tc>
        <w:tc>
          <w:tcPr>
            <w:tcW w:type="dxa" w:w="6768"/>
          </w:tcPr>
          <w:p>
            <w:pPr>
              <w:spacing w:before="80" w:after="80"/>
            </w:pPr>
            <w:r>
              <w:rPr>
                <w:color w:val="444A52"/>
                <w:sz w:val="19"/>
              </w:rPr>
              <w:t>EGP 65,000 per month, part-time Investment Partner engagement.</w:t>
            </w:r>
          </w:p>
        </w:tc>
      </w:tr>
      <w:tr>
        <w:tc>
          <w:tcPr>
            <w:tcW w:type="dxa" w:w="2736"/>
            <w:shd w:val="clear" w:color="auto" w:fill="F2F6F9"/>
          </w:tcPr>
          <w:p>
            <w:pPr>
              <w:spacing w:before="80" w:after="80"/>
            </w:pPr>
            <w:r>
              <w:rPr>
                <w:b/>
                <w:color w:val="0F2B46"/>
                <w:sz w:val="19"/>
              </w:rPr>
              <w:t>Fundraising participation</w:t>
            </w:r>
          </w:p>
        </w:tc>
        <w:tc>
          <w:tcPr>
            <w:tcW w:type="dxa" w:w="6768"/>
          </w:tcPr>
          <w:p>
            <w:pPr>
              <w:spacing w:before="80" w:after="80"/>
            </w:pPr>
            <w:r>
              <w:rPr>
                <w:color w:val="444A52"/>
                <w:sz w:val="19"/>
              </w:rPr>
              <w:t>2.5% of all capital raised by the studio or its ventures through me or my investor network.</w:t>
            </w:r>
          </w:p>
        </w:tc>
      </w:tr>
      <w:tr>
        <w:tc>
          <w:tcPr>
            <w:tcW w:type="dxa" w:w="2736"/>
            <w:shd w:val="clear" w:color="auto" w:fill="F2F6F9"/>
          </w:tcPr>
          <w:p>
            <w:pPr>
              <w:spacing w:before="80" w:after="80"/>
            </w:pPr>
            <w:r>
              <w:rPr>
                <w:b/>
                <w:color w:val="0F2B46"/>
                <w:sz w:val="19"/>
              </w:rPr>
              <w:t>Scope of work</w:t>
            </w:r>
          </w:p>
        </w:tc>
        <w:tc>
          <w:tcPr>
            <w:tcW w:type="dxa" w:w="6768"/>
          </w:tcPr>
          <w:p>
            <w:pPr>
              <w:spacing w:before="80" w:after="80"/>
            </w:pPr>
            <w:r>
              <w:rPr>
                <w:color w:val="444A52"/>
                <w:sz w:val="19"/>
              </w:rPr>
              <w:t>Identical to Option 1 — full Investment Partner mandate per Section 3.</w:t>
            </w:r>
          </w:p>
        </w:tc>
      </w:tr>
      <w:tr>
        <w:tc>
          <w:tcPr>
            <w:tcW w:type="dxa" w:w="2736"/>
            <w:shd w:val="clear" w:color="auto" w:fill="F2F6F9"/>
          </w:tcPr>
          <w:p>
            <w:pPr>
              <w:spacing w:before="80" w:after="80"/>
            </w:pPr>
            <w:r>
              <w:rPr>
                <w:b/>
                <w:color w:val="0F2B46"/>
                <w:sz w:val="19"/>
              </w:rPr>
              <w:t>Best suited to</w:t>
            </w:r>
          </w:p>
        </w:tc>
        <w:tc>
          <w:tcPr>
            <w:tcW w:type="dxa" w:w="6768"/>
          </w:tcPr>
          <w:p>
            <w:pPr>
              <w:spacing w:before="80" w:after="80"/>
            </w:pPr>
            <w:r>
              <w:rPr>
                <w:color w:val="444A52"/>
                <w:sz w:val="19"/>
              </w:rPr>
              <w:t>A studio protecting its cap table and preferring to reward capital introduction on results.</w:t>
            </w:r>
          </w:p>
        </w:tc>
      </w:tr>
    </w:tbl>
    <w:p>
      <w:pPr>
        <w:spacing w:before="0" w:after="200" w:line="269" w:lineRule="auto"/>
      </w:pPr>
      <w:r>
        <w:rPr>
          <w:b w:val="0"/>
          <w:i w:val="0"/>
          <w:color w:val="444A52"/>
          <w:sz w:val="21"/>
        </w:rPr>
      </w:r>
    </w:p>
    <w:p>
      <w:pPr>
        <w:spacing w:before="220" w:after="80"/>
      </w:pPr>
      <w:r>
        <w:rPr>
          <w:b/>
          <w:color w:val="0F2B46"/>
          <w:sz w:val="22"/>
        </w:rPr>
        <w:t>5.1  Comparison Summary</w:t>
      </w:r>
    </w:p>
    <w:tbl>
      <w:tblPr>
        <w:tblW w:type="auto" w:w="0"/>
        <w:jc w:val="center"/>
        <w:tblLook w:firstColumn="1" w:firstRow="1" w:lastColumn="0" w:lastRow="0" w:noHBand="0" w:noVBand="1" w:val="04A0"/>
      </w:tblPr>
      <w:tblGrid>
        <w:gridCol w:w="2376"/>
        <w:gridCol w:w="2376"/>
        <w:gridCol w:w="2376"/>
        <w:gridCol w:w="2376"/>
      </w:tblGrid>
      <w:tr>
        <w:tc>
          <w:tcPr>
            <w:tcW w:type="dxa" w:w="2448"/>
            <w:shd w:val="clear" w:color="auto" w:fill="0F2B46"/>
          </w:tcPr>
          <w:p>
            <w:pPr>
              <w:spacing w:before="60" w:after="60"/>
            </w:pPr>
            <w:r>
              <w:rPr>
                <w:b/>
                <w:color w:val="FFFFFF"/>
                <w:sz w:val="19"/>
              </w:rPr>
              <w:t>Term</w:t>
            </w:r>
          </w:p>
        </w:tc>
        <w:tc>
          <w:tcPr>
            <w:tcW w:type="dxa" w:w="1800"/>
            <w:shd w:val="clear" w:color="auto" w:fill="0F2B46"/>
          </w:tcPr>
          <w:p>
            <w:pPr>
              <w:spacing w:before="60" w:after="60"/>
            </w:pPr>
            <w:r>
              <w:rPr>
                <w:b/>
                <w:color w:val="FFFFFF"/>
                <w:sz w:val="19"/>
              </w:rPr>
              <w:t>Option 1</w:t>
            </w:r>
          </w:p>
        </w:tc>
        <w:tc>
          <w:tcPr>
            <w:tcW w:type="dxa" w:w="1800"/>
            <w:shd w:val="clear" w:color="auto" w:fill="0F2B46"/>
          </w:tcPr>
          <w:p>
            <w:pPr>
              <w:spacing w:before="60" w:after="60"/>
            </w:pPr>
            <w:r>
              <w:rPr>
                <w:b/>
                <w:color w:val="FFFFFF"/>
                <w:sz w:val="19"/>
              </w:rPr>
              <w:t>Option 2</w:t>
            </w:r>
          </w:p>
        </w:tc>
        <w:tc>
          <w:tcPr>
            <w:tcW w:type="dxa" w:w="3456"/>
            <w:shd w:val="clear" w:color="auto" w:fill="0F2B46"/>
          </w:tcPr>
          <w:p>
            <w:pPr>
              <w:spacing w:before="60" w:after="60"/>
            </w:pPr>
            <w:r>
              <w:rPr>
                <w:b/>
                <w:color w:val="FFFFFF"/>
                <w:sz w:val="19"/>
              </w:rPr>
              <w:t>Notes</w:t>
            </w:r>
          </w:p>
        </w:tc>
      </w:tr>
      <w:tr>
        <w:tc>
          <w:tcPr>
            <w:tcW w:type="dxa" w:w="2448"/>
            <w:shd w:val="clear" w:color="auto" w:fill="F7FAFC"/>
          </w:tcPr>
          <w:p>
            <w:pPr>
              <w:spacing w:before="60" w:after="60"/>
            </w:pPr>
            <w:r>
              <w:rPr>
                <w:b w:val="0"/>
                <w:color w:val="444A52"/>
                <w:sz w:val="19"/>
              </w:rPr>
              <w:t>Equity in the studio</w:t>
            </w:r>
          </w:p>
        </w:tc>
        <w:tc>
          <w:tcPr>
            <w:tcW w:type="dxa" w:w="1800"/>
            <w:shd w:val="clear" w:color="auto" w:fill="F7FAFC"/>
          </w:tcPr>
          <w:p>
            <w:pPr>
              <w:spacing w:before="60" w:after="60"/>
            </w:pPr>
            <w:r>
              <w:rPr>
                <w:b/>
                <w:color w:val="0F2B46"/>
                <w:sz w:val="19"/>
              </w:rPr>
              <w:t>5.0%</w:t>
            </w:r>
          </w:p>
        </w:tc>
        <w:tc>
          <w:tcPr>
            <w:tcW w:type="dxa" w:w="1800"/>
            <w:shd w:val="clear" w:color="auto" w:fill="F7FAFC"/>
          </w:tcPr>
          <w:p>
            <w:pPr>
              <w:spacing w:before="60" w:after="60"/>
            </w:pPr>
            <w:r>
              <w:rPr>
                <w:b/>
                <w:color w:val="0F2B46"/>
                <w:sz w:val="19"/>
              </w:rPr>
              <w:t>3.0%</w:t>
            </w:r>
          </w:p>
        </w:tc>
        <w:tc>
          <w:tcPr>
            <w:tcW w:type="dxa" w:w="3456"/>
            <w:shd w:val="clear" w:color="auto" w:fill="F7FAFC"/>
          </w:tcPr>
          <w:p>
            <w:pPr>
              <w:spacing w:before="60" w:after="60"/>
            </w:pPr>
            <w:r>
              <w:rPr>
                <w:b w:val="0"/>
                <w:color w:val="444A52"/>
                <w:sz w:val="19"/>
              </w:rPr>
              <w:t>Fully diluted at grant</w:t>
            </w:r>
          </w:p>
        </w:tc>
      </w:tr>
      <w:tr>
        <w:tc>
          <w:tcPr>
            <w:tcW w:type="dxa" w:w="2448"/>
          </w:tcPr>
          <w:p>
            <w:pPr>
              <w:spacing w:before="60" w:after="60"/>
            </w:pPr>
            <w:r>
              <w:rPr>
                <w:b w:val="0"/>
                <w:color w:val="444A52"/>
                <w:sz w:val="19"/>
              </w:rPr>
              <w:t>Monthly cash</w:t>
            </w:r>
          </w:p>
        </w:tc>
        <w:tc>
          <w:tcPr>
            <w:tcW w:type="dxa" w:w="1800"/>
          </w:tcPr>
          <w:p>
            <w:pPr>
              <w:spacing w:before="60" w:after="60"/>
            </w:pPr>
            <w:r>
              <w:rPr>
                <w:b/>
                <w:color w:val="0F2B46"/>
                <w:sz w:val="19"/>
              </w:rPr>
              <w:t>EGP 50,000</w:t>
            </w:r>
          </w:p>
        </w:tc>
        <w:tc>
          <w:tcPr>
            <w:tcW w:type="dxa" w:w="1800"/>
          </w:tcPr>
          <w:p>
            <w:pPr>
              <w:spacing w:before="60" w:after="60"/>
            </w:pPr>
            <w:r>
              <w:rPr>
                <w:b/>
                <w:color w:val="0F2B46"/>
                <w:sz w:val="19"/>
              </w:rPr>
              <w:t>EGP 65,000</w:t>
            </w:r>
          </w:p>
        </w:tc>
        <w:tc>
          <w:tcPr>
            <w:tcW w:type="dxa" w:w="3456"/>
          </w:tcPr>
          <w:p>
            <w:pPr>
              <w:spacing w:before="60" w:after="60"/>
            </w:pPr>
            <w:r>
              <w:rPr>
                <w:b w:val="0"/>
                <w:color w:val="444A52"/>
                <w:sz w:val="19"/>
              </w:rPr>
              <w:t>Part-time engagement</w:t>
            </w:r>
          </w:p>
        </w:tc>
      </w:tr>
      <w:tr>
        <w:tc>
          <w:tcPr>
            <w:tcW w:type="dxa" w:w="2448"/>
            <w:shd w:val="clear" w:color="auto" w:fill="F7FAFC"/>
          </w:tcPr>
          <w:p>
            <w:pPr>
              <w:spacing w:before="60" w:after="60"/>
            </w:pPr>
            <w:r>
              <w:rPr>
                <w:b w:val="0"/>
                <w:color w:val="444A52"/>
                <w:sz w:val="19"/>
              </w:rPr>
              <w:t>Fundraising participation</w:t>
            </w:r>
          </w:p>
        </w:tc>
        <w:tc>
          <w:tcPr>
            <w:tcW w:type="dxa" w:w="1800"/>
            <w:shd w:val="clear" w:color="auto" w:fill="F7FAFC"/>
          </w:tcPr>
          <w:p>
            <w:pPr>
              <w:spacing w:before="60" w:after="60"/>
            </w:pPr>
            <w:r>
              <w:rPr>
                <w:b/>
                <w:color w:val="0F2B46"/>
                <w:sz w:val="19"/>
              </w:rPr>
              <w:t>1.0%</w:t>
            </w:r>
          </w:p>
        </w:tc>
        <w:tc>
          <w:tcPr>
            <w:tcW w:type="dxa" w:w="1800"/>
            <w:shd w:val="clear" w:color="auto" w:fill="F7FAFC"/>
          </w:tcPr>
          <w:p>
            <w:pPr>
              <w:spacing w:before="60" w:after="60"/>
            </w:pPr>
            <w:r>
              <w:rPr>
                <w:b/>
                <w:color w:val="0F2B46"/>
                <w:sz w:val="19"/>
              </w:rPr>
              <w:t>2.5%</w:t>
            </w:r>
          </w:p>
        </w:tc>
        <w:tc>
          <w:tcPr>
            <w:tcW w:type="dxa" w:w="3456"/>
            <w:shd w:val="clear" w:color="auto" w:fill="F7FAFC"/>
          </w:tcPr>
          <w:p>
            <w:pPr>
              <w:spacing w:before="60" w:after="60"/>
            </w:pPr>
            <w:r>
              <w:rPr>
                <w:b w:val="0"/>
                <w:color w:val="444A52"/>
                <w:sz w:val="19"/>
              </w:rPr>
              <w:t>On capital introduced by me or my network</w:t>
            </w:r>
          </w:p>
        </w:tc>
      </w:tr>
      <w:tr>
        <w:tc>
          <w:tcPr>
            <w:tcW w:type="dxa" w:w="2448"/>
          </w:tcPr>
          <w:p>
            <w:pPr>
              <w:spacing w:before="60" w:after="60"/>
            </w:pPr>
            <w:r>
              <w:rPr>
                <w:b w:val="0"/>
                <w:color w:val="444A52"/>
                <w:sz w:val="19"/>
              </w:rPr>
              <w:t>Scope &amp; commitment</w:t>
            </w:r>
          </w:p>
        </w:tc>
        <w:tc>
          <w:tcPr>
            <w:tcW w:type="dxa" w:w="1800"/>
          </w:tcPr>
          <w:p>
            <w:pPr>
              <w:spacing w:before="60" w:after="60"/>
            </w:pPr>
            <w:r>
              <w:rPr>
                <w:b/>
                <w:color w:val="0F2B46"/>
                <w:sz w:val="19"/>
              </w:rPr>
              <w:t>Identical</w:t>
            </w:r>
          </w:p>
        </w:tc>
        <w:tc>
          <w:tcPr>
            <w:tcW w:type="dxa" w:w="1800"/>
          </w:tcPr>
          <w:p>
            <w:pPr>
              <w:spacing w:before="60" w:after="60"/>
            </w:pPr>
            <w:r>
              <w:rPr>
                <w:b/>
                <w:color w:val="0F2B46"/>
                <w:sz w:val="19"/>
              </w:rPr>
              <w:t>Identical</w:t>
            </w:r>
          </w:p>
        </w:tc>
        <w:tc>
          <w:tcPr>
            <w:tcW w:type="dxa" w:w="3456"/>
          </w:tcPr>
          <w:p>
            <w:pPr>
              <w:spacing w:before="60" w:after="60"/>
            </w:pPr>
            <w:r>
              <w:rPr>
                <w:b w:val="0"/>
                <w:color w:val="444A52"/>
                <w:sz w:val="19"/>
              </w:rPr>
              <w:t>Per Section 3</w:t>
            </w:r>
          </w:p>
        </w:tc>
      </w:tr>
    </w:tbl>
    <w:p>
      <w:pPr>
        <w:spacing w:before="320" w:after="140"/>
        <w:pBdr>
          <w:bottom w:val="single" w:sz="12" w:space="2" w:color="1F6F8B"/>
        </w:pBdr>
      </w:pPr>
      <w:r>
        <w:rPr>
          <w:rFonts w:ascii="Calibri" w:hAnsi="Calibri"/>
          <w:b/>
          <w:color w:val="0F2B46"/>
          <w:sz w:val="24"/>
        </w:rPr>
        <w:t>6.  COMMERCIAL NOTES &amp; DEFINITIONS</w:t>
      </w:r>
    </w:p>
    <w:p>
      <w:pPr>
        <w:pStyle w:val="ListBullet"/>
        <w:spacing w:after="60" w:line="264" w:lineRule="auto"/>
        <w:ind w:left="576"/>
      </w:pPr>
      <w:r>
        <w:rPr>
          <w:b/>
          <w:color w:val="0F2B46"/>
          <w:sz w:val="21"/>
        </w:rPr>
        <w:t xml:space="preserve">Equity. </w:t>
      </w:r>
      <w:r>
        <w:rPr>
          <w:color w:val="444A52"/>
          <w:sz w:val="21"/>
        </w:rPr>
        <w:t>Equity is granted in Core VEX Venture Studio (or its designated holding entity), calculated on a fully diluted basis as at the grant date, and documented with standard vesting, acceleration, leaver and transfer provisions to be agreed between the parties.</w:t>
      </w:r>
    </w:p>
    <w:p>
      <w:pPr>
        <w:pStyle w:val="ListBullet"/>
        <w:spacing w:after="60" w:line="264" w:lineRule="auto"/>
        <w:ind w:left="576"/>
      </w:pPr>
      <w:r>
        <w:rPr>
          <w:b/>
          <w:color w:val="0F2B46"/>
          <w:sz w:val="21"/>
        </w:rPr>
        <w:t xml:space="preserve">Compensation. </w:t>
      </w:r>
      <w:r>
        <w:rPr>
          <w:color w:val="444A52"/>
          <w:sz w:val="21"/>
        </w:rPr>
        <w:t>Monthly cash compensation is payable in Egyptian Pounds against the part-time Investment Partner engagement, reviewable annually or upon a material change in scope.</w:t>
      </w:r>
    </w:p>
    <w:p>
      <w:pPr>
        <w:pStyle w:val="ListBullet"/>
        <w:spacing w:after="60" w:line="264" w:lineRule="auto"/>
        <w:ind w:left="576"/>
      </w:pPr>
      <w:r>
        <w:rPr>
          <w:b/>
          <w:color w:val="0F2B46"/>
          <w:sz w:val="21"/>
        </w:rPr>
        <w:t xml:space="preserve">Fundraising participation. </w:t>
      </w:r>
      <w:r>
        <w:rPr>
          <w:color w:val="444A52"/>
          <w:sz w:val="21"/>
        </w:rPr>
        <w:t>The stated percentage applies to capital actually received by the studio or its ventures from investors introduced, sourced or materially advanced by me or my investor network, and is payable on each closing or tranche drawdown. Attribution will be governed by a simple written introduction-and-tracking log maintained with the partners, agreed in advance to avoid ambiguity.</w:t>
      </w:r>
    </w:p>
    <w:p>
      <w:pPr>
        <w:pStyle w:val="ListBullet"/>
        <w:spacing w:after="60" w:line="264" w:lineRule="auto"/>
        <w:ind w:left="576"/>
      </w:pPr>
      <w:r>
        <w:rPr>
          <w:b/>
          <w:color w:val="0F2B46"/>
          <w:sz w:val="21"/>
        </w:rPr>
        <w:t xml:space="preserve">Carry &amp; vehicle economics. </w:t>
      </w:r>
      <w:r>
        <w:rPr>
          <w:color w:val="444A52"/>
          <w:sz w:val="21"/>
        </w:rPr>
        <w:t>The participation above is in addition to, and does not replace, any carried interest or management-fee entitlement that may be agreed should Core VEX establish a studio fund or investment vehicle in which I act as a principal.</w:t>
      </w:r>
    </w:p>
    <w:p>
      <w:pPr>
        <w:pStyle w:val="ListBullet"/>
        <w:spacing w:after="60" w:line="264" w:lineRule="auto"/>
        <w:ind w:left="576"/>
      </w:pPr>
      <w:r>
        <w:rPr>
          <w:b/>
          <w:color w:val="0F2B46"/>
          <w:sz w:val="21"/>
        </w:rPr>
        <w:t xml:space="preserve">Exclusivity &amp; confidentiality. </w:t>
      </w:r>
      <w:r>
        <w:rPr>
          <w:color w:val="444A52"/>
          <w:sz w:val="21"/>
        </w:rPr>
        <w:t>I will act exclusively on behalf of Core VEX in matters falling within the studio's defined investment thesis, and will maintain confidentiality over all studio, venture and LP information. Any pre-existing mandates and advisory roles will be disclosed in writing.</w:t>
      </w:r>
    </w:p>
    <w:p>
      <w:pPr>
        <w:pStyle w:val="ListBullet"/>
        <w:spacing w:after="60" w:line="264" w:lineRule="auto"/>
        <w:ind w:left="576"/>
      </w:pPr>
      <w:r>
        <w:rPr>
          <w:b/>
          <w:color w:val="0F2B46"/>
          <w:sz w:val="21"/>
        </w:rPr>
        <w:t xml:space="preserve">Non-binding. </w:t>
      </w:r>
      <w:r>
        <w:rPr>
          <w:color w:val="444A52"/>
          <w:sz w:val="21"/>
        </w:rPr>
        <w:t>This proposal is non-binding and is intended to serve as the commercial basis for a definitive partnership and equity agreement.</w:t>
      </w:r>
    </w:p>
    <w:p>
      <w:pPr>
        <w:spacing w:before="320" w:after="140"/>
        <w:pBdr>
          <w:bottom w:val="single" w:sz="12" w:space="2" w:color="1F6F8B"/>
        </w:pBdr>
      </w:pPr>
      <w:r>
        <w:rPr>
          <w:rFonts w:ascii="Calibri" w:hAnsi="Calibri"/>
          <w:b/>
          <w:color w:val="0F2B46"/>
          <w:sz w:val="24"/>
        </w:rPr>
        <w:t>7.  FIRST 90 DAYS — PROPOSED DELIVERY PLAN</w:t>
      </w:r>
    </w:p>
    <w:tbl>
      <w:tblPr>
        <w:tblW w:type="auto" w:w="0"/>
        <w:jc w:val="center"/>
        <w:tblLook w:firstColumn="1" w:firstRow="1" w:lastColumn="0" w:lastRow="0" w:noHBand="0" w:noVBand="1" w:val="04A0"/>
      </w:tblPr>
      <w:tblGrid>
        <w:gridCol w:w="3168"/>
        <w:gridCol w:w="3168"/>
        <w:gridCol w:w="3168"/>
      </w:tblGrid>
      <w:tr>
        <w:tc>
          <w:tcPr>
            <w:tcW w:type="dxa" w:w="2160"/>
            <w:shd w:val="clear" w:color="auto" w:fill="0F2B46"/>
          </w:tcPr>
          <w:p>
            <w:pPr>
              <w:spacing w:before="60" w:after="60"/>
            </w:pPr>
            <w:r>
              <w:rPr>
                <w:b/>
                <w:color w:val="FFFFFF"/>
                <w:sz w:val="19"/>
              </w:rPr>
              <w:t>Phase</w:t>
            </w:r>
          </w:p>
        </w:tc>
        <w:tc>
          <w:tcPr>
            <w:tcW w:type="dxa" w:w="2448"/>
            <w:shd w:val="clear" w:color="auto" w:fill="0F2B46"/>
          </w:tcPr>
          <w:p>
            <w:pPr>
              <w:spacing w:before="60" w:after="60"/>
            </w:pPr>
            <w:r>
              <w:rPr>
                <w:b/>
                <w:color w:val="FFFFFF"/>
                <w:sz w:val="19"/>
              </w:rPr>
              <w:t>Focus</w:t>
            </w:r>
          </w:p>
        </w:tc>
        <w:tc>
          <w:tcPr>
            <w:tcW w:type="dxa" w:w="4896"/>
            <w:shd w:val="clear" w:color="auto" w:fill="0F2B46"/>
          </w:tcPr>
          <w:p>
            <w:pPr>
              <w:spacing w:before="60" w:after="60"/>
            </w:pPr>
            <w:r>
              <w:rPr>
                <w:b/>
                <w:color w:val="FFFFFF"/>
                <w:sz w:val="19"/>
              </w:rPr>
              <w:t>Deliverables</w:t>
            </w:r>
          </w:p>
        </w:tc>
      </w:tr>
      <w:tr>
        <w:tc>
          <w:tcPr>
            <w:tcW w:type="dxa" w:w="2160"/>
            <w:shd w:val="clear" w:color="auto" w:fill="F7FAFC"/>
          </w:tcPr>
          <w:p>
            <w:pPr>
              <w:spacing w:before="60" w:after="60" w:line="259" w:lineRule="auto"/>
            </w:pPr>
            <w:r>
              <w:rPr>
                <w:b/>
                <w:color w:val="0F2B46"/>
                <w:sz w:val="19"/>
              </w:rPr>
              <w:t>Days 1–30</w:t>
            </w:r>
          </w:p>
          <w:p>
            <w:pPr>
              <w:spacing w:before="0" w:after="60" w:line="259" w:lineRule="auto"/>
            </w:pPr>
            <w:r>
              <w:rPr>
                <w:b/>
                <w:color w:val="0F2B46"/>
                <w:sz w:val="19"/>
              </w:rPr>
              <w:t>Diagnose &amp; Design</w:t>
            </w:r>
          </w:p>
        </w:tc>
        <w:tc>
          <w:tcPr>
            <w:tcW w:type="dxa" w:w="2448"/>
            <w:shd w:val="clear" w:color="auto" w:fill="F7FAFC"/>
          </w:tcPr>
          <w:p>
            <w:pPr>
              <w:spacing w:before="60" w:after="60" w:line="259" w:lineRule="auto"/>
            </w:pPr>
            <w:r>
              <w:rPr>
                <w:b w:val="0"/>
                <w:color w:val="444A52"/>
                <w:sz w:val="19"/>
              </w:rPr>
              <w:t>Studio structure, thesis and current portfolio review</w:t>
            </w:r>
          </w:p>
        </w:tc>
        <w:tc>
          <w:tcPr>
            <w:tcW w:type="dxa" w:w="4896"/>
            <w:shd w:val="clear" w:color="auto" w:fill="F7FAFC"/>
          </w:tcPr>
          <w:p>
            <w:pPr>
              <w:spacing w:before="60" w:after="60" w:line="259" w:lineRule="auto"/>
            </w:pPr>
            <w:r>
              <w:rPr>
                <w:b w:val="0"/>
                <w:color w:val="444A52"/>
                <w:sz w:val="19"/>
              </w:rPr>
              <w:t>Structural assessment and recommendation; draft investment thesis and mandate; Investment Committee charter; diligence framework and memo template; gap analysis of existing ventures.</w:t>
            </w:r>
          </w:p>
        </w:tc>
      </w:tr>
      <w:tr>
        <w:tc>
          <w:tcPr>
            <w:tcW w:type="dxa" w:w="2160"/>
          </w:tcPr>
          <w:p>
            <w:pPr>
              <w:spacing w:before="60" w:after="60" w:line="259" w:lineRule="auto"/>
            </w:pPr>
            <w:r>
              <w:rPr>
                <w:b/>
                <w:color w:val="0F2B46"/>
                <w:sz w:val="19"/>
              </w:rPr>
              <w:t>Days 31–60</w:t>
            </w:r>
          </w:p>
          <w:p>
            <w:pPr>
              <w:spacing w:before="0" w:after="60" w:line="259" w:lineRule="auto"/>
            </w:pPr>
            <w:r>
              <w:rPr>
                <w:b/>
                <w:color w:val="0F2B46"/>
                <w:sz w:val="19"/>
              </w:rPr>
              <w:t>Build the Capital Story</w:t>
            </w:r>
          </w:p>
        </w:tc>
        <w:tc>
          <w:tcPr>
            <w:tcW w:type="dxa" w:w="2448"/>
          </w:tcPr>
          <w:p>
            <w:pPr>
              <w:spacing w:before="60" w:after="60" w:line="259" w:lineRule="auto"/>
            </w:pPr>
            <w:r>
              <w:rPr>
                <w:b w:val="0"/>
                <w:color w:val="444A52"/>
                <w:sz w:val="19"/>
              </w:rPr>
              <w:t>Investor-facing architecture and collateral</w:t>
            </w:r>
          </w:p>
        </w:tc>
        <w:tc>
          <w:tcPr>
            <w:tcW w:type="dxa" w:w="4896"/>
          </w:tcPr>
          <w:p>
            <w:pPr>
              <w:spacing w:before="60" w:after="60" w:line="259" w:lineRule="auto"/>
            </w:pPr>
            <w:r>
              <w:rPr>
                <w:b w:val="0"/>
                <w:color w:val="444A52"/>
                <w:sz w:val="19"/>
              </w:rPr>
              <w:t>Studio investor deck and thesis memo; LP teaser and track-record pack; studio data room; valuation and financial model templates; segmented LP and co-investor target map.</w:t>
            </w:r>
          </w:p>
        </w:tc>
      </w:tr>
      <w:tr>
        <w:tc>
          <w:tcPr>
            <w:tcW w:type="dxa" w:w="2160"/>
            <w:shd w:val="clear" w:color="auto" w:fill="F7FAFC"/>
          </w:tcPr>
          <w:p>
            <w:pPr>
              <w:spacing w:before="60" w:after="60" w:line="259" w:lineRule="auto"/>
            </w:pPr>
            <w:r>
              <w:rPr>
                <w:b/>
                <w:color w:val="0F2B46"/>
                <w:sz w:val="19"/>
              </w:rPr>
              <w:t>Days 61–90</w:t>
            </w:r>
          </w:p>
          <w:p>
            <w:pPr>
              <w:spacing w:before="0" w:after="60" w:line="259" w:lineRule="auto"/>
            </w:pPr>
            <w:r>
              <w:rPr>
                <w:b/>
                <w:color w:val="0F2B46"/>
                <w:sz w:val="19"/>
              </w:rPr>
              <w:t>Activate the Network</w:t>
            </w:r>
          </w:p>
        </w:tc>
        <w:tc>
          <w:tcPr>
            <w:tcW w:type="dxa" w:w="2448"/>
            <w:shd w:val="clear" w:color="auto" w:fill="F7FAFC"/>
          </w:tcPr>
          <w:p>
            <w:pPr>
              <w:spacing w:before="60" w:after="60" w:line="259" w:lineRule="auto"/>
            </w:pPr>
            <w:r>
              <w:rPr>
                <w:b w:val="0"/>
                <w:color w:val="444A52"/>
                <w:sz w:val="19"/>
              </w:rPr>
              <w:t>Live investor engagement and co-investment</w:t>
            </w:r>
          </w:p>
        </w:tc>
        <w:tc>
          <w:tcPr>
            <w:tcW w:type="dxa" w:w="4896"/>
            <w:shd w:val="clear" w:color="auto" w:fill="F7FAFC"/>
          </w:tcPr>
          <w:p>
            <w:pPr>
              <w:spacing w:before="60" w:after="60" w:line="259" w:lineRule="auto"/>
            </w:pPr>
            <w:r>
              <w:rPr>
                <w:b w:val="0"/>
                <w:color w:val="444A52"/>
                <w:sz w:val="19"/>
              </w:rPr>
              <w:t>Outreach and meetings with prioritised LPs, funds, family offices and syndicates; first co-investment or SPV structure in motion; IR reporting calendar live; founder fundraising support for active rounds.</w:t>
            </w:r>
          </w:p>
        </w:tc>
      </w:tr>
    </w:tbl>
    <w:p>
      <w:pPr>
        <w:spacing w:before="320" w:after="140"/>
        <w:pBdr>
          <w:bottom w:val="single" w:sz="12" w:space="2" w:color="1F6F8B"/>
        </w:pBdr>
      </w:pPr>
      <w:r>
        <w:rPr>
          <w:rFonts w:ascii="Calibri" w:hAnsi="Calibri"/>
          <w:b/>
          <w:color w:val="0F2B46"/>
          <w:sz w:val="24"/>
        </w:rPr>
        <w:t>8.  CLOSING</w:t>
      </w:r>
    </w:p>
    <w:p>
      <w:pPr>
        <w:spacing w:before="0" w:after="120" w:line="269" w:lineRule="auto"/>
      </w:pPr>
      <w:r>
        <w:rPr>
          <w:b w:val="0"/>
          <w:i w:val="0"/>
          <w:color w:val="444A52"/>
          <w:sz w:val="21"/>
        </w:rPr>
        <w:t>Core VEX does not need another adviser producing decks. It needs a partner who owns the answer to the two questions every serious investor asks: how is this studio structured, and who is behind the capital. I am proposing to own both — to build the investment architecture that makes Core VEX institutionally investable, and to bring the investor relationships that make it funded.</w:t>
      </w:r>
    </w:p>
    <w:p>
      <w:pPr>
        <w:spacing w:before="0" w:after="120" w:line="269" w:lineRule="auto"/>
      </w:pPr>
      <w:r>
        <w:rPr>
          <w:b w:val="0"/>
          <w:i w:val="0"/>
          <w:color w:val="444A52"/>
          <w:sz w:val="21"/>
        </w:rPr>
        <w:t>I would welcome the opportunity to walk the partnership team through this proposal, align on the preferred structure, and move to definitive documentation. I am available at your convenience.</w:t>
      </w:r>
    </w:p>
    <w:p>
      <w:pPr>
        <w:spacing w:before="0" w:after="240" w:line="269" w:lineRule="auto"/>
      </w:pPr>
      <w:r>
        <w:rPr>
          <w:b w:val="0"/>
          <w:i w:val="0"/>
          <w:color w:val="444A52"/>
          <w:sz w:val="21"/>
        </w:rPr>
      </w:r>
    </w:p>
    <w:p>
      <w:pPr>
        <w:spacing w:after="320"/>
      </w:pPr>
      <w:r>
        <w:rPr>
          <w:color w:val="444A52"/>
          <w:sz w:val="21"/>
        </w:rPr>
        <w:t>Respectfully submitted,</w:t>
      </w:r>
    </w:p>
    <w:p>
      <w:pPr>
        <w:spacing w:after="0"/>
      </w:pPr>
      <w:r>
        <w:rPr>
          <w:b/>
          <w:color w:val="0F2B46"/>
          <w:sz w:val="24"/>
        </w:rPr>
        <w:t>Abdelrhman Soliman</w:t>
      </w:r>
    </w:p>
    <w:p>
      <w:pPr>
        <w:spacing w:before="0" w:after="0" w:line="269" w:lineRule="auto"/>
      </w:pPr>
      <w:r>
        <w:rPr>
          <w:b w:val="0"/>
          <w:i w:val="0"/>
          <w:color w:val="1F6F8B"/>
          <w:sz w:val="19"/>
        </w:rPr>
        <w:t>Investment Partner (Proposed) — Core VEX Venture Studio</w:t>
      </w:r>
    </w:p>
    <w:p>
      <w:pPr>
        <w:spacing w:before="0" w:after="40" w:line="269" w:lineRule="auto"/>
      </w:pPr>
      <w:r>
        <w:rPr>
          <w:b w:val="0"/>
          <w:i w:val="0"/>
          <w:color w:val="444A52"/>
          <w:sz w:val="19"/>
        </w:rPr>
        <w:t>abdelrhmansoliman96@gmail.com  |  +20 109 651 5287  |  Cairo, Egypt</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