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dc73a66545e358b30d3926b68970162fb9e196"/>
    <w:p>
      <w:pPr>
        <w:pStyle w:val="Heading1"/>
      </w:pPr>
      <w:r>
        <w:t xml:space="preserve">GENERAL APPLICATION — Grand Challenges Canada</w:t>
      </w:r>
    </w:p>
    <w:bookmarkStart w:id="20" w:name="X39cd6f96895441971f958c3fda79e8501833308"/>
    <w:p>
      <w:pPr>
        <w:pStyle w:val="Heading2"/>
      </w:pPr>
      <w:r>
        <w:t xml:space="preserve">Request for Proposals: Venture Advisory Support Provider(s) · RFP-VA-2026-09-18</w:t>
      </w:r>
    </w:p>
    <w:p>
      <w:pPr>
        <w:pStyle w:val="BlockText"/>
      </w:pPr>
      <w:r>
        <w:rPr>
          <w:bCs/>
          <w:b/>
        </w:rPr>
        <w:t xml:space="preserve">Drafting note (delete before submission).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marker is a fact only you can</w:t>
      </w:r>
      <w:r>
        <w:t xml:space="preserve"> </w:t>
      </w:r>
      <w:r>
        <w:t xml:space="preserve">supply — references, named clients, entity registration, signatures. The internal plan lists</w:t>
      </w:r>
      <w:r>
        <w:t xml:space="preserve"> </w:t>
      </w:r>
      <w:r>
        <w:t xml:space="preserve">them all in one checklist. Nothing in this document invents a client, an outcome or a referee.</w:t>
      </w:r>
    </w:p>
    <w:p>
      <w:r>
        <w:pict>
          <v:rect style="width:0;height:1.5pt" o:hralign="center" o:hrstd="t" o:hr="t"/>
        </w:pict>
      </w:r>
    </w:p>
    <w:bookmarkEnd w:id="20"/>
    <w:bookmarkStart w:id="21" w:name="covering-letter"/>
    <w:p>
      <w:pPr>
        <w:pStyle w:val="Heading2"/>
      </w:pPr>
      <w:r>
        <w:t xml:space="preserve">COVERING LETTER</w:t>
      </w:r>
    </w:p>
    <w:p>
      <w:pPr>
        <w:pStyle w:val="FirstParagraph"/>
      </w:pPr>
      <w:r>
        <w:rPr>
          <w:bCs/>
          <w:b/>
        </w:rPr>
        <w:t xml:space="preserve">LEAP Consulting</w:t>
      </w:r>
      <w:r>
        <w:br/>
      </w:r>
      <w:r>
        <w:t xml:space="preserve">Delta Flowers Tower, 4 Hafez Ramadan Street</w:t>
      </w:r>
      <w:r>
        <w:br/>
      </w:r>
      <w:r>
        <w:t xml:space="preserve">Next to City Stars, Cairo 11391, Egypt</w:t>
      </w:r>
      <w:r>
        <w:br/>
      </w:r>
      <w:r>
        <w:t xml:space="preserve">leapassociate.com · info@leapassociate.com · +20 155 465 5807</w:t>
      </w:r>
    </w:p>
    <w:p>
      <w:pPr>
        <w:pStyle w:val="BodyText"/>
      </w:pPr>
      <w:r>
        <w:rPr>
          <w:rStyle w:val="VerbatimChar"/>
        </w:rPr>
        <w:t xml:space="preserve">[[Date]]</w:t>
      </w:r>
    </w:p>
    <w:p>
      <w:pPr>
        <w:pStyle w:val="BodyText"/>
      </w:pPr>
      <w:r>
        <w:t xml:space="preserve">Grand Challenges Canada</w:t>
      </w:r>
      <w:r>
        <w:br/>
      </w:r>
      <w:r>
        <w:t xml:space="preserve">661 University Avenue, Suite 1720</w:t>
      </w:r>
      <w:r>
        <w:br/>
      </w:r>
      <w:r>
        <w:t xml:space="preserve">MaRS Centre, West Tower</w:t>
      </w:r>
      <w:r>
        <w:br/>
      </w:r>
      <w:r>
        <w:t xml:space="preserve">Toronto, Ontario, M5G 1M1</w:t>
      </w:r>
    </w:p>
    <w:p>
      <w:pPr>
        <w:pStyle w:val="BodyText"/>
      </w:pPr>
      <w:r>
        <w:rPr>
          <w:bCs/>
          <w:b/>
        </w:rPr>
        <w:t xml:space="preserve">Attention:</w:t>
      </w:r>
      <w:r>
        <w:t xml:space="preserve"> </w:t>
      </w:r>
      <w:r>
        <w:t xml:space="preserve">TTS Portfolio Managers — Sanjana Janardhanan &amp; Brittney Dudar</w:t>
      </w:r>
      <w:r>
        <w:br/>
      </w:r>
      <w:r>
        <w:rPr>
          <w:bCs/>
          <w:b/>
        </w:rPr>
        <w:t xml:space="preserve">By email:</w:t>
      </w:r>
      <w:r>
        <w:t xml:space="preserve"> </w:t>
      </w:r>
      <w:r>
        <w:t xml:space="preserve">PortfolioManagement@grandchallenges.ca</w:t>
      </w:r>
      <w:r>
        <w:br/>
      </w:r>
      <w:r>
        <w:rPr>
          <w:bCs/>
          <w:b/>
        </w:rPr>
        <w:t xml:space="preserve">Subject:</w:t>
      </w:r>
      <w:r>
        <w:t xml:space="preserve"> </w:t>
      </w:r>
      <w:r>
        <w:t xml:space="preserve">RFP Venture Advisory Support Provider(s)</w:t>
      </w:r>
    </w:p>
    <w:p>
      <w:pPr>
        <w:pStyle w:val="BodyText"/>
      </w:pPr>
      <w:r>
        <w:rPr>
          <w:bCs/>
          <w:b/>
        </w:rPr>
        <w:t xml:space="preserve">Re: Request for Proposals — Venture Advisory Support Provider(s), RFP Reference Number RFP-VA-2026-09-18</w:t>
      </w:r>
    </w:p>
    <w:p>
      <w:pPr>
        <w:pStyle w:val="BodyText"/>
      </w:pPr>
      <w:r>
        <w:t xml:space="preserve">Dear Ms. Janardhanan and Ms. Dudar,</w:t>
      </w:r>
    </w:p>
    <w:p>
      <w:pPr>
        <w:pStyle w:val="BodyText"/>
      </w:pPr>
      <w:r>
        <w:t xml:space="preserve">LEAP Consulting is pleased to submit this Proposal in response to RFP-VA-2026-09-18 for the role of</w:t>
      </w:r>
      <w:r>
        <w:t xml:space="preserve"> </w:t>
      </w:r>
      <w:r>
        <w:t xml:space="preserve">Venture Advisory Support Provider. We are applying to four categories: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 1 — Capital and Financial Strategy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 2 — Business Models and Operations for Growth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 4 — Market and Policy Navigation</w:t>
      </w:r>
      <w:r>
        <w:t xml:space="preserve"> </w:t>
      </w:r>
      <w:r>
        <w:rPr>
          <w:iCs/>
          <w:i/>
        </w:rPr>
        <w:t xml:space="preserve">(Egypt and the Gulf; Arabic-language delivery)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 5 — Group-based Learning and Facilitation</w:t>
      </w:r>
    </w:p>
    <w:p>
      <w:pPr>
        <w:pStyle w:val="FirstParagraph"/>
      </w:pPr>
      <w:r>
        <w:t xml:space="preserve">We have deliberately not applied to Categories 3 and 6. We hold ourselves to the standard this RFP</w:t>
      </w:r>
      <w:r>
        <w:t xml:space="preserve"> </w:t>
      </w:r>
      <w:r>
        <w:t xml:space="preserve">sets — demonstrated expertise in specific areas rather than generalist breadth — and we would</w:t>
      </w:r>
      <w:r>
        <w:t xml:space="preserve"> </w:t>
      </w:r>
      <w:r>
        <w:t xml:space="preserve">rather be judged on the four areas where our track record is direct and verifiable.</w:t>
      </w:r>
    </w:p>
    <w:p>
      <w:pPr>
        <w:pStyle w:val="BodyText"/>
      </w:pPr>
      <w:r>
        <w:t xml:space="preserve">LEAP is a Cairo-based advisory firm working across Egypt, Saudi Arabia, the United Arab Emirates,</w:t>
      </w:r>
      <w:r>
        <w:t xml:space="preserve"> </w:t>
      </w:r>
      <w:r>
        <w:t xml:space="preserve">Kuwait and Qatar. Our practice sits at the intersection of strategy, finance and data science. We</w:t>
      </w:r>
      <w:r>
        <w:t xml:space="preserve"> </w:t>
      </w:r>
      <w:r>
        <w:t xml:space="preserve">have built and reviewed more than fifty financial models, advised over one hundred early-stage</w:t>
      </w:r>
      <w:r>
        <w:t xml:space="preserve"> </w:t>
      </w:r>
      <w:r>
        <w:t xml:space="preserve">ventures from idea stage to first round, supported more than USD 10 million in capital raised, and</w:t>
      </w:r>
      <w:r>
        <w:t xml:space="preserve"> </w:t>
      </w:r>
      <w:r>
        <w:t xml:space="preserve">evaluated 150 projects representing roughly USD 3 billion in analysed asset value. We work in</w:t>
      </w:r>
      <w:r>
        <w:t xml:space="preserve"> </w:t>
      </w:r>
      <w:r>
        <w:t xml:space="preserve">Arabic and English.</w:t>
      </w:r>
    </w:p>
    <w:p>
      <w:pPr>
        <w:pStyle w:val="BodyText"/>
      </w:pPr>
      <w:r>
        <w:t xml:space="preserve">We understand the engagement model this RFP describes: individually commissioned, time-bound,</w:t>
      </w:r>
      <w:r>
        <w:t xml:space="preserve"> </w:t>
      </w:r>
      <w:r>
        <w:t xml:space="preserve">decision-centric assignments against a specific innovator and a specific barrier, invoiced regularly</w:t>
      </w:r>
      <w:r>
        <w:t xml:space="preserve"> </w:t>
      </w:r>
      <w:r>
        <w:t xml:space="preserve">against a maximum contract amount, reporting to GCC. That is how we already work.</w:t>
      </w:r>
    </w:p>
    <w:p>
      <w:pPr>
        <w:pStyle w:val="BodyText"/>
      </w:pPr>
      <w:r>
        <w:t xml:space="preserve">This letter confirms our acceptance of the terms of this Request for Proposals. LEAP has the legal</w:t>
      </w:r>
      <w:r>
        <w:t xml:space="preserve"> </w:t>
      </w:r>
      <w:r>
        <w:t xml:space="preserve">capacity to contract and will provide registration, sanctions-screening and related documentation on</w:t>
      </w:r>
      <w:r>
        <w:t xml:space="preserve"> </w:t>
      </w:r>
      <w:r>
        <w:t xml:space="preserve">request under Section 2.4. We confirm that LEAP does not provide, and has never provided, audit</w:t>
      </w:r>
      <w:r>
        <w:t xml:space="preserve"> </w:t>
      </w:r>
      <w:r>
        <w:t xml:space="preserve">services to Grand Challenges Canada.</w:t>
      </w:r>
    </w:p>
    <w:p>
      <w:pPr>
        <w:pStyle w:val="BodyText"/>
      </w:pPr>
      <w:r>
        <w:t xml:space="preserve">We would welcome the opportunity to discuss this Proposal at interview.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rPr>
          <w:rStyle w:val="VerbatimChar"/>
        </w:rPr>
        <w:t xml:space="preserve">[[Signature]]</w:t>
      </w:r>
    </w:p>
    <w:p>
      <w:pPr>
        <w:pStyle w:val="BodyText"/>
      </w:pPr>
      <w:r>
        <w:rPr>
          <w:bCs/>
          <w:b/>
        </w:rPr>
        <w:t xml:space="preserve">Abdelrhman Soliman</w:t>
      </w:r>
      <w:r>
        <w:br/>
      </w:r>
      <w:r>
        <w:rPr>
          <w:rStyle w:val="VerbatimChar"/>
        </w:rPr>
        <w:t xml:space="preserve">[[Title — e.g. Managing Partner]]</w:t>
      </w:r>
      <w:r>
        <w:t xml:space="preserve">, LEAP Consulting</w:t>
      </w:r>
      <w:r>
        <w:br/>
      </w:r>
      <w:r>
        <w:rPr>
          <w:rStyle w:val="VerbatimChar"/>
        </w:rPr>
        <w:t xml:space="preserve">[[Direct email]]</w:t>
      </w:r>
      <w:r>
        <w:t xml:space="preserve"> </w:t>
      </w:r>
      <w:r>
        <w:t xml:space="preserve">· +20 155 465 5807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60f19e6cf08e48d29d965e6a1f55501b317647a"/>
    <w:p>
      <w:pPr>
        <w:pStyle w:val="Heading1"/>
      </w:pPr>
      <w:r>
        <w:t xml:space="preserve">1. Organization Overview and Categories Applied For</w:t>
      </w:r>
    </w:p>
    <w:p>
      <w:pPr>
        <w:pStyle w:val="FirstParagraph"/>
      </w:pPr>
      <w:r>
        <w:rPr>
          <w:iCs/>
          <w:i/>
        </w:rPr>
        <w:t xml:space="preserve">(RFP §3.1 item 1 — 1–2 pages)</w:t>
      </w:r>
    </w:p>
    <w:bookmarkStart w:id="23" w:name="who-we-are"/>
    <w:p>
      <w:pPr>
        <w:pStyle w:val="Heading2"/>
      </w:pPr>
      <w:r>
        <w:t xml:space="preserve">Who we are</w:t>
      </w:r>
    </w:p>
    <w:p>
      <w:pPr>
        <w:pStyle w:val="FirstParagraph"/>
      </w:pPr>
      <w:r>
        <w:t xml:space="preserve">LEAP Consulting is an independent advisory firm headquartered in Cairo, Egypt, operating across five</w:t>
      </w:r>
      <w:r>
        <w:t xml:space="preserve"> </w:t>
      </w:r>
      <w:r>
        <w:t xml:space="preserve">markets: Egypt, Saudi Arabia, the United Arab Emirates, Kuwait and Qatar. We work with founders,</w:t>
      </w:r>
      <w:r>
        <w:t xml:space="preserve"> </w:t>
      </w:r>
      <w:r>
        <w:t xml:space="preserve">operators, investors and development-finance counterparties on the decisions that determine whether a</w:t>
      </w:r>
      <w:r>
        <w:t xml:space="preserve"> </w:t>
      </w:r>
      <w:r>
        <w:t xml:space="preserve">venture can raise capital, hold its economics at greater volume, and survive contact with the market</w:t>
      </w:r>
      <w:r>
        <w:t xml:space="preserve"> </w:t>
      </w:r>
      <w:r>
        <w:t xml:space="preserve">it is entering. We bridge the gap between ambition and execution: we do not stop at a recommendation,</w:t>
      </w:r>
      <w:r>
        <w:t xml:space="preserve"> </w:t>
      </w:r>
      <w:r>
        <w:t xml:space="preserve">we build the financial and operational basis a leadership team, a board or a funder can act on.</w:t>
      </w:r>
    </w:p>
    <w:p>
      <w:pPr>
        <w:pStyle w:val="BodyText"/>
      </w:pPr>
      <w:r>
        <w:rPr>
          <w:bCs/>
          <w:b/>
        </w:rPr>
        <w:t xml:space="preserve">Legal entity.</w:t>
      </w:r>
      <w:r>
        <w:t xml:space="preserve"> </w:t>
      </w:r>
      <w:r>
        <w:rPr>
          <w:rStyle w:val="VerbatimChar"/>
        </w:rPr>
        <w:t xml:space="preserve">[[Registered name]]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[[legal form]]</w:t>
      </w:r>
      <w:r>
        <w:t xml:space="preserve">, registered in</w:t>
      </w:r>
      <w:r>
        <w:t xml:space="preserve"> </w:t>
      </w:r>
      <w:r>
        <w:rPr>
          <w:rStyle w:val="VerbatimChar"/>
        </w:rPr>
        <w:t xml:space="preserve">[[jurisdiction]]</w:t>
      </w:r>
      <w:r>
        <w:t xml:space="preserve"> </w:t>
      </w:r>
      <w:r>
        <w:t xml:space="preserve">under</w:t>
      </w:r>
      <w:r>
        <w:t xml:space="preserve"> </w:t>
      </w:r>
      <w:r>
        <w:t xml:space="preserve">commercial register number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, tax registration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.</w:t>
      </w:r>
      <w:r>
        <w:t xml:space="preserve"> </w:t>
      </w:r>
      <w:r>
        <w:rPr>
          <w:rStyle w:val="VerbatimChar"/>
        </w:rPr>
        <w:t xml:space="preserve">[[Consortium applicants: name the lead contracting entity and each member.]]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7+ years</w:t>
            </w:r>
            <w:r>
              <w:t xml:space="preserve"> </w:t>
            </w:r>
            <w:r>
              <w:t xml:space="preserve">in VC, PE and 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50+</w:t>
            </w:r>
            <w:r>
              <w:t xml:space="preserve"> </w:t>
            </w:r>
            <w:r>
              <w:t xml:space="preserve">financial models built and 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</w:t>
            </w:r>
            <w:r>
              <w:t xml:space="preserve"> </w:t>
            </w:r>
            <w:r>
              <w:t xml:space="preserve">ventures advised, idea stage to first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10M+</w:t>
            </w:r>
            <w:r>
              <w:t xml:space="preserve"> </w:t>
            </w:r>
            <w:r>
              <w:t xml:space="preserve">capital raised or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 projects</w:t>
            </w:r>
            <w:r>
              <w:t xml:space="preserve"> </w:t>
            </w:r>
            <w:r>
              <w:t xml:space="preserve">evaluated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3B</w:t>
            </w:r>
            <w:r>
              <w:t xml:space="preserve"> </w:t>
            </w:r>
            <w:r>
              <w:t xml:space="preserve">asset value analysed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markets</w:t>
            </w:r>
            <w:r>
              <w:t xml:space="preserve"> </w:t>
            </w:r>
            <w:r>
              <w:t xml:space="preserve">Egypt, KSA, UAE, Kuwait, Qatar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languages</w:t>
            </w:r>
            <w:r>
              <w:t xml:space="preserve"> </w:t>
            </w:r>
            <w:r>
              <w:t xml:space="preserve">Arabic and English</w:t>
            </w:r>
          </w:p>
        </w:tc>
      </w:tr>
    </w:tbl>
    <w:p>
      <w:pPr>
        <w:pStyle w:val="BodyText"/>
      </w:pPr>
      <w:r>
        <w:t xml:space="preserve">Our method is deliberately quantitative. Strategic judgement is supported by statistical modelling,</w:t>
      </w:r>
      <w:r>
        <w:t xml:space="preserve"> </w:t>
      </w:r>
      <w:r>
        <w:t xml:space="preserve">Monte Carlo simulation and discounted cash flow analysis — the tools institutional investors apply —</w:t>
      </w:r>
      <w:r>
        <w:t xml:space="preserve"> </w:t>
      </w:r>
      <w:r>
        <w:t xml:space="preserve">calibrated to the markets our clients actually operate in. What that means for GCC: when we tell an</w:t>
      </w:r>
      <w:r>
        <w:t xml:space="preserve"> </w:t>
      </w:r>
      <w:r>
        <w:t xml:space="preserve">innovator their unit economics break at four times current volume, or that their runway assumption</w:t>
      </w:r>
      <w:r>
        <w:t xml:space="preserve"> </w:t>
      </w:r>
      <w:r>
        <w:t xml:space="preserve">fails in 60% of simulated scenarios, it is a tested finding rather than an opinion. It moves</w:t>
      </w:r>
      <w:r>
        <w:t xml:space="preserve"> </w:t>
      </w:r>
      <w:r>
        <w:t xml:space="preserve">decisions because it survives scrutiny.</w:t>
      </w:r>
    </w:p>
    <w:bookmarkEnd w:id="23"/>
    <w:bookmarkStart w:id="24" w:name="categories-we-are-applying-for"/>
    <w:p>
      <w:pPr>
        <w:pStyle w:val="Heading2"/>
      </w:pPr>
      <w:r>
        <w:t xml:space="preserve">Categories we are applying for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we are strongest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Capital and Financial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core practice. Forecasting, scenario planning, capital structuring, cap table design, investor data rooms and independent due diligence — sold to both company and investor side.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Investor-grade modelling; readiness for due diligence; structuring across grant, debt, equity and blended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Business Models and Operations for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economics, cost structure and operating-model work is what our financial modelling is built 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where economics break at scale; cost structure rebuilds; responsible digital and AI efficiency gains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Market and Policy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entry, regulatory frameworks and partnership brokering across five MENA markets — with Arabic-language delivery.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Egypt and the Gulf. We scope this honestly: see the Category 4 outline for exactly what we do and do not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Group-based Learning and Facilitation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100 ventures advised gives us a tested curriculum in foundational finance, business model and scaling concepts for earlier-stage innovators.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cohort design and facilitation; practical tools innovators use after the session ends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Categories 3 and 6.</w:t>
      </w:r>
      <w:r>
        <w:t xml:space="preserve"> </w:t>
      </w:r>
      <w:r>
        <w:t xml:space="preserve">We are not applying. We do not have the direct, referenceable track record</w:t>
      </w:r>
      <w:r>
        <w:t xml:space="preserve"> </w:t>
      </w:r>
      <w:r>
        <w:t xml:space="preserve">in board development, safeguarding, gender-equity frameworks, environmental impact or monitoring and</w:t>
      </w:r>
      <w:r>
        <w:t xml:space="preserve"> </w:t>
      </w:r>
      <w:r>
        <w:t xml:space="preserve">evaluation design that this RFP rightly demands. We would rather GCC match those needs to providers</w:t>
      </w:r>
      <w:r>
        <w:t xml:space="preserve"> </w:t>
      </w:r>
      <w:r>
        <w:t xml:space="preserve">who specialise in them.</w:t>
      </w:r>
    </w:p>
    <w:p>
      <w:pPr>
        <w:pStyle w:val="BodyText"/>
      </w:pPr>
      <w:r>
        <w:rPr>
          <w:bCs/>
          <w:b/>
        </w:rPr>
        <w:t xml:space="preserve">Relevance to GCC’s core investment areas.</w:t>
      </w:r>
      <w:r>
        <w:t xml:space="preserve"> </w:t>
      </w:r>
      <w:r>
        <w:rPr>
          <w:rStyle w:val="VerbatimChar"/>
        </w:rPr>
        <w:t xml:space="preserve">[[If you have primary healthcare, climate and health, or youth mental health experience, state it here in two or three sentences with a named example — this is explicitly flagged as an asset in Appendix A. If you do not, delete this paragraph rather than write something thin.]]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eam-members-who-would-lead-this-work"/>
    <w:p>
      <w:pPr>
        <w:pStyle w:val="Heading1"/>
      </w:pPr>
      <w:r>
        <w:t xml:space="preserve">2. Team Members Who Would Lead This Work</w:t>
      </w:r>
    </w:p>
    <w:p>
      <w:pPr>
        <w:pStyle w:val="FirstParagraph"/>
      </w:pPr>
      <w:r>
        <w:rPr>
          <w:iCs/>
          <w:i/>
        </w:rPr>
        <w:t xml:space="preserve">(RFP §3.1 item 2 — resumes attached separately; resumes are excluded from page limits)</w:t>
      </w:r>
    </w:p>
    <w:bookmarkStart w:id="29" w:name="core-team"/>
    <w:p>
      <w:pPr>
        <w:pStyle w:val="Heading2"/>
      </w:pPr>
      <w:r>
        <w:t xml:space="preserve">Core team</w:t>
      </w:r>
    </w:p>
    <w:bookmarkStart w:id="26" w:name="abdelrhman-soliman-engagement-principal"/>
    <w:p>
      <w:pPr>
        <w:pStyle w:val="Heading3"/>
      </w:pPr>
      <w:r>
        <w:t xml:space="preserve">Abdelrhman Soliman — Engagement Principal</w:t>
      </w:r>
    </w:p>
    <w:p>
      <w:pPr>
        <w:pStyle w:val="FirstParagraph"/>
      </w:pPr>
      <w:r>
        <w:rPr>
          <w:bCs/>
          <w:b/>
        </w:rPr>
        <w:t xml:space="preserve">Leads: Categories 1, 2, 5</w:t>
      </w:r>
    </w:p>
    <w:p>
      <w:pPr>
        <w:pStyle w:val="BodyText"/>
      </w:pPr>
      <w:r>
        <w:t xml:space="preserve">Investment and business expert specialising in investment valuation, capital-raising strategy,</w:t>
      </w:r>
      <w:r>
        <w:t xml:space="preserve"> </w:t>
      </w:r>
      <w:r>
        <w:t xml:space="preserve">investor relations, financial modelling and portfolio development. Works with founders, angel</w:t>
      </w:r>
      <w:r>
        <w:t xml:space="preserve"> </w:t>
      </w:r>
      <w:r>
        <w:t xml:space="preserve">investors, venture funds and family offices regionally and globally, serving the Middle East,</w:t>
      </w:r>
      <w:r>
        <w:t xml:space="preserve"> </w:t>
      </w:r>
      <w:r>
        <w:t xml:space="preserve">Europe, Africa and the United States from Cairo.</w:t>
      </w:r>
    </w:p>
    <w:p>
      <w:pPr>
        <w:pStyle w:val="BodyText"/>
      </w:pPr>
      <w:r>
        <w:t xml:space="preserve">Has built and reviewed more than fifty financial models across software-as-a-service, e-commerce,</w:t>
      </w:r>
      <w:r>
        <w:t xml:space="preserve"> </w:t>
      </w:r>
      <w:r>
        <w:t xml:space="preserve">real estate, financial technology and climate technology, supporting companies from idea stage</w:t>
      </w:r>
      <w:r>
        <w:t xml:space="preserve"> </w:t>
      </w:r>
      <w:r>
        <w:t xml:space="preserve">through to first institutional round. Over 100 early-stage ventures advised; more than USD 10</w:t>
      </w:r>
      <w:r>
        <w:t xml:space="preserve"> </w:t>
      </w:r>
      <w:r>
        <w:t xml:space="preserve">million in capital raised or supported.</w:t>
      </w:r>
    </w:p>
    <w:p>
      <w:pPr>
        <w:pStyle w:val="BodyText"/>
      </w:pPr>
      <w:r>
        <w:rPr>
          <w:iCs/>
          <w:i/>
        </w:rPr>
        <w:t xml:space="preserve">7+ years’ experience · 100+ ventures advised · USD 10M+ capital supported</w:t>
      </w:r>
      <w:r>
        <w:t xml:space="preserve"> </w:t>
      </w:r>
      <w:r>
        <w:rPr>
          <w:bCs/>
          <w:b/>
        </w:rPr>
        <w:t xml:space="preserve">Languages:</w:t>
      </w:r>
      <w:r>
        <w:t xml:space="preserve"> </w:t>
      </w:r>
      <w:r>
        <w:t xml:space="preserve">Arabic (native), English (fluent).</w:t>
      </w:r>
    </w:p>
    <w:bookmarkEnd w:id="26"/>
    <w:bookmarkStart w:id="27" w:name="X087e1dfc16d5a644ea971bb7170fc3d86e273ed"/>
    <w:p>
      <w:pPr>
        <w:pStyle w:val="Heading3"/>
      </w:pPr>
      <w:r>
        <w:t xml:space="preserve">Ahmed Ashraf — Senior Advisor, Financial Analysis</w:t>
      </w:r>
    </w:p>
    <w:p>
      <w:pPr>
        <w:pStyle w:val="FirstParagraph"/>
      </w:pPr>
      <w:r>
        <w:rPr>
          <w:bCs/>
          <w:b/>
        </w:rPr>
        <w:t xml:space="preserve">Leads: Category 2 · Supports: Categories 1, 4</w:t>
      </w:r>
    </w:p>
    <w:p>
      <w:pPr>
        <w:pStyle w:val="BodyText"/>
      </w:pPr>
      <w:r>
        <w:t xml:space="preserve">Specialist in project finance and feasibility analysis. Builds rigorous financial models, prepares</w:t>
      </w:r>
      <w:r>
        <w:t xml:space="preserve"> </w:t>
      </w:r>
      <w:r>
        <w:t xml:space="preserve">feasibility studies and evaluates investment opportunities — producing the analysis that drives</w:t>
      </w:r>
      <w:r>
        <w:t xml:space="preserve"> </w:t>
      </w:r>
      <w:r>
        <w:t xml:space="preserve">acquisition, development and expansion decisions. More than eight years in business development and</w:t>
      </w:r>
      <w:r>
        <w:t xml:space="preserve"> </w:t>
      </w:r>
      <w:r>
        <w:t xml:space="preserve">project studies, covering over fifty projects across more than five countries.</w:t>
      </w:r>
    </w:p>
    <w:p>
      <w:pPr>
        <w:pStyle w:val="BodyText"/>
      </w:pPr>
      <w:r>
        <w:rPr>
          <w:iCs/>
          <w:i/>
        </w:rPr>
        <w:t xml:space="preserve">8+ years’ experience · 50+ projects · 5+ countries</w:t>
      </w:r>
      <w:r>
        <w:t xml:space="preserve"> </w:t>
      </w:r>
      <w:r>
        <w:rPr>
          <w:bCs/>
          <w:b/>
        </w:rPr>
        <w:t xml:space="preserve">Languages:</w:t>
      </w:r>
      <w:r>
        <w:t xml:space="preserve"> </w:t>
      </w:r>
      <w:r>
        <w:t xml:space="preserve">Arabic (native), English (fluent).</w:t>
      </w:r>
    </w:p>
    <w:bookmarkEnd w:id="27"/>
    <w:bookmarkStart w:id="28" w:name="third-named-team-member"/>
    <w:p>
      <w:pPr>
        <w:pStyle w:val="Heading3"/>
      </w:pPr>
      <w:r>
        <w:rPr>
          <w:rStyle w:val="VerbatimChar"/>
        </w:rPr>
        <w:t xml:space="preserve">[[Third named team member]]</w:t>
      </w:r>
    </w:p>
    <w:p>
      <w:pPr>
        <w:pStyle w:val="FirstParagraph"/>
      </w:pPr>
      <w:r>
        <w:rPr>
          <w:bCs/>
          <w:b/>
        </w:rPr>
        <w:t xml:space="preserve">Leads / supports: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[[categories]]</w:t>
      </w:r>
    </w:p>
    <w:p>
      <w:pPr>
        <w:pStyle w:val="BodyText"/>
      </w:pPr>
      <w:r>
        <w:rPr>
          <w:rStyle w:val="VerbatimChar"/>
        </w:rPr>
        <w:t xml:space="preserve">[[Two short paragraphs: what they do, with specific numbers. GCC evaluates "direct hands-on experience within the specific service area", so name the service area explicitly. If you do not have a third named person, delete this block — a credible two-person core with a named associate bench is stronger than a padded roster.]]</w:t>
      </w:r>
    </w:p>
    <w:bookmarkEnd w:id="28"/>
    <w:bookmarkEnd w:id="29"/>
    <w:bookmarkStart w:id="30" w:name="category-specific-associates"/>
    <w:p>
      <w:pPr>
        <w:pStyle w:val="Heading2"/>
      </w:pPr>
      <w:r>
        <w:t xml:space="preserve">Category-specific associates</w:t>
      </w:r>
    </w:p>
    <w:p>
      <w:pPr>
        <w:pStyle w:val="FirstParagraph"/>
      </w:pPr>
      <w:r>
        <w:t xml:space="preserve">GCC’s model commissions engagements individually, by need and geography. We hold a vetted associate</w:t>
      </w:r>
      <w:r>
        <w:t xml:space="preserve"> </w:t>
      </w:r>
      <w:r>
        <w:t xml:space="preserve">bench we draw on for depth and local presence, engaged under our contract with LEAP remaining fully</w:t>
      </w:r>
      <w:r>
        <w:t xml:space="preserve"> </w:t>
      </w:r>
      <w:r>
        <w:t xml:space="preserve">responsible for delivery and quality.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[[Name]]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[[Regulatory / government engagement in named market]]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[[City, country]]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[[Name]]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[[Facilitation / curriculum design]]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[[City, country]]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[[Name]]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[[1 or 2]]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[[Sector specialism]]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[[City, country]]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Subcontracting disclosure.</w:t>
      </w:r>
      <w:r>
        <w:t xml:space="preserve"> </w:t>
      </w:r>
      <w:r>
        <w:t xml:space="preserve">Where an innovator’s need falls inside a category but outside our</w:t>
      </w:r>
      <w:r>
        <w:t xml:space="preserve"> </w:t>
      </w:r>
      <w:r>
        <w:t xml:space="preserve">named specialisation — for example, health-product regulatory registration under Category 4 — we</w:t>
      </w:r>
      <w:r>
        <w:t xml:space="preserve"> </w:t>
      </w:r>
      <w:r>
        <w:t xml:space="preserve">will say so and propose a named subcontractor for GCC’s approval before accepting the engagement,</w:t>
      </w:r>
      <w:r>
        <w:t xml:space="preserve"> </w:t>
      </w:r>
      <w:r>
        <w:t xml:space="preserve">rather than stretching to cover it.</w:t>
      </w:r>
    </w:p>
    <w:p>
      <w:pPr>
        <w:pStyle w:val="BodyText"/>
      </w:pPr>
      <w:r>
        <w:rPr>
          <w:bCs/>
          <w:b/>
        </w:rPr>
        <w:t xml:space="preserve">Resumes.</w:t>
      </w:r>
      <w:r>
        <w:t xml:space="preserve"> </w:t>
      </w:r>
      <w:r>
        <w:t xml:space="preserve">Full resumes for each named team member are attached as a separate file, evidencing</w:t>
      </w:r>
      <w:r>
        <w:t xml:space="preserve"> </w:t>
      </w:r>
      <w:r>
        <w:t xml:space="preserve">direct hands-on experience in the categories they lead.</w:t>
      </w:r>
      <w:r>
        <w:t xml:space="preserve"> </w:t>
      </w:r>
      <w:r>
        <w:rPr>
          <w:rStyle w:val="VerbatimChar"/>
        </w:rPr>
        <w:t xml:space="preserve">[[Attach: Soliman CV, Ashraf CV, plus any third member and associates you name above.]]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geographic-coverage-and-delivery-model"/>
    <w:p>
      <w:pPr>
        <w:pStyle w:val="Heading1"/>
      </w:pPr>
      <w:r>
        <w:t xml:space="preserve">3. Geographic Coverage and Delivery Model</w:t>
      </w:r>
    </w:p>
    <w:p>
      <w:pPr>
        <w:pStyle w:val="FirstParagraph"/>
      </w:pPr>
      <w:r>
        <w:rPr>
          <w:iCs/>
          <w:i/>
        </w:rPr>
        <w:t xml:space="preserve">(RFP §3.1 item 3 — 1–2 pages)</w:t>
      </w:r>
    </w:p>
    <w:bookmarkStart w:id="32" w:name="where-we-are-positioned-to-add-value"/>
    <w:p>
      <w:pPr>
        <w:pStyle w:val="Heading2"/>
      </w:pPr>
      <w:r>
        <w:t xml:space="preserve">Where we are positioned to add value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gives a GCC innovator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office, Cairo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delivery team on the ground. Regulatory frameworks, commercial norms, investor and banking networks, and the practical mechanics of operating in a large lower-middle-income market.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Saudi Arabia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engagements, in-market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and family-office capital; local partnership structures that determine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United Arab Emirates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engagements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regional capital hub most MENA innovators will eventually approach.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advisory engagements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Investor-side relationships.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and infrastructure engagements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Public-sector-adjacent programme experience.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We are strongest in Egypt and the wider Arabic-speaking region</w:t>
      </w:r>
      <w:r>
        <w:t xml:space="preserve"> </w:t>
      </w:r>
      <w:r>
        <w:t xml:space="preserve">— where our presence is physical</w:t>
      </w:r>
      <w:r>
        <w:t xml:space="preserve"> </w:t>
      </w:r>
      <w:r>
        <w:t xml:space="preserve">rather than remote, our network converts into introductions that actually happen, and we work in the</w:t>
      </w:r>
      <w:r>
        <w:t xml:space="preserve"> </w:t>
      </w:r>
      <w:r>
        <w:t xml:space="preserve">innovator’s own language. For GCC’s portfolio in North Africa and the Middle East we are a local</w:t>
      </w:r>
      <w:r>
        <w:t xml:space="preserve"> </w:t>
      </w:r>
      <w:r>
        <w:t xml:space="preserve">provider, not a global firm flying in.</w:t>
      </w:r>
      <w:r>
        <w:t xml:space="preserve"> </w:t>
      </w:r>
      <w:r>
        <w:rPr>
          <w:bCs/>
          <w:b/>
        </w:rPr>
        <w:t xml:space="preserve">Outside MENA we deliver remotely and deliberately:</w:t>
      </w:r>
      <w:r>
        <w:t xml:space="preserve"> </w:t>
      </w:r>
      <w:r>
        <w:t xml:space="preserve">Categories 1, 2 and 5 are analytical and facilitative and travel well to innovators anywhere with</w:t>
      </w:r>
      <w:r>
        <w:t xml:space="preserve"> </w:t>
      </w:r>
      <w:r>
        <w:t xml:space="preserve">reliable connectivity. We do not claim in-country presence we do not have, and for Category 4 we</w:t>
      </w:r>
      <w:r>
        <w:t xml:space="preserve"> </w:t>
      </w:r>
      <w:r>
        <w:t xml:space="preserve">accept engagements only in markets where we hold real standing or a named local associate.</w:t>
      </w:r>
    </w:p>
    <w:bookmarkEnd w:id="32"/>
    <w:bookmarkStart w:id="33" w:name="delivery-model"/>
    <w:p>
      <w:pPr>
        <w:pStyle w:val="Heading2"/>
      </w:pPr>
      <w:r>
        <w:t xml:space="preserve">Delivery model</w:t>
      </w:r>
    </w:p>
    <w:p>
      <w:pPr>
        <w:pStyle w:val="FirstParagraph"/>
      </w:pPr>
      <w:r>
        <w:rPr>
          <w:bCs/>
          <w:b/>
        </w:rPr>
        <w:t xml:space="preserve">Right-sized to stage.</w:t>
      </w:r>
      <w:r>
        <w:t xml:space="preserve"> </w:t>
      </w:r>
      <w:r>
        <w:t xml:space="preserve">High-touch where the decision is consequential and the innovator is close</w:t>
      </w:r>
      <w:r>
        <w:t xml:space="preserve"> </w:t>
      </w:r>
      <w:r>
        <w:t xml:space="preserve">to scale; low-touch where a focused diagnostic or group session does the job. We propose the lighter</w:t>
      </w:r>
      <w:r>
        <w:t xml:space="preserve"> </w:t>
      </w:r>
      <w:r>
        <w:t xml:space="preserve">option when it is sufficient, and say so.</w:t>
      </w:r>
    </w:p>
    <w:p>
      <w:pPr>
        <w:pStyle w:val="BodyText"/>
      </w:pPr>
      <w:r>
        <w:rPr>
          <w:bCs/>
          <w:b/>
        </w:rPr>
        <w:t xml:space="preserve">Time-bound and decision-centric.</w:t>
      </w:r>
      <w:r>
        <w:t xml:space="preserve"> </w:t>
      </w:r>
      <w:r>
        <w:t xml:space="preserve">Every engagement is scoped against one named decision, with a</w:t>
      </w:r>
      <w:r>
        <w:t xml:space="preserve"> </w:t>
      </w:r>
      <w:r>
        <w:t xml:space="preserve">duration agreed in advance, countable outputs and an end date. We do not run open-ended</w:t>
      </w:r>
      <w:r>
        <w:t xml:space="preserve"> </w:t>
      </w:r>
      <w:r>
        <w:t xml:space="preserve">capacity-strengthening.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Scoping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GCC and the innovator: the decision at stake, the barrier, what</w:t>
            </w:r>
            <w:r>
              <w:t xml:space="preserve"> </w:t>
            </w:r>
            <w:r>
              <w:t xml:space="preserve">“</w:t>
            </w:r>
            <w:r>
              <w:t xml:space="preserve">resolved</w:t>
            </w:r>
            <w:r>
              <w:t xml:space="preserve">”</w:t>
            </w:r>
            <w:r>
              <w:t xml:space="preserve"> </w:t>
            </w:r>
            <w:r>
              <w:t xml:space="preserve">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Scoping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page: objective, activities, outputs, hours, dates, what we need from the innovator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business days after the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sessions on a fixed cadence, in the innovator’s time zone, in Arabic or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Typically 4–10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 so the innovator can operate the outputs unaided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Close-out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GCC: what changed, what was decided, what we would watch, hours against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close</w:t>
            </w:r>
          </w:p>
        </w:tc>
      </w:tr>
    </w:tbl>
    <w:p>
      <w:pPr>
        <w:pStyle w:val="BodyText"/>
      </w:pPr>
      <w:r>
        <w:rPr>
          <w:bCs/>
          <w:b/>
        </w:rPr>
        <w:t xml:space="preserve">Languages.</w:t>
      </w:r>
      <w:r>
        <w:t xml:space="preserve"> </w:t>
      </w:r>
      <w:r>
        <w:t xml:space="preserve">Arabic and English at native or fluent standard across the core team.</w:t>
      </w:r>
      <w:r>
        <w:t xml:space="preserve"> </w:t>
      </w:r>
      <w:r>
        <w:rPr>
          <w:rStyle w:val="VerbatimChar"/>
        </w:rPr>
        <w:t xml:space="preserve">[[Add French or Spanish only with a named associate who delivers in them.]]</w:t>
      </w:r>
    </w:p>
    <w:p>
      <w:pPr>
        <w:pStyle w:val="BodyText"/>
      </w:pPr>
      <w:r>
        <w:rPr>
          <w:bCs/>
          <w:b/>
        </w:rPr>
        <w:t xml:space="preserve">Time zones and access.</w:t>
      </w:r>
      <w:r>
        <w:t xml:space="preserve"> </w:t>
      </w:r>
      <w:r>
        <w:t xml:space="preserve">Cairo (UTC+2/+3) overlaps a full working day with Africa, the Middle East,</w:t>
      </w:r>
      <w:r>
        <w:t xml:space="preserve"> </w:t>
      </w:r>
      <w:r>
        <w:t xml:space="preserve">Europe and South Asia, and mornings in the Americas; we schedule to the innovator’s hours. Sessions</w:t>
      </w:r>
      <w:r>
        <w:t xml:space="preserve"> </w:t>
      </w:r>
      <w:r>
        <w:t xml:space="preserve">run on low-bandwidth-tolerant platforms with recordings and written summaries, so intermittent</w:t>
      </w:r>
      <w:r>
        <w:t xml:space="preserve"> </w:t>
      </w:r>
      <w:r>
        <w:t xml:space="preserve">connectivity never shuts an innovator out of their own engagement.</w:t>
      </w:r>
    </w:p>
    <w:p>
      <w:pPr>
        <w:pStyle w:val="BodyText"/>
      </w:pPr>
      <w:r>
        <w:rPr>
          <w:bCs/>
          <w:b/>
        </w:rPr>
        <w:t xml:space="preserve">Travel.</w:t>
      </w:r>
      <w:r>
        <w:t xml:space="preserve"> </w:t>
      </w:r>
      <w:r>
        <w:t xml:space="preserve">Not proposed; our fees are built for remote delivery. Where GCC and an innovator judge an</w:t>
      </w:r>
      <w:r>
        <w:t xml:space="preserve"> </w:t>
      </w:r>
      <w:r>
        <w:t xml:space="preserve">in-person visit necessary, we quote it separately for prior written approval.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ur-approach-to-using-ai-responsibly"/>
    <w:p>
      <w:pPr>
        <w:pStyle w:val="Heading1"/>
      </w:pPr>
      <w:r>
        <w:t xml:space="preserve">4. Our Approach to Using AI Responsibly</w:t>
      </w:r>
    </w:p>
    <w:p>
      <w:pPr>
        <w:pStyle w:val="FirstParagraph"/>
      </w:pPr>
      <w:r>
        <w:rPr>
          <w:iCs/>
          <w:i/>
        </w:rPr>
        <w:t xml:space="preserve">(RFP §3.1 item 4 — 1 page; addresses §1.4 D)</w:t>
      </w:r>
    </w:p>
    <w:p>
      <w:pPr>
        <w:pStyle w:val="BodyText"/>
      </w:pPr>
      <w:r>
        <w:t xml:space="preserve">We use AI tools as an accelerant inside a controlled process. They never decide anything, and they</w:t>
      </w:r>
      <w:r>
        <w:t xml:space="preserve"> </w:t>
      </w:r>
      <w:r>
        <w:t xml:space="preserve">never sit between us and responsibility for our work. Our commitments map directly to §1.4 D:</w:t>
      </w:r>
    </w:p>
    <w:p>
      <w:pPr>
        <w:pStyle w:val="BodyText"/>
      </w:pPr>
      <w:r>
        <w:rPr>
          <w:bCs/>
          <w:b/>
        </w:rPr>
        <w:t xml:space="preserve">(a) Human review before anything leaves our hands.</w:t>
      </w:r>
      <w:r>
        <w:t xml:space="preserve"> </w:t>
      </w:r>
      <w:r>
        <w:t xml:space="preserve">No AI-generated output reaches GCC, its</w:t>
      </w:r>
      <w:r>
        <w:t xml:space="preserve"> </w:t>
      </w:r>
      <w:r>
        <w:t xml:space="preserve">representatives or an innovator until a named, qualified team member has reviewed and approved it.</w:t>
      </w:r>
      <w:r>
        <w:t xml:space="preserve"> </w:t>
      </w:r>
      <w:r>
        <w:t xml:space="preserve">For financial models, valuations and any quantitative output the reviewer is the Engagement Principal</w:t>
      </w:r>
      <w:r>
        <w:t xml:space="preserve"> </w:t>
      </w:r>
      <w:r>
        <w:t xml:space="preserve">or Senior Advisor — the same person who would sign the work if no AI had touched it. Review is logged</w:t>
      </w:r>
      <w:r>
        <w:t xml:space="preserve"> </w:t>
      </w:r>
      <w:r>
        <w:t xml:space="preserve">against the reviewer’s name.</w:t>
      </w:r>
    </w:p>
    <w:p>
      <w:pPr>
        <w:pStyle w:val="BodyText"/>
      </w:pPr>
      <w:r>
        <w:rPr>
          <w:bCs/>
          <w:b/>
        </w:rPr>
        <w:t xml:space="preserve">(b) Decisions stay with people.</w:t>
      </w:r>
      <w:r>
        <w:t xml:space="preserve"> </w:t>
      </w:r>
      <w:r>
        <w:t xml:space="preserve">AI is used for drafting, structuring, summarising, market</w:t>
      </w:r>
      <w:r>
        <w:t xml:space="preserve"> </w:t>
      </w:r>
      <w:r>
        <w:t xml:space="preserve">scanning, code assistance in model construction, and checking our own reasoning for gaps. It is never</w:t>
      </w:r>
      <w:r>
        <w:t xml:space="preserve"> </w:t>
      </w:r>
      <w:r>
        <w:t xml:space="preserve">used to select a recommendation, set an assumption, determine a valuation, or decide what an</w:t>
      </w:r>
      <w:r>
        <w:t xml:space="preserve"> </w:t>
      </w:r>
      <w:r>
        <w:t xml:space="preserve">innovator should do.</w:t>
      </w:r>
    </w:p>
    <w:p>
      <w:pPr>
        <w:pStyle w:val="BodyText"/>
      </w:pPr>
      <w:r>
        <w:rPr>
          <w:bCs/>
          <w:b/>
        </w:rPr>
        <w:t xml:space="preserve">(c) Full responsibility regardless of AI use.</w:t>
      </w:r>
      <w:r>
        <w:t xml:space="preserve"> </w:t>
      </w:r>
      <w:r>
        <w:t xml:space="preserve">Every figure in a model is traceable to a sourced</w:t>
      </w:r>
      <w:r>
        <w:t xml:space="preserve"> </w:t>
      </w:r>
      <w:r>
        <w:t xml:space="preserve">assumption; every recommendation is defensible on its analysis alone.</w:t>
      </w:r>
    </w:p>
    <w:p>
      <w:pPr>
        <w:pStyle w:val="BodyText"/>
      </w:pPr>
      <w:r>
        <w:rPr>
          <w:bCs/>
          <w:b/>
        </w:rPr>
        <w:t xml:space="preserve">(d) Disclosure on request.</w:t>
      </w:r>
      <w:r>
        <w:t xml:space="preserve"> </w:t>
      </w:r>
      <w:r>
        <w:t xml:space="preserve">We keep a per-engagement AI use log — tool, purpose, what it was</w:t>
      </w:r>
      <w:r>
        <w:t xml:space="preserve"> </w:t>
      </w:r>
      <w:r>
        <w:t xml:space="preserve">applied to, who reviewed it — available to GCC at any time.</w:t>
      </w:r>
    </w:p>
    <w:p>
      <w:pPr>
        <w:pStyle w:val="BodyText"/>
      </w:pPr>
      <w:r>
        <w:rPr>
          <w:bCs/>
          <w:b/>
        </w:rPr>
        <w:t xml:space="preserve">(e) Compliance with GCC policy.</w:t>
      </w:r>
      <w:r>
        <w:t xml:space="preserve"> </w:t>
      </w:r>
      <w:r>
        <w:t xml:space="preserve">We will adopt GCC’s AI policies and contract terms in full on</w:t>
      </w:r>
      <w:r>
        <w:t xml:space="preserve"> </w:t>
      </w:r>
      <w:r>
        <w:t xml:space="preserve">award, and brief every person on the engagement, associates included, before they start.</w:t>
      </w:r>
    </w:p>
    <w:p>
      <w:pPr>
        <w:pStyle w:val="BodyText"/>
      </w:pPr>
      <w:r>
        <w:rPr>
          <w:bCs/>
          <w:b/>
        </w:rPr>
        <w:t xml:space="preserve">Confidentiality is the hard line.</w:t>
      </w:r>
      <w:r>
        <w:t xml:space="preserve"> </w:t>
      </w:r>
      <w:r>
        <w:t xml:space="preserve">Innovator data — financials, cap tables, beneficiary data,</w:t>
      </w:r>
      <w:r>
        <w:t xml:space="preserve"> </w:t>
      </w:r>
      <w:r>
        <w:t xml:space="preserve">unpublished evidence, anything commercially sensitive — never enters a consumer AI tool or any</w:t>
      </w:r>
      <w:r>
        <w:t xml:space="preserve"> </w:t>
      </w:r>
      <w:r>
        <w:t xml:space="preserve">service that trains on inputs. We use enterprise configurations with training disabled and retention</w:t>
      </w:r>
      <w:r>
        <w:t xml:space="preserve"> </w:t>
      </w:r>
      <w:r>
        <w:t xml:space="preserve">controlled, or we do not use AI on that engagement. Where GCC or an innovator prefers no AI</w:t>
      </w:r>
      <w:r>
        <w:t xml:space="preserve"> </w:t>
      </w:r>
      <w:r>
        <w:t xml:space="preserve">involvement, we deliver without it and record that in the scoping note.</w:t>
      </w:r>
    </w:p>
    <w:p>
      <w:pPr>
        <w:pStyle w:val="BodyText"/>
      </w:pPr>
      <w:r>
        <w:rPr>
          <w:bCs/>
          <w:b/>
        </w:rPr>
        <w:t xml:space="preserve">We never</w:t>
      </w:r>
      <w:r>
        <w:t xml:space="preserve"> </w:t>
      </w:r>
      <w:r>
        <w:t xml:space="preserve">generate figures presented as findings, fabricate or fill gaps in evidence, let</w:t>
      </w:r>
      <w:r>
        <w:t xml:space="preserve"> </w:t>
      </w:r>
      <w:r>
        <w:t xml:space="preserve">unreviewed output reach an innovator, or process sensitive data in uncontrolled tools.</w:t>
      </w:r>
    </w:p>
    <w:p>
      <w:pPr>
        <w:pStyle w:val="BodyText"/>
      </w:pPr>
      <w:r>
        <w:rPr>
          <w:rStyle w:val="VerbatimChar"/>
        </w:rPr>
        <w:t xml:space="preserve">[[Optional: name your enterprise AI stack — the FAQ invites it, and named tools read as more credible than a generic commitment.]]</w:t>
      </w:r>
    </w:p>
    <w:p>
      <w:r>
        <w:pict>
          <v:rect style="width:0;height:1.5pt" o:hralign="center" o:hrstd="t" o:hr="t"/>
        </w:pict>
      </w:r>
    </w:p>
    <w:bookmarkEnd w:id="35"/>
    <w:bookmarkStart w:id="36" w:name="professional-references"/>
    <w:p>
      <w:pPr>
        <w:pStyle w:val="Heading1"/>
      </w:pPr>
      <w:r>
        <w:t xml:space="preserve">5. Professional References</w:t>
      </w:r>
    </w:p>
    <w:p>
      <w:pPr>
        <w:pStyle w:val="FirstParagraph"/>
      </w:pPr>
      <w:r>
        <w:rPr>
          <w:iCs/>
          <w:i/>
        </w:rPr>
        <w:t xml:space="preserve">(RFP §3.1 item 5 — 1 page. GCC will contact references directly.)</w:t>
      </w:r>
    </w:p>
    <w:p>
      <w:pPr>
        <w:pStyle w:val="BlockText"/>
      </w:pPr>
      <w:r>
        <w:rPr>
          <w:bCs/>
          <w:b/>
        </w:rPr>
        <w:t xml:space="preserve">Complete this yourself.</w:t>
      </w:r>
      <w:r>
        <w:t xml:space="preserve"> </w:t>
      </w:r>
      <w:r>
        <w:t xml:space="preserve">Track record is 30% of the score and GCC validates it on these calls.</w:t>
      </w:r>
      <w:r>
        <w:t xml:space="preserve"> </w:t>
      </w:r>
      <w:r>
        <w:t xml:space="preserve">Confirm each referee is willing and briefed on the engagement they will be asked about. Per the</w:t>
      </w:r>
      <w:r>
        <w:t xml:space="preserve"> </w:t>
      </w:r>
      <w:r>
        <w:t xml:space="preserve">FAQ, choose referees outside GCC where possible.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&amp; 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Category(ies)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and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[[1]]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[[Engagement, month/year]]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[[1, 2]]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[[2]]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[[4]]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[[5]]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[[...]]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check before you submit:</w:t>
      </w:r>
      <w:r>
        <w:t xml:space="preserve"> </w:t>
      </w:r>
      <w:r>
        <w:t xml:space="preserve">every category you apply to should be covered by at least one</w:t>
      </w:r>
      <w:r>
        <w:t xml:space="preserve"> </w:t>
      </w:r>
      <w:r>
        <w:t xml:space="preserve">reference. On the table above that means Categories 1, 2, 4 and 5 each appear at least once.</w:t>
      </w:r>
    </w:p>
    <w:p>
      <w:pPr>
        <w:pStyle w:val="BodyText"/>
      </w:pPr>
      <w:r>
        <w:rPr>
          <w:rStyle w:val="VerbatimChar"/>
        </w:rPr>
        <w:t xml:space="preserve">[[If you would like advance notice before GCC contacts a particular referee, say so here — the FAQ confirms GCC will try to accommodate that request.]]</w:t>
      </w:r>
    </w:p>
    <w:bookmarkEnd w:id="36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4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2026-09-15T07:14:46Z</dcterms:created>
  <dcterms:modified xsi:type="dcterms:W3CDTF">2026-09-15T07:14:46Z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