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ategory-outline-category-2"/>
    <w:p>
      <w:pPr>
        <w:pStyle w:val="Heading1"/>
      </w:pPr>
      <w:r>
        <w:t xml:space="preserve">CATEGORY OUTLINE — CATEGORY 2</w:t>
      </w:r>
    </w:p>
    <w:bookmarkStart w:id="20" w:name="X9ba2eb53d198d0016c13df2f613d5f5bc7d8464"/>
    <w:p>
      <w:pPr>
        <w:pStyle w:val="Heading2"/>
      </w:pPr>
      <w:r>
        <w:t xml:space="preserve">Business Models and Operations for Growth</w:t>
      </w:r>
    </w:p>
    <w:p>
      <w:pPr>
        <w:pStyle w:val="FirstParagraph"/>
      </w:pPr>
      <w:r>
        <w:rPr>
          <w:bCs/>
          <w:b/>
        </w:rPr>
        <w:t xml:space="preserve">LEAP Consulting · RFP-VA-2026-09-18 · Grand Challenges Canada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Xd91ddb92e519df2c03a4de4d995573c8c546dd7"/>
    <w:p>
      <w:pPr>
        <w:pStyle w:val="Heading1"/>
      </w:pPr>
      <w:r>
        <w:t xml:space="preserve">6. Proposed Approach and Engagement Structure</w:t>
      </w:r>
    </w:p>
    <w:p>
      <w:pPr>
        <w:pStyle w:val="FirstParagraph"/>
      </w:pPr>
      <w:r>
        <w:rPr>
          <w:iCs/>
          <w:i/>
        </w:rPr>
        <w:t xml:space="preserve">(RFP §3.1 item 6 — 3 pages)</w:t>
      </w:r>
    </w:p>
    <w:bookmarkStart w:id="22" w:name="the-problem-we-are-engaged-to-solve"/>
    <w:p>
      <w:pPr>
        <w:pStyle w:val="Heading2"/>
      </w:pPr>
      <w:r>
        <w:t xml:space="preserve">The problem we are engaged to solve</w:t>
      </w:r>
    </w:p>
    <w:p>
      <w:pPr>
        <w:pStyle w:val="FirstParagraph"/>
      </w:pPr>
      <w:r>
        <w:t xml:space="preserve">A model that works at 500 beneficiaries can fail at 5,000 for reasons that are invisible at the</w:t>
      </w:r>
      <w:r>
        <w:t xml:space="preserve"> </w:t>
      </w:r>
      <w:r>
        <w:t xml:space="preserve">smaller number: a cost per unit that only looked viable because a founder was absorbing unpaid work;</w:t>
      </w:r>
      <w:r>
        <w:t xml:space="preserve"> </w:t>
      </w:r>
      <w:r>
        <w:t xml:space="preserve">a delivery system that depends on one person’s judgement; a payer who reimburses on a cycle the cash</w:t>
      </w:r>
      <w:r>
        <w:t xml:space="preserve"> </w:t>
      </w:r>
      <w:r>
        <w:t xml:space="preserve">position cannot survive; a margin that inverts the moment the service reaches beyond the easy</w:t>
      </w:r>
      <w:r>
        <w:t xml:space="preserve"> </w:t>
      </w:r>
      <w:r>
        <w:t xml:space="preserve">catchment.</w:t>
      </w:r>
    </w:p>
    <w:p>
      <w:pPr>
        <w:pStyle w:val="BodyText"/>
      </w:pPr>
      <w:r>
        <w:t xml:space="preserve">Our work is to find where the model breaks before the innovator scales into it — and to specify what</w:t>
      </w:r>
      <w:r>
        <w:t xml:space="preserve"> </w:t>
      </w:r>
      <w:r>
        <w:t xml:space="preserve">has to change first.</w:t>
      </w:r>
    </w:p>
    <w:bookmarkEnd w:id="22"/>
    <w:bookmarkStart w:id="23" w:name="our-operating-principle"/>
    <w:p>
      <w:pPr>
        <w:pStyle w:val="Heading2"/>
      </w:pPr>
      <w:r>
        <w:t xml:space="preserve">Our operating principle</w:t>
      </w:r>
    </w:p>
    <w:p>
      <w:pPr>
        <w:pStyle w:val="FirstParagraph"/>
      </w:pPr>
      <w:r>
        <w:t xml:space="preserve">Unit economics are the backbone. Every operating question we work on — cost structure, delivery</w:t>
      </w:r>
      <w:r>
        <w:t xml:space="preserve"> </w:t>
      </w:r>
      <w:r>
        <w:t xml:space="preserve">design, pricing, staffing, digital tooling — resolves into whether a unit of service can be delivered</w:t>
      </w:r>
      <w:r>
        <w:t xml:space="preserve"> </w:t>
      </w:r>
      <w:r>
        <w:t xml:space="preserve">sustainably at the volume the innovator intends, and what has to be true for that to hold. We build</w:t>
      </w:r>
      <w:r>
        <w:t xml:space="preserve"> </w:t>
      </w:r>
      <w:r>
        <w:t xml:space="preserve">that arithmetic honestly, including the costs founders habitually leave out, and we let the numbers</w:t>
      </w:r>
      <w:r>
        <w:t xml:space="preserve"> </w:t>
      </w:r>
      <w:r>
        <w:t xml:space="preserve">set the priority order.</w:t>
      </w:r>
    </w:p>
    <w:bookmarkEnd w:id="23"/>
    <w:bookmarkStart w:id="24" w:name="how-we-scope-an-engagement"/>
    <w:p>
      <w:pPr>
        <w:pStyle w:val="Heading2"/>
      </w:pPr>
      <w:r>
        <w:t xml:space="preserve">How we scope an engagement</w:t>
      </w:r>
    </w:p>
    <w:p>
      <w:pPr>
        <w:pStyle w:val="FirstParagraph"/>
      </w:pPr>
      <w:r>
        <w:t xml:space="preserve">Identical rhythm to our Category 1 work, so an innovator receiving both experiences one provider, not</w:t>
      </w:r>
      <w:r>
        <w:t xml:space="preserve"> </w:t>
      </w:r>
      <w:r>
        <w:t xml:space="preserve">two: triage call within 5 business days → one-page scoping note within 3 days → structured evidence</w:t>
      </w:r>
      <w:r>
        <w:t xml:space="preserve"> </w:t>
      </w:r>
      <w:r>
        <w:t xml:space="preserve">intake → build and pressure-test → decision session → handover and close-out note to GCC.</w:t>
      </w:r>
    </w:p>
    <w:bookmarkEnd w:id="24"/>
    <w:bookmarkStart w:id="25" w:name="what-we-deliver-by-barrier"/>
    <w:p>
      <w:pPr>
        <w:pStyle w:val="Heading2"/>
      </w:pPr>
      <w:r>
        <w:t xml:space="preserve">What we deliver, by barrier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We do not know what will break when we grow.</w:t>
      </w:r>
      <w:r>
        <w:rPr>
          <w:bCs/>
          <w:b/>
        </w:rPr>
        <w:t xml:space="preserve">”</w:t>
      </w:r>
      <w:r>
        <w:t xml:space="preserve"> </w:t>
      </w:r>
      <w:r>
        <w:rPr>
          <w:iCs/>
          <w:i/>
        </w:rPr>
        <w:t xml:space="preserve">Scale Barrier Diagnostic.</w:t>
      </w:r>
      <w:r>
        <w:t xml:space="preserve"> </w:t>
      </w:r>
      <w:r>
        <w:t xml:space="preserve">We map the delivery chain end to end and test each link against the target</w:t>
      </w:r>
      <w:r>
        <w:t xml:space="preserve"> </w:t>
      </w:r>
      <w:r>
        <w:t xml:space="preserve">volume: capacity ceilings, cost behaviour as volume rises, dependency on named individuals, supply and</w:t>
      </w:r>
      <w:r>
        <w:t xml:space="preserve"> </w:t>
      </w:r>
      <w:r>
        <w:t xml:space="preserve">procurement constraints, payer and collection cycles, quality-control limits. Output is a ranked</w:t>
      </w:r>
      <w:r>
        <w:t xml:space="preserve"> </w:t>
      </w:r>
      <w:r>
        <w:t xml:space="preserve">barrier register — what breaks, at what volume, what it costs to fix, and what happens if it is not</w:t>
      </w:r>
      <w:r>
        <w:t xml:space="preserve"> </w:t>
      </w:r>
      <w:r>
        <w:t xml:space="preserve">fixed. Ranked by binding constraint, so the innovator works on the one that actually holds them back.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Our economics do not add up and we are not sure why.</w:t>
      </w:r>
      <w:r>
        <w:rPr>
          <w:bCs/>
          <w:b/>
        </w:rPr>
        <w:t xml:space="preserve">”</w:t>
      </w:r>
      <w:r>
        <w:t xml:space="preserve"> </w:t>
      </w:r>
      <w:r>
        <w:rPr>
          <w:iCs/>
          <w:i/>
        </w:rPr>
        <w:t xml:space="preserve">Unit Economics and Cost Structure Rebuild.</w:t>
      </w:r>
      <w:r>
        <w:t xml:space="preserve"> </w:t>
      </w:r>
      <w:r>
        <w:t xml:space="preserve">We define the true unit, then build cost per unit from</w:t>
      </w:r>
      <w:r>
        <w:t xml:space="preserve"> </w:t>
      </w:r>
      <w:r>
        <w:t xml:space="preserve">the ground up — direct delivery cost, allocated overhead, the founder and volunteer time that is</w:t>
      </w:r>
      <w:r>
        <w:t xml:space="preserve"> </w:t>
      </w:r>
      <w:r>
        <w:t xml:space="preserve">really a cost, customer or beneficiary acquisition cost, and the cost of failed or repeated service.</w:t>
      </w:r>
      <w:r>
        <w:t xml:space="preserve"> </w:t>
      </w:r>
      <w:r>
        <w:t xml:space="preserve">We model how each behaves as volume rises: what is genuinely fixed, what is variable, what is</w:t>
      </w:r>
      <w:r>
        <w:t xml:space="preserve"> </w:t>
      </w:r>
      <w:r>
        <w:t xml:space="preserve">step-fixed and jumps at a threshold. Output is a live unit-economics model the innovator operates,</w:t>
      </w:r>
      <w:r>
        <w:t xml:space="preserve"> </w:t>
      </w:r>
      <w:r>
        <w:t xml:space="preserve">showing contribution per unit today, the break-even volume, and the specific levers that move it.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Our operating model was designed for a smaller organisation.</w:t>
      </w:r>
      <w:r>
        <w:rPr>
          <w:bCs/>
          <w:b/>
        </w:rPr>
        <w:t xml:space="preserve">”</w:t>
      </w:r>
      <w:r>
        <w:t xml:space="preserve"> </w:t>
      </w:r>
      <w:r>
        <w:rPr>
          <w:iCs/>
          <w:i/>
        </w:rPr>
        <w:t xml:space="preserve">Operating Model Design.</w:t>
      </w:r>
      <w:r>
        <w:t xml:space="preserve"> </w:t>
      </w:r>
      <w:r>
        <w:t xml:space="preserve">Service delivery design, role and decision-rights mapping, process</w:t>
      </w:r>
      <w:r>
        <w:t xml:space="preserve"> </w:t>
      </w:r>
      <w:r>
        <w:t xml:space="preserve">standardisation where variance is expensive, make-versus-buy and partnership decisions, and the</w:t>
      </w:r>
      <w:r>
        <w:t xml:space="preserve"> </w:t>
      </w:r>
      <w:r>
        <w:t xml:space="preserve">staffing and cost plan that supports the target volume. We specify the operating model the innovator</w:t>
      </w:r>
      <w:r>
        <w:t xml:space="preserve"> </w:t>
      </w:r>
      <w:r>
        <w:t xml:space="preserve">is scaling into, and the sequence and cost to get from here to there.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We think technology could make us more efficient but we do not know where.</w:t>
      </w:r>
      <w:r>
        <w:rPr>
          <w:bCs/>
          <w:b/>
        </w:rPr>
        <w:t xml:space="preserve">”</w:t>
      </w:r>
      <w:r>
        <w:t xml:space="preserve"> </w:t>
      </w:r>
      <w:r>
        <w:rPr>
          <w:iCs/>
          <w:i/>
        </w:rPr>
        <w:t xml:space="preserve">Digital and AI Efficiency Review.</w:t>
      </w:r>
      <w:r>
        <w:t xml:space="preserve"> </w:t>
      </w:r>
      <w:r>
        <w:t xml:space="preserve">We start from the cost and time data, not from the technology: we</w:t>
      </w:r>
      <w:r>
        <w:t xml:space="preserve"> </w:t>
      </w:r>
      <w:r>
        <w:t xml:space="preserve">identify where staff time actually goes, then assess which of those activities can responsibly be</w:t>
      </w:r>
      <w:r>
        <w:t xml:space="preserve"> </w:t>
      </w:r>
      <w:r>
        <w:t xml:space="preserve">automated or assisted, and which cannot. We are explicit about where AI should not be used —</w:t>
      </w:r>
      <w:r>
        <w:t xml:space="preserve"> </w:t>
      </w:r>
      <w:r>
        <w:t xml:space="preserve">clinical judgement, safeguarding decisions, anything requiring accountable human review, and any</w:t>
      </w:r>
      <w:r>
        <w:t xml:space="preserve"> </w:t>
      </w:r>
      <w:r>
        <w:t xml:space="preserve">workflow handling sensitive beneficiary data in tools that do not control retention. Output is a</w:t>
      </w:r>
      <w:r>
        <w:t xml:space="preserve"> </w:t>
      </w:r>
      <w:r>
        <w:t xml:space="preserve">prioritised shortlist with implementation cost, realistic time saved, risks, and an honest</w:t>
      </w:r>
      <w:r>
        <w:t xml:space="preserve"> </w:t>
      </w:r>
      <w:r>
        <w:t xml:space="preserve">“</w:t>
      </w:r>
      <w:r>
        <w:t xml:space="preserve">do not do</w:t>
      </w:r>
      <w:r>
        <w:t xml:space="preserve"> </w:t>
      </w:r>
      <w:r>
        <w:t xml:space="preserve">this</w:t>
      </w:r>
      <w:r>
        <w:t xml:space="preserve">”</w:t>
      </w:r>
      <w:r>
        <w:t xml:space="preserve"> </w:t>
      </w:r>
      <w:r>
        <w:t xml:space="preserve">column. We recommend leaving a process manual more often than innovators expect.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We have a growth plan but no costed path to it.</w:t>
      </w:r>
      <w:r>
        <w:rPr>
          <w:bCs/>
          <w:b/>
        </w:rPr>
        <w:t xml:space="preserve">”</w:t>
      </w:r>
      <w:r>
        <w:t xml:space="preserve"> </w:t>
      </w:r>
      <w:r>
        <w:rPr>
          <w:iCs/>
          <w:i/>
        </w:rPr>
        <w:t xml:space="preserve">Growth Plan and Implementation Roadmap.</w:t>
      </w:r>
      <w:r>
        <w:t xml:space="preserve"> </w:t>
      </w:r>
      <w:r>
        <w:t xml:space="preserve">Growth built on demonstrated absorption capacity and</w:t>
      </w:r>
      <w:r>
        <w:t xml:space="preserve"> </w:t>
      </w:r>
      <w:r>
        <w:t xml:space="preserve">defensible unit economics rather than ambition — phased volume targets, the capability and hiring</w:t>
      </w:r>
      <w:r>
        <w:t xml:space="preserve"> </w:t>
      </w:r>
      <w:r>
        <w:t xml:space="preserve">plan behind them, the capital requirement each phase implies, and a KPI tree the leadership team can</w:t>
      </w:r>
      <w:r>
        <w:t xml:space="preserve"> </w:t>
      </w:r>
      <w:r>
        <w:t xml:space="preserve">actually run against.</w:t>
      </w:r>
    </w:p>
    <w:bookmarkEnd w:id="25"/>
    <w:bookmarkStart w:id="26" w:name="how-this-fits-gccs-operating-model"/>
    <w:p>
      <w:pPr>
        <w:pStyle w:val="Heading2"/>
      </w:pPr>
      <w:r>
        <w:t xml:space="preserve">How this fits GCC’s operating model</w:t>
      </w:r>
    </w:p>
    <w:p>
      <w:pPr>
        <w:pStyle w:val="FirstParagraph"/>
      </w:pPr>
      <w:r>
        <w:t xml:space="preserve">Time-bound, decision-centric, individually commissioned, invoiced against a maximum contract amount,</w:t>
      </w:r>
      <w:r>
        <w:t xml:space="preserve"> </w:t>
      </w:r>
      <w:r>
        <w:t xml:space="preserve">reported to GCC through scoping and close-out notes. Where a diagnostic reveals the binding</w:t>
      </w:r>
      <w:r>
        <w:t xml:space="preserve"> </w:t>
      </w:r>
      <w:r>
        <w:t xml:space="preserve">constraint is financial rather than operational — or the reverse — we say so and recommend the right</w:t>
      </w:r>
      <w:r>
        <w:t xml:space="preserve"> </w:t>
      </w:r>
      <w:r>
        <w:t xml:space="preserve">category, including where that means another provider.</w:t>
      </w:r>
    </w:p>
    <w:p>
      <w:pPr>
        <w:pStyle w:val="BodyText"/>
      </w:pPr>
      <w:r>
        <w:t xml:space="preserve">Our close-out notes carry portfolio-level observations: where several innovators share a structural</w:t>
      </w:r>
      <w:r>
        <w:t xml:space="preserve"> </w:t>
      </w:r>
      <w:r>
        <w:t xml:space="preserve">barrier, a single Category 5 cohort session is better value to GCC than five separate engagements,</w:t>
      </w:r>
      <w:r>
        <w:t xml:space="preserve"> </w:t>
      </w:r>
      <w:r>
        <w:t xml:space="preserve">and we will say so even though it is the smaller commission.</w:t>
      </w:r>
    </w:p>
    <w:bookmarkEnd w:id="26"/>
    <w:bookmarkStart w:id="27" w:name="how-we-track-whether-it-worked"/>
    <w:p>
      <w:pPr>
        <w:pStyle w:val="Heading2"/>
      </w:pPr>
      <w:r>
        <w:t xml:space="preserve">How we track whether it worked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Measured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Barrier register produced and prioritised with the innovator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Close-out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Unit-economics model operated by the innovator unaided at 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Follow-up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in contribution per unit, or in break-even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Model-verified against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Decisions taken on the operating model within the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Innovator-confirmed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 served against plan at 6 months, where scaling followed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Innovator-reported</w:t>
            </w:r>
          </w:p>
        </w:tc>
      </w:tr>
    </w:tbl>
    <w:p>
      <w:pPr>
        <w:pStyle w:val="BodyText"/>
      </w:pPr>
      <w:r>
        <w:t xml:space="preserve">We record the baseline at the start of every engagement so that any claimed improvement is measured</w:t>
      </w:r>
      <w:r>
        <w:t xml:space="preserve"> </w:t>
      </w:r>
      <w:r>
        <w:t xml:space="preserve">against a number we can both point to, rather than asserted afterwards.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previous-success"/>
    <w:p>
      <w:pPr>
        <w:pStyle w:val="Heading1"/>
      </w:pPr>
      <w:r>
        <w:t xml:space="preserve">7. Previous Success</w:t>
      </w:r>
    </w:p>
    <w:p>
      <w:pPr>
        <w:pStyle w:val="FirstParagraph"/>
      </w:pPr>
      <w:r>
        <w:rPr>
          <w:iCs/>
          <w:i/>
        </w:rPr>
        <w:t xml:space="preserve">(RFP §3.1 item 7 — 2–3 pages)</w:t>
      </w:r>
    </w:p>
    <w:p>
      <w:pPr>
        <w:pStyle w:val="BlockText"/>
      </w:pPr>
      <w:r>
        <w:rPr>
          <w:bCs/>
          <w:b/>
        </w:rPr>
        <w:t xml:space="preserve">Complete before submission.</w:t>
      </w:r>
      <w:r>
        <w:t xml:space="preserve"> </w:t>
      </w:r>
      <w:r>
        <w:t xml:space="preserve">Same discipline as Category 1: real engagements, honest framing,</w:t>
      </w:r>
      <w:r>
        <w:t xml:space="preserve"> </w:t>
      </w:r>
      <w:r>
        <w:t xml:space="preserve">and every</w:t>
      </w:r>
      <w:r>
        <w:t xml:space="preserve"> </w:t>
      </w:r>
      <w:r>
        <w:rPr>
          <w:rStyle w:val="VerbatimChar"/>
        </w:rPr>
        <w:t xml:space="preserve">[[...]]</w:t>
      </w:r>
      <w:r>
        <w:t xml:space="preserve"> </w:t>
      </w:r>
      <w:r>
        <w:t xml:space="preserve">either filled with a verified number or cut. The FAQ confirms examples may be</w:t>
      </w:r>
      <w:r>
        <w:t xml:space="preserve"> </w:t>
      </w:r>
      <w:r>
        <w:t xml:space="preserve">repeated across categories where genuinely relevant — Example 2 below is the Category 1 mix</w:t>
      </w:r>
      <w:r>
        <w:t xml:space="preserve"> </w:t>
      </w:r>
      <w:r>
        <w:t xml:space="preserve">analysis told from the operating-economics angle, which is legitimate, but do not repeat all three.</w:t>
      </w:r>
    </w:p>
    <w:bookmarkStart w:id="29" w:name="Xb4f0c1d5d23008d617be38d4c5a0dc5ef158988"/>
    <w:p>
      <w:pPr>
        <w:pStyle w:val="Heading2"/>
      </w:pPr>
      <w:r>
        <w:t xml:space="preserve">Example 1 — Rebuilding a model’s economics before committing capital</w:t>
      </w:r>
    </w:p>
    <w:p>
      <w:pPr>
        <w:pStyle w:val="FirstParagraph"/>
      </w:pPr>
      <w:r>
        <w:rPr>
          <w:bCs/>
          <w:b/>
        </w:rPr>
        <w:t xml:space="preserve">Client:</w:t>
      </w:r>
      <w:r>
        <w:t xml:space="preserve"> </w:t>
      </w:r>
      <w:r>
        <w:rPr>
          <w:rStyle w:val="VerbatimChar"/>
        </w:rPr>
        <w:t xml:space="preserve">[[Name or descriptor]]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Period:</w:t>
      </w:r>
      <w:r>
        <w:t xml:space="preserve"> </w:t>
      </w:r>
      <w:r>
        <w:rPr>
          <w:rStyle w:val="VerbatimChar"/>
        </w:rPr>
        <w:t xml:space="preserve">[[...]]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Reference:</w:t>
      </w:r>
      <w:r>
        <w:t xml:space="preserve"> </w:t>
      </w:r>
      <w:r>
        <w:rPr>
          <w:rStyle w:val="VerbatimChar"/>
        </w:rPr>
        <w:t xml:space="preserve">[[#]]</w:t>
      </w:r>
    </w:p>
    <w:p>
      <w:pPr>
        <w:pStyle w:val="BodyText"/>
      </w:pPr>
      <w:r>
        <w:rPr>
          <w:bCs/>
          <w:b/>
        </w:rPr>
        <w:t xml:space="preserve">The problem.</w:t>
      </w:r>
      <w:r>
        <w:t xml:space="preserve"> </w:t>
      </w:r>
      <w:r>
        <w:rPr>
          <w:rStyle w:val="VerbatimChar"/>
        </w:rPr>
        <w:t xml:space="preserve">[[Choose your strongest engagement where you rebuilt a venture's unit economics or cost structure and the client changed what they did as a result. From the 100+ ventures advised, pick one where you can name the before-and-after numbers and the referee can confirm them. This is the single most important example in this outline — Appendix A weights track record at 30% and asks specifically for "examples where your input made a demonstrable difference".]]</w:t>
      </w:r>
    </w:p>
    <w:p>
      <w:pPr>
        <w:pStyle w:val="BodyText"/>
      </w:pPr>
      <w:r>
        <w:rPr>
          <w:bCs/>
          <w:b/>
        </w:rPr>
        <w:t xml:space="preserve">What we did.</w:t>
      </w:r>
      <w:r>
        <w:t xml:space="preserve"> </w:t>
      </w:r>
      <w:r>
        <w:rPr>
          <w:rStyle w:val="VerbatimChar"/>
        </w:rPr>
        <w:t xml:space="preserve">[[The specific analysis, the specific finding.]]</w:t>
      </w:r>
    </w:p>
    <w:p>
      <w:pPr>
        <w:pStyle w:val="BodyText"/>
      </w:pPr>
      <w:r>
        <w:rPr>
          <w:bCs/>
          <w:b/>
        </w:rPr>
        <w:t xml:space="preserve">What changed.</w:t>
      </w:r>
      <w:r>
        <w:t xml:space="preserve"> </w:t>
      </w:r>
      <w:r>
        <w:rPr>
          <w:rStyle w:val="VerbatimChar"/>
        </w:rPr>
        <w:t xml:space="preserve">[[The decision the client took, and the measurable consequence.]]</w:t>
      </w:r>
      <w:r>
        <w:t xml:space="preserve"> </w:t>
      </w:r>
      <w:r>
        <w:rPr>
          <w:bCs/>
          <w:b/>
        </w:rPr>
        <w:t xml:space="preserve">Attribution:</w:t>
      </w:r>
      <w:r>
        <w:t xml:space="preserve"> </w:t>
      </w:r>
      <w:r>
        <w:rPr>
          <w:rStyle w:val="VerbatimChar"/>
        </w:rPr>
        <w:t xml:space="preserve">[[What was yours, what was theirs.]]</w:t>
      </w:r>
    </w:p>
    <w:bookmarkEnd w:id="29"/>
    <w:bookmarkStart w:id="30" w:name="Xe036b6d6ff428057d0ed9aef51cf11ec6e71109"/>
    <w:p>
      <w:pPr>
        <w:pStyle w:val="Heading2"/>
      </w:pPr>
      <w:r>
        <w:t xml:space="preserve">Example 2 — Product mix modelling that changed the economics of a development</w:t>
      </w:r>
    </w:p>
    <w:p>
      <w:pPr>
        <w:pStyle w:val="FirstParagraph"/>
      </w:pPr>
      <w:r>
        <w:rPr>
          <w:bCs/>
          <w:b/>
        </w:rPr>
        <w:t xml:space="preserve">Client:</w:t>
      </w:r>
      <w:r>
        <w:t xml:space="preserve"> </w:t>
      </w:r>
      <w:r>
        <w:rPr>
          <w:rStyle w:val="VerbatimChar"/>
        </w:rPr>
        <w:t xml:space="preserve">[[Name or descriptor]]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Period:</w:t>
      </w:r>
      <w:r>
        <w:t xml:space="preserve"> </w:t>
      </w:r>
      <w:r>
        <w:rPr>
          <w:rStyle w:val="VerbatimChar"/>
        </w:rPr>
        <w:t xml:space="preserve">[[...]]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Reference:</w:t>
      </w:r>
      <w:r>
        <w:t xml:space="preserve"> </w:t>
      </w:r>
      <w:r>
        <w:rPr>
          <w:rStyle w:val="VerbatimChar"/>
        </w:rPr>
        <w:t xml:space="preserve">[[#]]</w:t>
      </w:r>
    </w:p>
    <w:p>
      <w:pPr>
        <w:pStyle w:val="BodyText"/>
      </w:pPr>
      <w:r>
        <w:rPr>
          <w:bCs/>
          <w:b/>
        </w:rPr>
        <w:t xml:space="preserve">The problem.</w:t>
      </w:r>
      <w:r>
        <w:t xml:space="preserve"> </w:t>
      </w:r>
      <w:r>
        <w:t xml:space="preserve">A development was proceeding on a configuration chosen by convention. Nobody had</w:t>
      </w:r>
      <w:r>
        <w:t xml:space="preserve"> </w:t>
      </w:r>
      <w:r>
        <w:t xml:space="preserve">tested whether the same asset, configured differently, would produce materially better economics —</w:t>
      </w:r>
      <w:r>
        <w:t xml:space="preserve"> </w:t>
      </w:r>
      <w:r>
        <w:t xml:space="preserve">and the decision window was closing.</w:t>
      </w:r>
    </w:p>
    <w:p>
      <w:pPr>
        <w:pStyle w:val="BodyText"/>
      </w:pPr>
      <w:r>
        <w:rPr>
          <w:bCs/>
          <w:b/>
        </w:rPr>
        <w:t xml:space="preserve">What we did.</w:t>
      </w:r>
      <w:r>
        <w:t xml:space="preserve"> </w:t>
      </w:r>
      <w:r>
        <w:t xml:space="preserve">Fifteen full scenarios, each modelled against achievable price per square metre by</w:t>
      </w:r>
      <w:r>
        <w:t xml:space="preserve"> </w:t>
      </w:r>
      <w:r>
        <w:t xml:space="preserve">type, real local absorption capacity, cost structure by typology, and the resulting return. We</w:t>
      </w:r>
      <w:r>
        <w:t xml:space="preserve"> </w:t>
      </w:r>
      <w:r>
        <w:t xml:space="preserve">presented the trade-off frontier rather than a single recommendation, so the client could see what</w:t>
      </w:r>
      <w:r>
        <w:t xml:space="preserve"> </w:t>
      </w:r>
      <w:r>
        <w:t xml:space="preserve">each configuration cost and returned.</w:t>
      </w:r>
    </w:p>
    <w:p>
      <w:pPr>
        <w:pStyle w:val="BodyText"/>
      </w:pPr>
      <w:r>
        <w:rPr>
          <w:bCs/>
          <w:b/>
        </w:rPr>
        <w:t xml:space="preserve">What changed.</w:t>
      </w:r>
      <w:r>
        <w:t xml:space="preserve"> </w:t>
      </w:r>
      <w:r>
        <w:t xml:space="preserve">The client reconfigured toward the segment the analysis showed to be</w:t>
      </w:r>
      <w:r>
        <w:t xml:space="preserve"> </w:t>
      </w:r>
      <w:r>
        <w:t xml:space="preserve">supply-constrained, capturing a higher price per square metre and improving projected returns</w:t>
      </w:r>
      <w:r>
        <w:t xml:space="preserve"> </w:t>
      </w:r>
      <w:r>
        <w:rPr>
          <w:rStyle w:val="VerbatimChar"/>
        </w:rPr>
        <w:t xml:space="preserve">[[from X% to Y% — insert or delete]]</w:t>
      </w:r>
      <w:r>
        <w:t xml:space="preserve">, with the decision taken before the configuration locked.</w:t>
      </w:r>
      <w:r>
        <w:t xml:space="preserve"> </w:t>
      </w:r>
      <w:r>
        <w:rPr>
          <w:bCs/>
          <w:b/>
        </w:rPr>
        <w:t xml:space="preserve">Attribution:</w:t>
      </w:r>
      <w:r>
        <w:t xml:space="preserve"> </w:t>
      </w:r>
      <w:r>
        <w:t xml:space="preserve">the scenario analysis was ours; the decision and execution were the client’s.</w:t>
      </w:r>
    </w:p>
    <w:bookmarkEnd w:id="30"/>
    <w:bookmarkStart w:id="31" w:name="X22aaa2edbb54391c71f7c9d9db13f4719d2c55d"/>
    <w:p>
      <w:pPr>
        <w:pStyle w:val="Heading2"/>
      </w:pPr>
      <w:r>
        <w:t xml:space="preserve">Example 3 —</w:t>
      </w:r>
      <w:r>
        <w:t xml:space="preserve"> </w:t>
      </w:r>
      <w:r>
        <w:rPr>
          <w:rStyle w:val="VerbatimChar"/>
        </w:rPr>
        <w:t xml:space="preserve">[[Operating model or delivery system engagement]]</w:t>
      </w:r>
    </w:p>
    <w:p>
      <w:pPr>
        <w:pStyle w:val="FirstParagraph"/>
      </w:pPr>
      <w:r>
        <w:rPr>
          <w:bCs/>
          <w:b/>
        </w:rPr>
        <w:t xml:space="preserve">Client:</w:t>
      </w:r>
      <w:r>
        <w:t xml:space="preserve"> </w:t>
      </w:r>
      <w:r>
        <w:rPr>
          <w:rStyle w:val="VerbatimChar"/>
        </w:rPr>
        <w:t xml:space="preserve">[[Name or descriptor]]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Period:</w:t>
      </w:r>
      <w:r>
        <w:t xml:space="preserve"> </w:t>
      </w:r>
      <w:r>
        <w:rPr>
          <w:rStyle w:val="VerbatimChar"/>
        </w:rPr>
        <w:t xml:space="preserve">[[...]]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Reference:</w:t>
      </w:r>
      <w:r>
        <w:t xml:space="preserve"> </w:t>
      </w:r>
      <w:r>
        <w:rPr>
          <w:rStyle w:val="VerbatimChar"/>
        </w:rPr>
        <w:t xml:space="preserve">[[#]]</w:t>
      </w:r>
    </w:p>
    <w:p>
      <w:pPr>
        <w:pStyle w:val="BodyText"/>
      </w:pPr>
      <w:r>
        <w:rPr>
          <w:rStyle w:val="VerbatimChar"/>
        </w:rPr>
        <w:t xml:space="preserve">[[Use an engagement where you worked on how an organisation delivers — process, structure, capacity, cost — rather than purely on the numbers. If you genuinely do not have a third, submit two strong examples: the RFP asks for "two or three". Two real ones beat three where the third is thin.]]</w:t>
      </w:r>
    </w:p>
    <w:bookmarkEnd w:id="31"/>
    <w:bookmarkStart w:id="32" w:name="what-these-have-in-common"/>
    <w:p>
      <w:pPr>
        <w:pStyle w:val="Heading2"/>
      </w:pPr>
      <w:r>
        <w:t xml:space="preserve">What these have in common</w:t>
      </w:r>
    </w:p>
    <w:p>
      <w:pPr>
        <w:pStyle w:val="FirstParagraph"/>
      </w:pPr>
      <w:r>
        <w:t xml:space="preserve">We do not accept a cost structure as given. We rebuild it from the underlying activity, test how it</w:t>
      </w:r>
      <w:r>
        <w:t xml:space="preserve"> </w:t>
      </w:r>
      <w:r>
        <w:t xml:space="preserve">behaves at the volume the organisation actually intends to reach, and put the trade-offs in front of</w:t>
      </w:r>
      <w:r>
        <w:t xml:space="preserve"> </w:t>
      </w:r>
      <w:r>
        <w:t xml:space="preserve">the decision-maker with the consequences quantified — early enough that the decision is still open.</w:t>
      </w:r>
    </w:p>
    <w:p>
      <w:pPr>
        <w:pStyle w:val="BodyText"/>
      </w:pPr>
      <w:r>
        <w:rPr>
          <w:bCs/>
          <w:b/>
        </w:rPr>
        <w:t xml:space="preserve">Portfolio-level track record relevant to this category:</w:t>
      </w:r>
      <w:r>
        <w:t xml:space="preserve"> </w:t>
      </w:r>
      <w:r>
        <w:t xml:space="preserve">over 100 early-stage ventures advised;</w:t>
      </w:r>
      <w:r>
        <w:t xml:space="preserve"> </w:t>
      </w:r>
      <w:r>
        <w:t xml:space="preserve">50+ financial and operating models built and reviewed across software-as-a-service, e-commerce,</w:t>
      </w:r>
      <w:r>
        <w:t xml:space="preserve"> </w:t>
      </w:r>
      <w:r>
        <w:t xml:space="preserve">financial technology, climate technology and real estate; 150 projects evaluated. Our modelling</w:t>
      </w:r>
      <w:r>
        <w:t xml:space="preserve"> </w:t>
      </w:r>
      <w:r>
        <w:t xml:space="preserve">practice is the same discipline applied to operations: if the arithmetic of delivery does not work,</w:t>
      </w:r>
      <w:r>
        <w:t xml:space="preserve"> </w:t>
      </w:r>
      <w:r>
        <w:t xml:space="preserve">nothing downstream of it does.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proposed-fee-structure-category-2"/>
    <w:p>
      <w:pPr>
        <w:pStyle w:val="Heading1"/>
      </w:pPr>
      <w:r>
        <w:t xml:space="preserve">8. Proposed Fee Structure — Category 2</w:t>
      </w:r>
    </w:p>
    <w:p>
      <w:pPr>
        <w:pStyle w:val="FirstParagraph"/>
      </w:pPr>
      <w:r>
        <w:rPr>
          <w:iCs/>
          <w:i/>
        </w:rPr>
        <w:t xml:space="preserve">(RFP §3.1 item 8 — all figures in CAD)</w:t>
      </w:r>
    </w:p>
    <w:p>
      <w:pPr>
        <w:pStyle w:val="BlockText"/>
      </w:pPr>
      <w:r>
        <w:rPr>
          <w:bCs/>
          <w:b/>
        </w:rPr>
        <w:t xml:space="preserve">Confirm before submission.</w:t>
      </w:r>
      <w:r>
        <w:t xml:space="preserve"> </w:t>
      </w:r>
      <w:r>
        <w:t xml:space="preserve">Recommended rates, not a published LEAP card. See the internal plan</w:t>
      </w:r>
      <w:r>
        <w:t xml:space="preserve"> </w:t>
      </w:r>
      <w:r>
        <w:t xml:space="preserve">for the cost-and-margin basis.</w:t>
      </w:r>
    </w:p>
    <w:bookmarkStart w:id="34" w:name="hourly-rates-by-grade"/>
    <w:p>
      <w:pPr>
        <w:pStyle w:val="Heading2"/>
      </w:pPr>
      <w:r>
        <w:t xml:space="preserve">Hourly rates by grade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Hourly rate (CAD, excl. tax)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Engagement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Abdelrhman Soliman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 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Ahmed Ashraf, senior associates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Analyst team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Specialist Associate (where required)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associate, by engagement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[[145]]</w:t>
            </w:r>
          </w:p>
        </w:tc>
      </w:tr>
    </w:tbl>
    <w:p>
      <w:pPr>
        <w:pStyle w:val="BodyText"/>
      </w:pPr>
      <w:r>
        <w:t xml:space="preserve">Typical blend: Principal 20%, Senior Advisor 50%, Analyst 30% —</w:t>
      </w:r>
      <w:r>
        <w:t xml:space="preserve"> </w:t>
      </w:r>
      <w:r>
        <w:rPr>
          <w:bCs/>
          <w:b/>
        </w:rPr>
        <w:t xml:space="preserve">blended CAD 121 per hour</w:t>
      </w:r>
      <w:r>
        <w:t xml:space="preserve">. Category</w:t>
      </w:r>
      <w:r>
        <w:t xml:space="preserve"> </w:t>
      </w:r>
      <w:r>
        <w:t xml:space="preserve">2 work is senior-advisor-weighted: the analysis is detailed, and it does not need principal hours</w:t>
      </w:r>
      <w:r>
        <w:t xml:space="preserve"> </w:t>
      </w:r>
      <w:r>
        <w:t xml:space="preserve">throughout.</w:t>
      </w:r>
    </w:p>
    <w:bookmarkEnd w:id="34"/>
    <w:bookmarkStart w:id="35" w:name="engagement-packages"/>
    <w:p>
      <w:pPr>
        <w:pStyle w:val="Heading2"/>
      </w:pPr>
      <w:r>
        <w:t xml:space="preserve">Engagement packages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(CAD, excl. tax)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Scale Barrier Diagnostic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28–34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Economics and Cost Structure Rebuild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5–6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Model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6–8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and AI Efficiency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40–50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4–5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Growth Plan and Implementation Roadmap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6–8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Follow-on advisory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the rates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required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Combined pathway.</w:t>
      </w:r>
      <w:r>
        <w:t xml:space="preserve"> </w:t>
      </w:r>
      <w:r>
        <w:t xml:space="preserve">Scale Barrier Diagnostic → Unit Economics Rebuild → Growth Plan delivered as one</w:t>
      </w:r>
      <w:r>
        <w:t xml:space="preserve"> </w:t>
      </w:r>
      <w:r>
        <w:t xml:space="preserve">mandate:</w:t>
      </w:r>
      <w:r>
        <w:t xml:space="preserve"> </w:t>
      </w:r>
      <w:r>
        <w:rPr>
          <w:bCs/>
          <w:b/>
        </w:rPr>
        <w:t xml:space="preserve">CAD 16,500</w:t>
      </w:r>
      <w:r>
        <w:t xml:space="preserve"> </w:t>
      </w:r>
      <w:r>
        <w:t xml:space="preserve">(approximately 140–160 hours), a 10% reduction against the separate packages.</w:t>
      </w:r>
    </w:p>
    <w:bookmarkEnd w:id="35"/>
    <w:bookmarkStart w:id="36" w:name="terms"/>
    <w:p>
      <w:pPr>
        <w:pStyle w:val="Heading2"/>
      </w:pPr>
      <w:r>
        <w:t xml:space="preserve">Terms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Basis.</w:t>
      </w:r>
      <w:r>
        <w:t xml:space="preserve"> </w:t>
      </w:r>
      <w:r>
        <w:t xml:space="preserve">Fixed fee against a stated hour ceiling; under-ceiling completion is invoiced at hours</w:t>
      </w:r>
      <w:r>
        <w:t xml:space="preserve"> </w:t>
      </w:r>
      <w:r>
        <w:t xml:space="preserve">used. Out-of-scope work at the hourly rates above, agreed in writing in advance.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Invoicing.</w:t>
      </w:r>
      <w:r>
        <w:t xml:space="preserve"> </w:t>
      </w:r>
      <w:r>
        <w:t xml:space="preserve">Monthly in arrears against the maximum contract amount, itemised by innovator,</w:t>
      </w:r>
      <w:r>
        <w:t xml:space="preserve"> </w:t>
      </w:r>
      <w:r>
        <w:t xml:space="preserve">engagement and grade.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Currency.</w:t>
      </w:r>
      <w:r>
        <w:t xml:space="preserve"> </w:t>
      </w:r>
      <w:r>
        <w:t xml:space="preserve">CAD.</w:t>
      </w:r>
      <w:r>
        <w:t xml:space="preserve"> </w:t>
      </w:r>
      <w:r>
        <w:rPr>
          <w:rStyle w:val="VerbatimChar"/>
        </w:rPr>
        <w:t xml:space="preserve">[[Confirm payment mechanics and who bears FX cost at negotiation.]]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Travel and expenses.</w:t>
      </w:r>
      <w:r>
        <w:t xml:space="preserve"> </w:t>
      </w:r>
      <w:r>
        <w:t xml:space="preserve">None proposed; delivery is remote.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Taxes.</w:t>
      </w:r>
      <w:r>
        <w:t xml:space="preserve"> </w:t>
      </w:r>
      <w:r>
        <w:t xml:space="preserve">LEAP is registered in</w:t>
      </w:r>
      <w:r>
        <w:t xml:space="preserve"> </w:t>
      </w:r>
      <w:r>
        <w:rPr>
          <w:rStyle w:val="VerbatimChar"/>
        </w:rPr>
        <w:t xml:space="preserve">[[Egypt]]</w:t>
      </w:r>
      <w:r>
        <w:t xml:space="preserve"> </w:t>
      </w:r>
      <w:r>
        <w:t xml:space="preserve">with no permanent establishment in Canada; on our</w:t>
      </w:r>
      <w:r>
        <w:t xml:space="preserve"> </w:t>
      </w:r>
      <w:r>
        <w:t xml:space="preserve">understanding Canadian GST/HST does not apply to services supplied from outside Canada.</w:t>
      </w:r>
      <w:r>
        <w:t xml:space="preserve"> </w:t>
      </w:r>
      <w:r>
        <w:rPr>
          <w:bCs/>
          <w:b/>
        </w:rPr>
        <w:t xml:space="preserve">Applicable taxes: CAD 0.00.</w:t>
      </w:r>
      <w:r>
        <w:t xml:space="preserve"> </w:t>
      </w:r>
      <w:r>
        <w:t xml:space="preserve">We will register and invoice as directed if GCC determines</w:t>
      </w:r>
      <w:r>
        <w:t xml:space="preserve"> </w:t>
      </w:r>
      <w:r>
        <w:t xml:space="preserve">otherwise.</w:t>
      </w:r>
      <w:r>
        <w:t xml:space="preserve"> </w:t>
      </w:r>
      <w:r>
        <w:rPr>
          <w:rStyle w:val="VerbatimChar"/>
        </w:rPr>
        <w:t xml:space="preserve">[[Confirm with your accountant.]]</w:t>
      </w:r>
    </w:p>
    <w:bookmarkEnd w:id="36"/>
    <w:bookmarkEnd w:id="37"/>
    <w:sectPr>
      <w:pgSz w:h="15840" w:w="12240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40" w:line="264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2026-09-15T07:14:47Z</dcterms:created>
  <dcterms:modified xsi:type="dcterms:W3CDTF">2026-09-15T07:14:47Z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