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tegory-outline-category-4"/>
    <w:p>
      <w:pPr>
        <w:pStyle w:val="Heading1"/>
      </w:pPr>
      <w:r>
        <w:t xml:space="preserve">CATEGORY OUTLINE — CATEGORY 4</w:t>
      </w:r>
    </w:p>
    <w:bookmarkStart w:id="20" w:name="X59511a975030fcf7c133f1f380f6f6931ab4e5d"/>
    <w:p>
      <w:pPr>
        <w:pStyle w:val="Heading2"/>
      </w:pPr>
      <w:r>
        <w:t xml:space="preserve">Market and Policy Navigation — Egypt, North Africa and the Gulf</w:t>
      </w:r>
    </w:p>
    <w:p>
      <w:pPr>
        <w:pStyle w:val="FirstParagraph"/>
      </w:pPr>
      <w:r>
        <w:rPr>
          <w:bCs/>
          <w:b/>
        </w:rPr>
        <w:t xml:space="preserve">LEAP Consulting · RFP-VA-2026-09-18 · Grand Challenges Canada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Xd91ddb92e519df2c03a4de4d995573c8c546dd7"/>
    <w:p>
      <w:pPr>
        <w:pStyle w:val="Heading1"/>
      </w:pPr>
      <w:r>
        <w:t xml:space="preserve">6. Proposed Approach and Engagement Structure</w:t>
      </w:r>
    </w:p>
    <w:p>
      <w:pPr>
        <w:pStyle w:val="FirstParagraph"/>
      </w:pPr>
      <w:r>
        <w:rPr>
          <w:iCs/>
          <w:i/>
        </w:rPr>
        <w:t xml:space="preserve">(RFP §3.1 item 6 — 3 pages)</w:t>
      </w:r>
    </w:p>
    <w:bookmarkStart w:id="22" w:name="what-we-claim-and-what-we-do-not"/>
    <w:p>
      <w:pPr>
        <w:pStyle w:val="Heading2"/>
      </w:pPr>
      <w:r>
        <w:t xml:space="preserve">What we claim, and what we do not</w:t>
      </w:r>
    </w:p>
    <w:p>
      <w:pPr>
        <w:pStyle w:val="FirstParagraph"/>
      </w:pPr>
      <w:r>
        <w:t xml:space="preserve">This RFP says local expertise is an asset in this category, and we agree — which is why we scope this</w:t>
      </w:r>
      <w:r>
        <w:t xml:space="preserve"> </w:t>
      </w:r>
      <w:r>
        <w:t xml:space="preserve">application tightly rather than claiming global coverage.</w:t>
      </w:r>
    </w:p>
    <w:p>
      <w:pPr>
        <w:pStyle w:val="BodyText"/>
      </w:pPr>
      <w:r>
        <w:rPr>
          <w:bCs/>
          <w:b/>
        </w:rPr>
        <w:t xml:space="preserve">We apply for this category in Egypt, and in Saudi Arabia, the United Arab Emirates, Kuwait and</w:t>
      </w:r>
      <w:r>
        <w:rPr>
          <w:bCs/>
          <w:b/>
        </w:rPr>
        <w:t xml:space="preserve"> </w:t>
      </w:r>
      <w:r>
        <w:rPr>
          <w:bCs/>
          <w:b/>
        </w:rPr>
        <w:t xml:space="preserve">Qatar.</w:t>
      </w:r>
      <w:r>
        <w:t xml:space="preserve"> </w:t>
      </w:r>
      <w:r>
        <w:t xml:space="preserve">These are markets where we hold a physical presence or active engagements, where we know how</w:t>
      </w:r>
      <w:r>
        <w:t xml:space="preserve"> </w:t>
      </w:r>
      <w:r>
        <w:t xml:space="preserve">commercial and regulatory decisions are really made, and where we work in Arabic. Egypt is our head</w:t>
      </w:r>
      <w:r>
        <w:t xml:space="preserve"> </w:t>
      </w:r>
      <w:r>
        <w:t xml:space="preserve">office and our deepest market.</w:t>
      </w:r>
    </w:p>
    <w:p>
      <w:pPr>
        <w:pStyle w:val="BodyText"/>
      </w:pPr>
      <w:r>
        <w:rPr>
          <w:bCs/>
          <w:b/>
        </w:rPr>
        <w:t xml:space="preserve">We do not claim, and will not accept engagements requiring:</w:t>
      </w:r>
      <w:r>
        <w:t xml:space="preserve"> </w:t>
      </w:r>
      <w:r>
        <w:t xml:space="preserve">health-product regulatory registration</w:t>
      </w:r>
      <w:r>
        <w:t xml:space="preserve"> </w:t>
      </w:r>
      <w:r>
        <w:t xml:space="preserve">and approval work — for example medical device or pharmaceutical dossiers with the Egyptian Drug</w:t>
      </w:r>
      <w:r>
        <w:t xml:space="preserve"> </w:t>
      </w:r>
      <w:r>
        <w:t xml:space="preserve">Authority or the Saudi Food and Drug Authority — unless delivered with a named specialist</w:t>
      </w:r>
      <w:r>
        <w:t xml:space="preserve"> </w:t>
      </w:r>
      <w:r>
        <w:t xml:space="preserve">subcontractor proposed to GCC in advance. We also do not claim market navigation outside MENA. We</w:t>
      </w:r>
      <w:r>
        <w:t xml:space="preserve"> </w:t>
      </w:r>
      <w:r>
        <w:t xml:space="preserve">would rather GCC route those needs to a provider who does them properly.</w:t>
      </w:r>
    </w:p>
    <w:p>
      <w:pPr>
        <w:pStyle w:val="BodyText"/>
      </w:pPr>
      <w:r>
        <w:t xml:space="preserve">Stating this plainly is deliberate. An innovator who discovers mid-engagement that their adviser was</w:t>
      </w:r>
      <w:r>
        <w:t xml:space="preserve"> </w:t>
      </w:r>
      <w:r>
        <w:t xml:space="preserve">stretching is worse off than one matched correctly at the start.</w:t>
      </w:r>
    </w:p>
    <w:bookmarkEnd w:id="22"/>
    <w:bookmarkStart w:id="23" w:name="our-operating-principle"/>
    <w:p>
      <w:pPr>
        <w:pStyle w:val="Heading2"/>
      </w:pPr>
      <w:r>
        <w:t xml:space="preserve">Our operating principle</w:t>
      </w:r>
    </w:p>
    <w:p>
      <w:pPr>
        <w:pStyle w:val="FirstParagraph"/>
      </w:pPr>
      <w:r>
        <w:t xml:space="preserve">Market entry fails on the things that are not written down: which approvals are actually enforced</w:t>
      </w:r>
      <w:r>
        <w:t xml:space="preserve"> </w:t>
      </w:r>
      <w:r>
        <w:t xml:space="preserve">versus nominally required, how long a process really takes against its stated timeline, which</w:t>
      </w:r>
      <w:r>
        <w:t xml:space="preserve"> </w:t>
      </w:r>
      <w:r>
        <w:t xml:space="preserve">partner structures are workable for a foreign or non-profit entity, and who has to be persuaded</w:t>
      </w:r>
      <w:r>
        <w:t xml:space="preserve"> </w:t>
      </w:r>
      <w:r>
        <w:t xml:space="preserve">before a procurement decision is possible. We work from the documented framework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from how the</w:t>
      </w:r>
      <w:r>
        <w:t xml:space="preserve"> </w:t>
      </w:r>
      <w:r>
        <w:t xml:space="preserve">market actually behaves, and we are explicit about which is which.</w:t>
      </w:r>
    </w:p>
    <w:bookmarkEnd w:id="23"/>
    <w:bookmarkStart w:id="24" w:name="how-we-scope-an-engagement"/>
    <w:p>
      <w:pPr>
        <w:pStyle w:val="Heading2"/>
      </w:pPr>
      <w:r>
        <w:t xml:space="preserve">How we scope an engagement</w:t>
      </w:r>
    </w:p>
    <w:p>
      <w:pPr>
        <w:pStyle w:val="FirstParagraph"/>
      </w:pPr>
      <w:r>
        <w:t xml:space="preserve">Same rhythm as our other categories — triage within 5 business days, one-page scoping note within 3</w:t>
      </w:r>
      <w:r>
        <w:t xml:space="preserve"> </w:t>
      </w:r>
      <w:r>
        <w:t xml:space="preserve">days, evidence intake, delivery, decision session, close-out note to GCC — with one addition specific</w:t>
      </w:r>
      <w:r>
        <w:t xml:space="preserve"> </w:t>
      </w:r>
      <w:r>
        <w:t xml:space="preserve">to this category:</w:t>
      </w:r>
      <w:r>
        <w:t xml:space="preserve"> </w:t>
      </w:r>
      <w:r>
        <w:rPr>
          <w:bCs/>
          <w:b/>
        </w:rPr>
        <w:t xml:space="preserve">at triage we confirm we are the right provider for that specific market.</w:t>
      </w:r>
      <w:r>
        <w:t xml:space="preserve"> </w:t>
      </w:r>
      <w:r>
        <w:t xml:space="preserve">If we</w:t>
      </w:r>
      <w:r>
        <w:t xml:space="preserve"> </w:t>
      </w:r>
      <w:r>
        <w:t xml:space="preserve">are not, we say so immediately rather than accepting the commission.</w:t>
      </w:r>
    </w:p>
    <w:bookmarkEnd w:id="24"/>
    <w:bookmarkStart w:id="25" w:name="what-we-deliver-by-barrier"/>
    <w:p>
      <w:pPr>
        <w:pStyle w:val="Heading2"/>
      </w:pPr>
      <w:r>
        <w:t xml:space="preserve">What we deliver, by barrier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We do not know what it takes to operate here.</w:t>
      </w:r>
      <w:r>
        <w:rPr>
          <w:bCs/>
          <w:b/>
        </w:rPr>
        <w:t xml:space="preserve">”</w:t>
      </w:r>
      <w:r>
        <w:t xml:space="preserve"> </w:t>
      </w:r>
      <w:r>
        <w:rPr>
          <w:iCs/>
          <w:i/>
        </w:rPr>
        <w:t xml:space="preserve">Market and Regulatory Landscape Assessment.</w:t>
      </w:r>
      <w:r>
        <w:t xml:space="preserve"> </w:t>
      </w:r>
      <w:r>
        <w:t xml:space="preserve">For one named market: the regulatory and licensing</w:t>
      </w:r>
      <w:r>
        <w:t xml:space="preserve"> </w:t>
      </w:r>
      <w:r>
        <w:t xml:space="preserve">framework applicable to the innovation; which authorities have jurisdiction and what each actually</w:t>
      </w:r>
      <w:r>
        <w:t xml:space="preserve"> </w:t>
      </w:r>
      <w:r>
        <w:t xml:space="preserve">requires; realistic timelines and costs against stated ones; the legal forms available to a foreign</w:t>
      </w:r>
      <w:r>
        <w:t xml:space="preserve"> </w:t>
      </w:r>
      <w:r>
        <w:t xml:space="preserve">or non-profit entity and their consequences; and the constraints that would stop the model as</w:t>
      </w:r>
      <w:r>
        <w:t xml:space="preserve"> </w:t>
      </w:r>
      <w:r>
        <w:t xml:space="preserve">currently designed. Output is an assessment with a compliance checklist and a clear statement of what</w:t>
      </w:r>
      <w:r>
        <w:t xml:space="preserve"> </w:t>
      </w:r>
      <w:r>
        <w:t xml:space="preserve">is verified against primary source versus what is practitioner knowledge.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We do not know how to enter, or with whom.</w:t>
      </w:r>
      <w:r>
        <w:rPr>
          <w:bCs/>
          <w:b/>
        </w:rPr>
        <w:t xml:space="preserve">”</w:t>
      </w:r>
      <w:r>
        <w:t xml:space="preserve"> </w:t>
      </w:r>
      <w:r>
        <w:rPr>
          <w:iCs/>
          <w:i/>
        </w:rPr>
        <w:t xml:space="preserve">Entry and Partnership Pathway Design.</w:t>
      </w:r>
      <w:r>
        <w:t xml:space="preserve"> </w:t>
      </w:r>
      <w:r>
        <w:t xml:space="preserve">Entry-mode options — direct registration, subsidiary, local</w:t>
      </w:r>
      <w:r>
        <w:t xml:space="preserve"> </w:t>
      </w:r>
      <w:r>
        <w:t xml:space="preserve">partnership, distribution agreement, hosting under an established local entity — compared on cost,</w:t>
      </w:r>
      <w:r>
        <w:t xml:space="preserve"> </w:t>
      </w:r>
      <w:r>
        <w:t xml:space="preserve">speed, control, regulatory exposure and reversibility. Where partnership is the route, we define the</w:t>
      </w:r>
      <w:r>
        <w:t xml:space="preserve"> </w:t>
      </w:r>
      <w:r>
        <w:t xml:space="preserve">partner profile, screen a shortlist, make the introduction, and support the commercial framework</w:t>
      </w:r>
      <w:r>
        <w:t xml:space="preserve"> </w:t>
      </w:r>
      <w:r>
        <w:t xml:space="preserve">through to heads of terms. Our network across five markets is the substance of this offer.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We need to be adopted by the public system and do not know how.</w:t>
      </w:r>
      <w:r>
        <w:rPr>
          <w:bCs/>
          <w:b/>
        </w:rPr>
        <w:t xml:space="preserve">”</w:t>
      </w:r>
      <w:r>
        <w:t xml:space="preserve"> </w:t>
      </w:r>
      <w:r>
        <w:rPr>
          <w:iCs/>
          <w:i/>
        </w:rPr>
        <w:t xml:space="preserve">Government Engagement and Procurement Pathway Support.</w:t>
      </w:r>
      <w:r>
        <w:t xml:space="preserve"> </w:t>
      </w:r>
      <w:r>
        <w:t xml:space="preserve">How the relevant ministry or public agency</w:t>
      </w:r>
      <w:r>
        <w:t xml:space="preserve"> </w:t>
      </w:r>
      <w:r>
        <w:t xml:space="preserve">actually procures; whether the innovation fits an existing budget line or needs a new one; who the</w:t>
      </w:r>
      <w:r>
        <w:t xml:space="preserve"> </w:t>
      </w:r>
      <w:r>
        <w:t xml:space="preserve">decision-makers and technical gatekeepers are; what evidence and accreditation they will require; and</w:t>
      </w:r>
      <w:r>
        <w:t xml:space="preserve"> </w:t>
      </w:r>
      <w:r>
        <w:t xml:space="preserve">a sequenced engagement plan with the materials to support it. We prepare the innovator for the</w:t>
      </w:r>
      <w:r>
        <w:t xml:space="preserve"> </w:t>
      </w:r>
      <w:r>
        <w:t xml:space="preserve">meeting; we do not lobby, and we do not represent the innovator to government without written</w:t>
      </w:r>
      <w:r>
        <w:t xml:space="preserve"> </w:t>
      </w:r>
      <w:r>
        <w:t xml:space="preserve">authority and full disclosure to GCC.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We need this in Arabic.</w:t>
      </w:r>
      <w:r>
        <w:rPr>
          <w:bCs/>
          <w:b/>
        </w:rPr>
        <w:t xml:space="preserve">”</w:t>
      </w:r>
      <w:r>
        <w:t xml:space="preserve"> </w:t>
      </w:r>
      <w:r>
        <w:rPr>
          <w:iCs/>
          <w:i/>
        </w:rPr>
        <w:t xml:space="preserve">Arabic-language delivery.</w:t>
      </w:r>
      <w:r>
        <w:t xml:space="preserve"> </w:t>
      </w:r>
      <w:r>
        <w:t xml:space="preserve">All of the above delivered natively in Arabic — working sessions,</w:t>
      </w:r>
      <w:r>
        <w:t xml:space="preserve"> </w:t>
      </w:r>
      <w:r>
        <w:t xml:space="preserve">documents, and support in meetings with local authorities and partners. Appendix A names Arabic</w:t>
      </w:r>
      <w:r>
        <w:t xml:space="preserve"> </w:t>
      </w:r>
      <w:r>
        <w:t xml:space="preserve">explicitly among GCC’s priority languages. For an Arabic-speaking innovator, working through their</w:t>
      </w:r>
      <w:r>
        <w:t xml:space="preserve"> </w:t>
      </w:r>
      <w:r>
        <w:t xml:space="preserve">own language on a regulatory question is the difference between understanding a framework and being</w:t>
      </w:r>
      <w:r>
        <w:t xml:space="preserve"> </w:t>
      </w:r>
      <w:r>
        <w:t xml:space="preserve">told about one.</w:t>
      </w:r>
    </w:p>
    <w:bookmarkEnd w:id="25"/>
    <w:bookmarkStart w:id="26" w:name="local-delivery-and-associates"/>
    <w:p>
      <w:pPr>
        <w:pStyle w:val="Heading2"/>
      </w:pPr>
      <w:r>
        <w:t xml:space="preserve">Local delivery and associates</w:t>
      </w:r>
    </w:p>
    <w:p>
      <w:pPr>
        <w:pStyle w:val="FirstParagraph"/>
      </w:pPr>
      <w:r>
        <w:t xml:space="preserve">Where an engagement needs presence or relationships we do not hold directly, we engage a named local</w:t>
      </w:r>
      <w:r>
        <w:t xml:space="preserve"> </w:t>
      </w:r>
      <w:r>
        <w:t xml:space="preserve">associate under our contract, proposed to GCC before the engagement starts, with LEAP remaining fully</w:t>
      </w:r>
      <w:r>
        <w:t xml:space="preserve"> </w:t>
      </w:r>
      <w:r>
        <w:t xml:space="preserve">responsible for quality and delivery. We will not accept a Category 4 engagement in a market where we</w:t>
      </w:r>
      <w:r>
        <w:t xml:space="preserve"> </w:t>
      </w:r>
      <w:r>
        <w:t xml:space="preserve">can offer neither direct standing nor a named associate.</w:t>
      </w:r>
    </w:p>
    <w:p>
      <w:pPr>
        <w:pStyle w:val="BodyText"/>
      </w:pPr>
      <w:r>
        <w:rPr>
          <w:rStyle w:val="VerbatimChar"/>
        </w:rPr>
        <w:t xml:space="preserve">[[List your named associates and their markets here — this is the single strongest thing you can add to this outline. "Local expertise is an asset" is explicit in the RFP.]]</w:t>
      </w:r>
    </w:p>
    <w:bookmarkEnd w:id="26"/>
    <w:bookmarkStart w:id="27" w:name="integrity-commitments"/>
    <w:p>
      <w:pPr>
        <w:pStyle w:val="Heading2"/>
      </w:pPr>
      <w:r>
        <w:t xml:space="preserve">Integrity commitments</w:t>
      </w:r>
    </w:p>
    <w:p>
      <w:pPr>
        <w:pStyle w:val="FirstParagraph"/>
      </w:pPr>
      <w:r>
        <w:t xml:space="preserve">We comply with anti-bribery, anti-corruption and sanctions law without exception. We do not make or</w:t>
      </w:r>
      <w:r>
        <w:t xml:space="preserve"> </w:t>
      </w:r>
      <w:r>
        <w:t xml:space="preserve">facilitate facilitation payments. If an engagement cannot progress without one, we stop and report to</w:t>
      </w:r>
      <w:r>
        <w:t xml:space="preserve"> </w:t>
      </w:r>
      <w:r>
        <w:t xml:space="preserve">GCC. Given this category involves government engagement, we state that up front rather than in a</w:t>
      </w:r>
      <w:r>
        <w:t xml:space="preserve"> </w:t>
      </w:r>
      <w:r>
        <w:t xml:space="preserve">schedule.</w:t>
      </w:r>
    </w:p>
    <w:bookmarkEnd w:id="27"/>
    <w:bookmarkStart w:id="28" w:name="how-we-track-whether-it-worked"/>
    <w:p>
      <w:pPr>
        <w:pStyle w:val="Heading2"/>
      </w:pPr>
      <w:r>
        <w:t xml:space="preserve">How we track whether it worked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pathway documented and validated against primary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Close-out note, with sources cited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 decision taken within the engagement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Innovator-confirmed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introductions made, meetings held, agreements 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Tracked and reported per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Registration, licence or approval progressed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Innovator-confirmed at 3 and 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Procurement or adoption milestone 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Innovator-confirmed at 6 months</w:t>
            </w:r>
          </w:p>
        </w:tc>
      </w:tr>
    </w:tbl>
    <w:p>
      <w:pPr>
        <w:pStyle w:val="BodyText"/>
      </w:pPr>
      <w:r>
        <w:t xml:space="preserve">Regulatory timelines are outside anyone’s control. We report what we advanced and what remains</w:t>
      </w:r>
      <w:r>
        <w:t xml:space="preserve"> </w:t>
      </w:r>
      <w:r>
        <w:t xml:space="preserve">pending, and we do not claim an approval as our outcome.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revious-success"/>
    <w:p>
      <w:pPr>
        <w:pStyle w:val="Heading1"/>
      </w:pPr>
      <w:r>
        <w:t xml:space="preserve">7. Previous Success</w:t>
      </w:r>
    </w:p>
    <w:p>
      <w:pPr>
        <w:pStyle w:val="FirstParagraph"/>
      </w:pPr>
      <w:r>
        <w:rPr>
          <w:iCs/>
          <w:i/>
        </w:rPr>
        <w:t xml:space="preserve">(RFP §3.1 item 7 — 2–3 pages)</w:t>
      </w:r>
    </w:p>
    <w:p>
      <w:pPr>
        <w:pStyle w:val="BlockText"/>
      </w:pPr>
      <w:r>
        <w:rPr>
          <w:bCs/>
          <w:b/>
        </w:rPr>
        <w:t xml:space="preserve">Complete before submission — this outline needs the most work of the four.</w:t>
      </w:r>
      <w:r>
        <w:t xml:space="preserve"> </w:t>
      </w:r>
      <w:r>
        <w:t xml:space="preserve">Our source material</w:t>
      </w:r>
      <w:r>
        <w:t xml:space="preserve"> </w:t>
      </w:r>
      <w:r>
        <w:t xml:space="preserve">evidences market-entry and regulatory-framework practice across five markets, but not named,</w:t>
      </w:r>
      <w:r>
        <w:t xml:space="preserve"> </w:t>
      </w:r>
      <w:r>
        <w:t xml:space="preserve">quantified engagements. You need two or three real examples here with referees who can confirm</w:t>
      </w:r>
      <w:r>
        <w:t xml:space="preserve"> </w:t>
      </w:r>
      <w:r>
        <w:t xml:space="preserve">them.</w:t>
      </w:r>
      <w:r>
        <w:t xml:space="preserve"> </w:t>
      </w:r>
      <w:r>
        <w:rPr>
          <w:bCs/>
          <w:b/>
        </w:rPr>
        <w:t xml:space="preserve">If you cannot produce them, drop Category 4 from the bid.</w:t>
      </w:r>
      <w:r>
        <w:t xml:space="preserve"> </w:t>
      </w:r>
      <w:r>
        <w:t xml:space="preserve">Each category is scored</w:t>
      </w:r>
      <w:r>
        <w:t xml:space="preserve"> </w:t>
      </w:r>
      <w:r>
        <w:t xml:space="preserve">independently and a thin category cannot damage your other three — but a category that fails a</w:t>
      </w:r>
      <w:r>
        <w:t xml:space="preserve"> </w:t>
      </w:r>
      <w:r>
        <w:t xml:space="preserve">reference check can damage your credibility across the whole submission.</w:t>
      </w:r>
    </w:p>
    <w:bookmarkStart w:id="30" w:name="example-1-market-entry-engagement"/>
    <w:p>
      <w:pPr>
        <w:pStyle w:val="Heading2"/>
      </w:pPr>
      <w:r>
        <w:t xml:space="preserve">Example 1 —</w:t>
      </w:r>
      <w:r>
        <w:t xml:space="preserve"> </w:t>
      </w:r>
      <w:r>
        <w:rPr>
          <w:rStyle w:val="VerbatimChar"/>
        </w:rPr>
        <w:t xml:space="preserve">[[Market entry engagement]]</w:t>
      </w:r>
    </w:p>
    <w:p>
      <w:pPr>
        <w:pStyle w:val="FirstParagraph"/>
      </w:pPr>
      <w:r>
        <w:rPr>
          <w:bCs/>
          <w:b/>
        </w:rPr>
        <w:t xml:space="preserve">Client:</w:t>
      </w:r>
      <w:r>
        <w:t xml:space="preserve"> </w:t>
      </w:r>
      <w:r>
        <w:rPr>
          <w:rStyle w:val="VerbatimChar"/>
        </w:rPr>
        <w:t xml:space="preserve">[[Name or descriptor]]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Market: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Period: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rPr>
          <w:rStyle w:val="VerbatimChar"/>
        </w:rPr>
        <w:t xml:space="preserve">[[#]]</w:t>
      </w:r>
    </w:p>
    <w:p>
      <w:pPr>
        <w:pStyle w:val="BodyText"/>
      </w:pPr>
      <w:r>
        <w:rPr>
          <w:bCs/>
          <w:b/>
        </w:rPr>
        <w:t xml:space="preserve">The problem.</w:t>
      </w:r>
      <w:r>
        <w:t xml:space="preserve"> </w:t>
      </w:r>
      <w:r>
        <w:rPr>
          <w:rStyle w:val="VerbatimChar"/>
        </w:rPr>
        <w:t xml:space="preserve">[[What the client was trying to enter, and what was blocking them.]]</w:t>
      </w:r>
      <w:r>
        <w:t xml:space="preserve"> </w:t>
      </w:r>
      <w:r>
        <w:rPr>
          <w:bCs/>
          <w:b/>
        </w:rPr>
        <w:t xml:space="preserve">What we did.</w:t>
      </w:r>
      <w:r>
        <w:t xml:space="preserve"> </w:t>
      </w:r>
      <w:r>
        <w:rPr>
          <w:rStyle w:val="VerbatimChar"/>
        </w:rPr>
        <w:t xml:space="preserve">[[The assessment, the options, the recommendation.]]</w:t>
      </w:r>
      <w:r>
        <w:t xml:space="preserve"> </w:t>
      </w:r>
      <w:r>
        <w:rPr>
          <w:bCs/>
          <w:b/>
        </w:rPr>
        <w:t xml:space="preserve">What changed.</w:t>
      </w:r>
      <w:r>
        <w:t xml:space="preserve"> </w:t>
      </w:r>
      <w:r>
        <w:rPr>
          <w:rStyle w:val="VerbatimChar"/>
        </w:rPr>
        <w:t xml:space="preserve">[[The entry decision, the structure chosen, what happened next.]]</w:t>
      </w:r>
      <w:r>
        <w:t xml:space="preserve"> </w:t>
      </w:r>
      <w:r>
        <w:rPr>
          <w:bCs/>
          <w:b/>
        </w:rPr>
        <w:t xml:space="preserve">Attribution:</w:t>
      </w:r>
      <w:r>
        <w:t xml:space="preserve"> </w:t>
      </w:r>
      <w:r>
        <w:rPr>
          <w:rStyle w:val="VerbatimChar"/>
        </w:rPr>
        <w:t xml:space="preserve">[[Yours versus theirs.]]</w:t>
      </w:r>
    </w:p>
    <w:bookmarkEnd w:id="30"/>
    <w:bookmarkStart w:id="31" w:name="Xb863e4b7b17807b9c24dc3cfc98d6dabe70dd1f"/>
    <w:p>
      <w:pPr>
        <w:pStyle w:val="Heading2"/>
      </w:pPr>
      <w:r>
        <w:t xml:space="preserve">Example 2 —</w:t>
      </w:r>
      <w:r>
        <w:t xml:space="preserve"> </w:t>
      </w:r>
      <w:r>
        <w:rPr>
          <w:rStyle w:val="VerbatimChar"/>
        </w:rPr>
        <w:t xml:space="preserve">[[Partnership facilitation engagement]]</w:t>
      </w:r>
    </w:p>
    <w:p>
      <w:pPr>
        <w:pStyle w:val="FirstParagraph"/>
      </w:pPr>
      <w:r>
        <w:rPr>
          <w:bCs/>
          <w:b/>
        </w:rPr>
        <w:t xml:space="preserve">Client: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Market: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Period: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rPr>
          <w:rStyle w:val="VerbatimChar"/>
        </w:rPr>
        <w:t xml:space="preserve">[[#]]</w:t>
      </w:r>
    </w:p>
    <w:p>
      <w:pPr>
        <w:pStyle w:val="BodyText"/>
      </w:pPr>
      <w:r>
        <w:rPr>
          <w:rStyle w:val="VerbatimChar"/>
        </w:rPr>
        <w:t xml:space="preserve">[[Partnership facilitation is a named LEAP service: partner profile, screened shortlist, discreet introduction, commercial framework, negotiation support to heads of terms. Use a real instance where an introduction you made became a signed agreement.]]</w:t>
      </w:r>
    </w:p>
    <w:bookmarkEnd w:id="31"/>
    <w:bookmarkStart w:id="32" w:name="X65dc9b1b34074e006be739639aab1bd2310b455"/>
    <w:p>
      <w:pPr>
        <w:pStyle w:val="Heading2"/>
      </w:pPr>
      <w:r>
        <w:t xml:space="preserve">Example 3 —</w:t>
      </w:r>
      <w:r>
        <w:t xml:space="preserve"> </w:t>
      </w:r>
      <w:r>
        <w:rPr>
          <w:rStyle w:val="VerbatimChar"/>
        </w:rPr>
        <w:t xml:space="preserve">[[Regulatory or government engagement]]</w:t>
      </w:r>
    </w:p>
    <w:p>
      <w:pPr>
        <w:pStyle w:val="FirstParagraph"/>
      </w:pPr>
      <w:r>
        <w:rPr>
          <w:bCs/>
          <w:b/>
        </w:rPr>
        <w:t xml:space="preserve">Client: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Market: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Period:</w:t>
      </w:r>
      <w:r>
        <w:t xml:space="preserve"> </w:t>
      </w:r>
      <w:r>
        <w:rPr>
          <w:rStyle w:val="VerbatimChar"/>
        </w:rPr>
        <w:t xml:space="preserve">[[...]]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Reference:</w:t>
      </w:r>
      <w:r>
        <w:t xml:space="preserve"> </w:t>
      </w:r>
      <w:r>
        <w:rPr>
          <w:rStyle w:val="VerbatimChar"/>
        </w:rPr>
        <w:t xml:space="preserve">[[#]]</w:t>
      </w:r>
    </w:p>
    <w:p>
      <w:pPr>
        <w:pStyle w:val="BodyText"/>
      </w:pPr>
      <w:r>
        <w:rPr>
          <w:rStyle w:val="VerbatimChar"/>
        </w:rPr>
        <w:t xml:space="preserve">[[Strongest available example of navigating a regulatory, licensing or public-procurement pathway. Our large-scale development work in Egypt's New Administrative Capital and in Saudi Arabia involved substantial regulatory and authority navigation — if you can describe that honestly as market and policy navigation, with a referee, it belongs here.]]</w:t>
      </w:r>
    </w:p>
    <w:bookmarkEnd w:id="32"/>
    <w:bookmarkStart w:id="33" w:name="our-standing-in-these-markets"/>
    <w:p>
      <w:pPr>
        <w:pStyle w:val="Heading2"/>
      </w:pPr>
      <w:r>
        <w:t xml:space="preserve">Our standing in these markets</w:t>
      </w:r>
    </w:p>
    <w:p>
      <w:pPr>
        <w:pStyle w:val="FirstParagraph"/>
      </w:pPr>
      <w:r>
        <w:t xml:space="preserve">Across Egypt, Saudi Arabia, the United Arab Emirates, Kuwait and Qatar we have advised on 150</w:t>
      </w:r>
      <w:r>
        <w:t xml:space="preserve"> </w:t>
      </w:r>
      <w:r>
        <w:t xml:space="preserve">evaluated projects representing roughly USD 3 billion in analysed asset value, working with leading</w:t>
      </w:r>
      <w:r>
        <w:t xml:space="preserve"> </w:t>
      </w:r>
      <w:r>
        <w:t xml:space="preserve">developers and investors in both Egypt and Saudi Arabia on projects requiring sustained engagement</w:t>
      </w:r>
      <w:r>
        <w:t xml:space="preserve"> </w:t>
      </w:r>
      <w:r>
        <w:t xml:space="preserve">with regulatory frameworks, authorities and local partners. That work is the basis of the market</w:t>
      </w:r>
      <w:r>
        <w:t xml:space="preserve"> </w:t>
      </w:r>
      <w:r>
        <w:t xml:space="preserve">knowledge we bring — the regulatory environment, the commercial norms, and the opportunities that</w:t>
      </w:r>
      <w:r>
        <w:t xml:space="preserve"> </w:t>
      </w:r>
      <w:r>
        <w:t xml:space="preserve">never reach the advertised market.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roposed-fee-structure-category-4"/>
    <w:p>
      <w:pPr>
        <w:pStyle w:val="Heading1"/>
      </w:pPr>
      <w:r>
        <w:t xml:space="preserve">8. Proposed Fee Structure — Category 4</w:t>
      </w:r>
    </w:p>
    <w:p>
      <w:pPr>
        <w:pStyle w:val="FirstParagraph"/>
      </w:pPr>
      <w:r>
        <w:rPr>
          <w:iCs/>
          <w:i/>
        </w:rPr>
        <w:t xml:space="preserve">(RFP §3.1 item 8 — all figures in CAD)</w:t>
      </w:r>
    </w:p>
    <w:bookmarkStart w:id="35" w:name="hourly-rates-by-grade"/>
    <w:p>
      <w:pPr>
        <w:pStyle w:val="Heading2"/>
      </w:pPr>
      <w:r>
        <w:t xml:space="preserve">Hourly rates by grade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rate (CAD, excl. tax)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Engagement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Abdelrhman Soliman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Ahmed Ashraf, senior associates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Associate (in-market specialist)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per engagement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[[110]]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</w:t>
            </w:r>
          </w:p>
        </w:tc>
      </w:tr>
    </w:tbl>
    <w:p>
      <w:pPr>
        <w:pStyle w:val="BodyText"/>
      </w:pPr>
      <w:r>
        <w:t xml:space="preserve">Typical blend: Principal 20%, Senior Advisor 30%, Local Associate 30%, Analyst 20% —</w:t>
      </w:r>
      <w:r>
        <w:t xml:space="preserve"> </w:t>
      </w:r>
      <w:r>
        <w:rPr>
          <w:bCs/>
          <w:b/>
        </w:rPr>
        <w:t xml:space="preserve">blended</w:t>
      </w:r>
      <w:r>
        <w:rPr>
          <w:bCs/>
          <w:b/>
        </w:rPr>
        <w:t xml:space="preserve"> </w:t>
      </w:r>
      <w:r>
        <w:rPr>
          <w:bCs/>
          <w:b/>
        </w:rPr>
        <w:t xml:space="preserve">CAD 121 per hour</w:t>
      </w:r>
      <w:r>
        <w:t xml:space="preserve">. Local associate time is deliberately a large share: in this category the value is</w:t>
      </w:r>
      <w:r>
        <w:t xml:space="preserve"> </w:t>
      </w:r>
      <w:r>
        <w:t xml:space="preserve">in-market, and pricing it at principal rates would be poor value for GCC.</w:t>
      </w:r>
    </w:p>
    <w:bookmarkEnd w:id="35"/>
    <w:bookmarkStart w:id="36" w:name="engagement-packages"/>
    <w:p>
      <w:pPr>
        <w:pStyle w:val="Heading2"/>
      </w:pPr>
      <w:r>
        <w:t xml:space="preserve">Engagement packages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(CAD, excl. 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and Regulatory Landscape Assessment (one market)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32–40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 and Partnership Pathway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45–55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Identification and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35–45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Engagement and Procurement Pathway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38–48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market (same innovation, second geography)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Follow-on 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 rates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required</w:t>
            </w:r>
          </w:p>
        </w:tc>
      </w:tr>
    </w:tbl>
    <w:bookmarkEnd w:id="36"/>
    <w:bookmarkStart w:id="37" w:name="terms"/>
    <w:p>
      <w:pPr>
        <w:pStyle w:val="Heading2"/>
      </w:pPr>
      <w:r>
        <w:t xml:space="preserve">Terms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Basis.</w:t>
      </w:r>
      <w:r>
        <w:t xml:space="preserve"> </w:t>
      </w:r>
      <w:r>
        <w:t xml:space="preserve">Fixed fee against a stated hour ceiling; out-of-scope work at hourly rates agreed in</w:t>
      </w:r>
      <w:r>
        <w:t xml:space="preserve"> </w:t>
      </w:r>
      <w:r>
        <w:t xml:space="preserve">writing in advance.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Scope limit.</w:t>
      </w:r>
      <w:r>
        <w:t xml:space="preserve"> </w:t>
      </w:r>
      <w:r>
        <w:t xml:space="preserve">Regulatory and licensing advisory only. We do not provide legal services; filings</w:t>
      </w:r>
      <w:r>
        <w:t xml:space="preserve"> </w:t>
      </w:r>
      <w:r>
        <w:t xml:space="preserve">are made by licensed counsel, and we say so to the innovator at scoping.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Subcontracting.</w:t>
      </w:r>
      <w:r>
        <w:t xml:space="preserve"> </w:t>
      </w:r>
      <w:r>
        <w:t xml:space="preserve">Named local associates proposed to GCC before engagement start; LEAP remains</w:t>
      </w:r>
      <w:r>
        <w:t xml:space="preserve"> </w:t>
      </w:r>
      <w:r>
        <w:t xml:space="preserve">responsible for delivery.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Travel and expenses.</w:t>
      </w:r>
      <w:r>
        <w:t xml:space="preserve"> </w:t>
      </w:r>
      <w:r>
        <w:t xml:space="preserve">None proposed. In-market meetings within Egypt are included; travel outside</w:t>
      </w:r>
      <w:r>
        <w:t xml:space="preserve"> </w:t>
      </w:r>
      <w:r>
        <w:t xml:space="preserve">Egypt would be quoted separately for prior written approval.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Taxes.</w:t>
      </w:r>
      <w:r>
        <w:t xml:space="preserve"> </w:t>
      </w:r>
      <w:r>
        <w:t xml:space="preserve">LEAP is registered in</w:t>
      </w:r>
      <w:r>
        <w:t xml:space="preserve"> </w:t>
      </w:r>
      <w:r>
        <w:rPr>
          <w:rStyle w:val="VerbatimChar"/>
        </w:rPr>
        <w:t xml:space="preserve">[[Egypt]]</w:t>
      </w:r>
      <w:r>
        <w:t xml:space="preserve"> </w:t>
      </w:r>
      <w:r>
        <w:t xml:space="preserve">with no permanent establishment in Canada; on our</w:t>
      </w:r>
      <w:r>
        <w:t xml:space="preserve"> </w:t>
      </w:r>
      <w:r>
        <w:t xml:space="preserve">understanding Canadian GST/HST does not apply.</w:t>
      </w:r>
      <w:r>
        <w:t xml:space="preserve"> </w:t>
      </w:r>
      <w:r>
        <w:rPr>
          <w:bCs/>
          <w:b/>
        </w:rPr>
        <w:t xml:space="preserve">Applicable taxes: CAD 0.00.</w:t>
      </w:r>
      <w:r>
        <w:t xml:space="preserve"> </w:t>
      </w:r>
      <w:r>
        <w:rPr>
          <w:rStyle w:val="VerbatimChar"/>
        </w:rPr>
        <w:t xml:space="preserve">[[Confirm with your accountant.]]</w:t>
      </w:r>
    </w:p>
    <w:bookmarkEnd w:id="37"/>
    <w:bookmarkEnd w:id="38"/>
    <w:sect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4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2026-09-15T07:14:47Z</dcterms:created>
  <dcterms:modified xsi:type="dcterms:W3CDTF">2026-09-15T07:14:47Z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