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ategory-outline-category-5"/>
    <w:p>
      <w:pPr>
        <w:pStyle w:val="Heading1"/>
      </w:pPr>
      <w:r>
        <w:t xml:space="preserve">CATEGORY OUTLINE — CATEGORY 5</w:t>
      </w:r>
    </w:p>
    <w:bookmarkStart w:id="20" w:name="group-based-learning-and-facilitation"/>
    <w:p>
      <w:pPr>
        <w:pStyle w:val="Heading2"/>
      </w:pPr>
      <w:r>
        <w:t xml:space="preserve">Group-based Learning and Facilitation</w:t>
      </w:r>
    </w:p>
    <w:p>
      <w:pPr>
        <w:pStyle w:val="FirstParagraph"/>
      </w:pPr>
      <w:r>
        <w:rPr>
          <w:bCs/>
          <w:b/>
        </w:rPr>
        <w:t xml:space="preserve">LEAP Consulting · RFP-VA-2026-09-18 · Grand Challenges Canada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Xd91ddb92e519df2c03a4de4d995573c8c546dd7"/>
    <w:p>
      <w:pPr>
        <w:pStyle w:val="Heading1"/>
      </w:pPr>
      <w:r>
        <w:t xml:space="preserve">6. Proposed Approach and Engagement Structure</w:t>
      </w:r>
    </w:p>
    <w:p>
      <w:pPr>
        <w:pStyle w:val="FirstParagraph"/>
      </w:pPr>
      <w:r>
        <w:rPr>
          <w:iCs/>
          <w:i/>
        </w:rPr>
        <w:t xml:space="preserve">(RFP §3.1 item 6 — 3 pages)</w:t>
      </w:r>
    </w:p>
    <w:bookmarkStart w:id="22" w:name="the-problem-we-are-engaged-to-solve"/>
    <w:p>
      <w:pPr>
        <w:pStyle w:val="Heading2"/>
      </w:pPr>
      <w:r>
        <w:t xml:space="preserve">The problem we are engaged to solve</w:t>
      </w:r>
    </w:p>
    <w:p>
      <w:pPr>
        <w:pStyle w:val="FirstParagraph"/>
      </w:pPr>
      <w:r>
        <w:t xml:space="preserve">Earlier-stage innovators are usually stuck on the same handful of foundational things: what their</w:t>
      </w:r>
      <w:r>
        <w:t xml:space="preserve"> </w:t>
      </w:r>
      <w:r>
        <w:t xml:space="preserve">business model actually is, whether their unit economics work, what a funder will ask, what a</w:t>
      </w:r>
      <w:r>
        <w:t xml:space="preserve"> </w:t>
      </w:r>
      <w:r>
        <w:t xml:space="preserve">realistic operating plan looks like at their stage. Answering those one innovator at a time is slow</w:t>
      </w:r>
      <w:r>
        <w:t xml:space="preserve"> </w:t>
      </w:r>
      <w:r>
        <w:t xml:space="preserve">and expensive. Answering them badly — a lecture, a slide deck, a recorded webinar nobody finishes —</w:t>
      </w:r>
      <w:r>
        <w:t xml:space="preserve"> </w:t>
      </w:r>
      <w:r>
        <w:t xml:space="preserve">is worse, because it produces the appearance of support without changing anything.</w:t>
      </w:r>
    </w:p>
    <w:p>
      <w:pPr>
        <w:pStyle w:val="BodyText"/>
      </w:pPr>
      <w:r>
        <w:t xml:space="preserve">We design group learning that ends with each innovator holding something they built during the</w:t>
      </w:r>
      <w:r>
        <w:t xml:space="preserve"> </w:t>
      </w:r>
      <w:r>
        <w:t xml:space="preserve">session and can use the next day.</w:t>
      </w:r>
    </w:p>
    <w:bookmarkEnd w:id="22"/>
    <w:bookmarkStart w:id="23" w:name="why-we-are-credible-here"/>
    <w:p>
      <w:pPr>
        <w:pStyle w:val="Heading2"/>
      </w:pPr>
      <w:r>
        <w:t xml:space="preserve">Why we are credible here</w:t>
      </w:r>
    </w:p>
    <w:p>
      <w:pPr>
        <w:pStyle w:val="FirstParagraph"/>
      </w:pPr>
      <w:r>
        <w:t xml:space="preserve">We have advised over 100 early-stage ventures from idea stage to first round. The curriculum is not</w:t>
      </w:r>
      <w:r>
        <w:t xml:space="preserve"> </w:t>
      </w:r>
      <w:r>
        <w:t xml:space="preserve">theoretical: it is the set of questions we have answered repeatedly, one founder at a time, distilled</w:t>
      </w:r>
      <w:r>
        <w:t xml:space="preserve"> </w:t>
      </w:r>
      <w:r>
        <w:t xml:space="preserve">into the form that works for a group. The RFP asks for a balance of facilitation and subject-matter</w:t>
      </w:r>
      <w:r>
        <w:t xml:space="preserve"> </w:t>
      </w:r>
      <w:r>
        <w:t xml:space="preserve">expertise — our facilitators are the practitioners who do the 1:1 work in Categories 1, 2 and 4.</w:t>
      </w:r>
    </w:p>
    <w:bookmarkEnd w:id="23"/>
    <w:bookmarkStart w:id="24" w:name="design-principles"/>
    <w:p>
      <w:pPr>
        <w:pStyle w:val="Heading2"/>
      </w:pPr>
      <w:r>
        <w:t xml:space="preserve">Design principles</w:t>
      </w:r>
    </w:p>
    <w:p>
      <w:pPr>
        <w:pStyle w:val="FirstParagraph"/>
      </w:pPr>
      <w:r>
        <w:rPr>
          <w:bCs/>
          <w:b/>
        </w:rPr>
        <w:t xml:space="preserve">Work, not watch.</w:t>
      </w:r>
      <w:r>
        <w:t xml:space="preserve"> </w:t>
      </w:r>
      <w:r>
        <w:t xml:space="preserve">Every session is built around a tool the innovator completes with their own</w:t>
      </w:r>
      <w:r>
        <w:t xml:space="preserve"> </w:t>
      </w:r>
      <w:r>
        <w:t xml:space="preserve">numbers, live, with facilitator support. If a session could have been a recording, we designed it</w:t>
      </w:r>
      <w:r>
        <w:t xml:space="preserve"> </w:t>
      </w:r>
      <w:r>
        <w:t xml:space="preserve">wrong.</w:t>
      </w:r>
    </w:p>
    <w:p>
      <w:pPr>
        <w:pStyle w:val="BodyText"/>
      </w:pPr>
      <w:r>
        <w:rPr>
          <w:bCs/>
          <w:b/>
        </w:rPr>
        <w:t xml:space="preserve">Cohort-matched.</w:t>
      </w:r>
      <w:r>
        <w:t xml:space="preserve"> </w:t>
      </w:r>
      <w:r>
        <w:t xml:space="preserve">We group by stage and shared barrier, not convenience — a pre-revenue innovator</w:t>
      </w:r>
      <w:r>
        <w:t xml:space="preserve"> </w:t>
      </w:r>
      <w:r>
        <w:t xml:space="preserve">and one negotiating a second round need different sessions.</w:t>
      </w:r>
    </w:p>
    <w:p>
      <w:pPr>
        <w:pStyle w:val="BodyText"/>
      </w:pPr>
      <w:r>
        <w:rPr>
          <w:bCs/>
          <w:b/>
        </w:rPr>
        <w:t xml:space="preserve">Small enough to be real.</w:t>
      </w:r>
      <w:r>
        <w:t xml:space="preserve"> </w:t>
      </w:r>
      <w:r>
        <w:t xml:space="preserve">8–15 innovators per cohort. Above that participants stop speaking and</w:t>
      </w:r>
      <w:r>
        <w:t xml:space="preserve"> </w:t>
      </w:r>
      <w:r>
        <w:t xml:space="preserve">the peer exchange, usually the most valuable part, does not happen.</w:t>
      </w:r>
    </w:p>
    <w:p>
      <w:pPr>
        <w:pStyle w:val="BodyText"/>
      </w:pPr>
      <w:r>
        <w:rPr>
          <w:bCs/>
          <w:b/>
        </w:rPr>
        <w:t xml:space="preserve">Built for real conditions.</w:t>
      </w:r>
      <w:r>
        <w:t xml:space="preserve"> </w:t>
      </w:r>
      <w:r>
        <w:t xml:space="preserve">Low-bandwidth-tolerant platforms, 90-minute cap, scheduled across time</w:t>
      </w:r>
      <w:r>
        <w:t xml:space="preserve"> </w:t>
      </w:r>
      <w:r>
        <w:t xml:space="preserve">zones, recorded, with written summaries and tools distributed in advance.</w:t>
      </w:r>
    </w:p>
    <w:p>
      <w:pPr>
        <w:pStyle w:val="BodyText"/>
      </w:pPr>
      <w:r>
        <w:rPr>
          <w:bCs/>
          <w:b/>
        </w:rPr>
        <w:t xml:space="preserve">Arabic and English.</w:t>
      </w:r>
      <w:r>
        <w:t xml:space="preserve"> </w:t>
      </w:r>
      <w:r>
        <w:t xml:space="preserve">Cohorts delivered natively in either.</w:t>
      </w:r>
      <w:r>
        <w:t xml:space="preserve"> </w:t>
      </w:r>
      <w:r>
        <w:rPr>
          <w:rStyle w:val="VerbatimChar"/>
        </w:rPr>
        <w:t xml:space="preserve">[[Add French or Spanish only with a named associate who facilitates in them.]]</w:t>
      </w:r>
    </w:p>
    <w:bookmarkEnd w:id="24"/>
    <w:bookmarkStart w:id="25" w:name="what-we-deliver"/>
    <w:p>
      <w:pPr>
        <w:pStyle w:val="Heading2"/>
      </w:pPr>
      <w:r>
        <w:t xml:space="preserve">What we deliver</w:t>
      </w:r>
    </w:p>
    <w:p>
      <w:pPr>
        <w:pStyle w:val="FirstParagraph"/>
      </w:pPr>
      <w:r>
        <w:rPr>
          <w:bCs/>
          <w:b/>
        </w:rPr>
        <w:t xml:space="preserve">Virtual group-learning sessions.</w:t>
      </w:r>
      <w:r>
        <w:t xml:space="preserve"> </w:t>
      </w:r>
      <w:r>
        <w:t xml:space="preserve">90-minute working sessions on foundational concepts drawn from</w:t>
      </w:r>
      <w:r>
        <w:t xml:space="preserve"> </w:t>
      </w:r>
      <w:r>
        <w:t xml:space="preserve">Categories 1–4. Standard modules we can deliver from existing material: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Drawn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each innovator leaves with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your business model actually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completed model canvas with their own figures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economics from first principles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own cost-per-unit and break-even calculation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Reading your own financial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assumptions mapped, with the three that matter identified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Cash, runway and the decisions they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13-week cash view of their own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a funder will actually ask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gap list against a diligence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Choosing your funding 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funding pathway matched to their use of funds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Scaling pathways and what breaks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own ranked barrier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Entering a new market: what to check before you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market-readiness checklist for their target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[[Confirm which of these you already have material for and which need building — the internal plan carries the build estimate.]]</w:t>
      </w:r>
    </w:p>
    <w:p>
      <w:pPr>
        <w:pStyle w:val="BodyText"/>
      </w:pPr>
      <w:r>
        <w:rPr>
          <w:bCs/>
          <w:b/>
        </w:rPr>
        <w:t xml:space="preserve">Cohort modules.</w:t>
      </w:r>
      <w:r>
        <w:t xml:space="preserve"> </w:t>
      </w:r>
      <w:r>
        <w:t xml:space="preserve">Four linked sessions over 6–8 weeks with a single through-line, structured</w:t>
      </w:r>
      <w:r>
        <w:t xml:space="preserve"> </w:t>
      </w:r>
      <w:r>
        <w:t xml:space="preserve">between-session work, and office hours. This is where behaviour actually changes: the innovator</w:t>
      </w:r>
      <w:r>
        <w:t xml:space="preserve"> </w:t>
      </w:r>
      <w:r>
        <w:t xml:space="preserve">applies each session to their own organisation before the next one.</w:t>
      </w:r>
    </w:p>
    <w:p>
      <w:pPr>
        <w:pStyle w:val="BodyText"/>
      </w:pPr>
      <w:r>
        <w:rPr>
          <w:bCs/>
          <w:b/>
        </w:rPr>
        <w:t xml:space="preserve">Peer knowledge exchange.</w:t>
      </w:r>
      <w:r>
        <w:t xml:space="preserve"> </w:t>
      </w:r>
      <w:r>
        <w:t xml:space="preserve">Facilitated convenings — virtual, or in person where GCC wishes —</w:t>
      </w:r>
      <w:r>
        <w:t xml:space="preserve"> </w:t>
      </w:r>
      <w:r>
        <w:t xml:space="preserve">structured around a shared problem, with prepared prompts and a written synthesis afterwards. We</w:t>
      </w:r>
      <w:r>
        <w:t xml:space="preserve"> </w:t>
      </w:r>
      <w:r>
        <w:t xml:space="preserve">facilitate rather than present; the content comes from the room.</w:t>
      </w:r>
    </w:p>
    <w:p>
      <w:pPr>
        <w:pStyle w:val="BodyText"/>
      </w:pPr>
      <w:r>
        <w:rPr>
          <w:bCs/>
          <w:b/>
        </w:rPr>
        <w:t xml:space="preserve">Resource development.</w:t>
      </w:r>
      <w:r>
        <w:t xml:space="preserve"> </w:t>
      </w:r>
      <w:r>
        <w:t xml:space="preserve">Practical tools for earlier-stage innovators: worked templates, model</w:t>
      </w:r>
      <w:r>
        <w:t xml:space="preserve"> </w:t>
      </w:r>
      <w:r>
        <w:t xml:space="preserve">skeletons, checklists and short written guides, in Arabic and English, designed to be used unaided.</w:t>
      </w:r>
      <w:r>
        <w:t xml:space="preserve"> </w:t>
      </w:r>
      <w:r>
        <w:t xml:space="preserve">Everything we build for GCC is GCC’s to reuse across the portfolio.</w:t>
      </w:r>
    </w:p>
    <w:bookmarkEnd w:id="25"/>
    <w:bookmarkStart w:id="26" w:name="how-this-fits-gccs-operating-model"/>
    <w:p>
      <w:pPr>
        <w:pStyle w:val="Heading2"/>
      </w:pPr>
      <w:r>
        <w:t xml:space="preserve">How this fits GCC’s operating model</w:t>
      </w:r>
    </w:p>
    <w:p>
      <w:pPr>
        <w:numPr>
          <w:ilvl w:val="0"/>
          <w:numId w:val="1001"/>
        </w:numPr>
        <w:pStyle w:val="Compact"/>
      </w:pPr>
      <w:r>
        <w:t xml:space="preserve">Group support is for innovators not receiving 1:1 support, per the FAQ. We will not enrol an</w:t>
      </w:r>
      <w:r>
        <w:t xml:space="preserve"> </w:t>
      </w:r>
      <w:r>
        <w:t xml:space="preserve">innovator we are separately advising 1:1 without GCC’s explicit direction.</w:t>
      </w:r>
    </w:p>
    <w:p>
      <w:pPr>
        <w:numPr>
          <w:ilvl w:val="0"/>
          <w:numId w:val="1001"/>
        </w:numPr>
        <w:pStyle w:val="Compact"/>
      </w:pPr>
      <w:r>
        <w:t xml:space="preserve">Cohort design starts from GCC’s read of portfolio need. We propose the curriculum; GCC approves it.</w:t>
      </w:r>
    </w:p>
    <w:p>
      <w:pPr>
        <w:numPr>
          <w:ilvl w:val="0"/>
          <w:numId w:val="1001"/>
        </w:numPr>
        <w:pStyle w:val="Compact"/>
      </w:pPr>
      <w:r>
        <w:t xml:space="preserve">Cross-provider coordination is GCC’s to run; we make our schedule, materials and cohort lists</w:t>
      </w:r>
      <w:r>
        <w:t xml:space="preserve"> </w:t>
      </w:r>
      <w:r>
        <w:t xml:space="preserve">available to support it.</w:t>
      </w:r>
    </w:p>
    <w:p>
      <w:pPr>
        <w:numPr>
          <w:ilvl w:val="0"/>
          <w:numId w:val="1001"/>
        </w:numPr>
        <w:pStyle w:val="Compact"/>
      </w:pPr>
      <w:r>
        <w:t xml:space="preserve">Our 1:1 practice feeds the curriculum. Where we see a barrier recurring across several innovators,</w:t>
      </w:r>
      <w:r>
        <w:t xml:space="preserve"> </w:t>
      </w:r>
      <w:r>
        <w:t xml:space="preserve">we propose a session rather than five separate engagements — better value to GCC, even though it is</w:t>
      </w:r>
      <w:r>
        <w:t xml:space="preserve"> </w:t>
      </w:r>
      <w:r>
        <w:t xml:space="preserve">the smaller commission for us.</w:t>
      </w:r>
    </w:p>
    <w:bookmarkEnd w:id="26"/>
    <w:bookmarkStart w:id="27" w:name="how-we-track-whether-it-worked"/>
    <w:p>
      <w:pPr>
        <w:pStyle w:val="Heading2"/>
      </w:pPr>
      <w:r>
        <w:t xml:space="preserve">How we track whether it worked</w:t>
      </w:r>
    </w:p>
    <w:p>
      <w:pPr>
        <w:pStyle w:val="FirstParagraph"/>
      </w:pPr>
      <w:r>
        <w:t xml:space="preserve">Attendance is not an outcome. We measure: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Attendance against enrolment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Completion of the in-session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75% of 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Facilitator check, artefacts collected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Participant rating of usefulness (1–5)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Post-session survey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will change something as a result</w:t>
            </w:r>
            <w:r>
              <w:t xml:space="preserve">”</w:t>
            </w:r>
            <w:r>
              <w:t xml:space="preserve"> </w:t>
            </w:r>
            <w:r>
              <w:t xml:space="preserve">— with the change 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Post-session survey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actually 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60-day follow-up on a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 completion (multi-session)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75% attend 3 of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</w:tr>
    </w:tbl>
    <w:p>
      <w:pPr>
        <w:pStyle w:val="BodyText"/>
      </w:pPr>
      <w:r>
        <w:t xml:space="preserve">We report the 60-day follow-up honestly, including when it is disappointing. A session that rates</w:t>
      </w:r>
      <w:r>
        <w:t xml:space="preserve"> </w:t>
      </w:r>
      <w:r>
        <w:t xml:space="preserve">well and changes nothing is a failure we would rather diagnose than repeat.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previous-success"/>
    <w:p>
      <w:pPr>
        <w:pStyle w:val="Heading1"/>
      </w:pPr>
      <w:r>
        <w:t xml:space="preserve">7. Previous Success</w:t>
      </w:r>
    </w:p>
    <w:p>
      <w:pPr>
        <w:pStyle w:val="FirstParagraph"/>
      </w:pPr>
      <w:r>
        <w:rPr>
          <w:iCs/>
          <w:i/>
        </w:rPr>
        <w:t xml:space="preserve">(RFP §3.1 item 7 — 2–3 pages)</w:t>
      </w:r>
    </w:p>
    <w:p>
      <w:pPr>
        <w:pStyle w:val="BlockText"/>
      </w:pPr>
      <w:r>
        <w:rPr>
          <w:bCs/>
          <w:b/>
        </w:rPr>
        <w:t xml:space="preserve">Complete before submission.</w:t>
      </w:r>
      <w:r>
        <w:t xml:space="preserve"> </w:t>
      </w:r>
      <w:r>
        <w:t xml:space="preserve">Cohort and group facilitation work needs its own evidence — a</w:t>
      </w:r>
      <w:r>
        <w:t xml:space="preserve"> </w:t>
      </w:r>
      <w:r>
        <w:t xml:space="preserve">strong 1:1 record does not prove you can run a cohort. Use real programmes: accelerator cohorts,</w:t>
      </w:r>
      <w:r>
        <w:t xml:space="preserve"> </w:t>
      </w:r>
      <w:r>
        <w:t xml:space="preserve">bootcamps, workshop series, university or incubator programmes, investor-readiness cohorts. Name</w:t>
      </w:r>
      <w:r>
        <w:t xml:space="preserve"> </w:t>
      </w:r>
      <w:r>
        <w:t xml:space="preserve">the programme, the number of participants, and what participants did differently afterwards.</w:t>
      </w:r>
    </w:p>
    <w:bookmarkStart w:id="29" w:name="example-1-cohort-or-programme-name"/>
    <w:p>
      <w:pPr>
        <w:pStyle w:val="Heading2"/>
      </w:pPr>
      <w:r>
        <w:t xml:space="preserve">Example 1 —</w:t>
      </w:r>
      <w:r>
        <w:t xml:space="preserve"> </w:t>
      </w:r>
      <w:r>
        <w:rPr>
          <w:rStyle w:val="VerbatimChar"/>
        </w:rPr>
        <w:t xml:space="preserve">[[Cohort or programme name]]</w:t>
      </w:r>
    </w:p>
    <w:p>
      <w:pPr>
        <w:pStyle w:val="FirstParagraph"/>
      </w:pPr>
      <w:r>
        <w:rPr>
          <w:bCs/>
          <w:b/>
        </w:rPr>
        <w:t xml:space="preserve">Client / programme:</w:t>
      </w:r>
      <w:r>
        <w:t xml:space="preserve"> </w:t>
      </w:r>
      <w:r>
        <w:rPr>
          <w:rStyle w:val="VerbatimChar"/>
        </w:rPr>
        <w:t xml:space="preserve">[[...]]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Participants:</w:t>
      </w:r>
      <w:r>
        <w:t xml:space="preserve"> </w:t>
      </w:r>
      <w:r>
        <w:rPr>
          <w:rStyle w:val="VerbatimChar"/>
        </w:rPr>
        <w:t xml:space="preserve">[[n]]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Period:</w:t>
      </w:r>
      <w:r>
        <w:t xml:space="preserve"> </w:t>
      </w:r>
      <w:r>
        <w:rPr>
          <w:rStyle w:val="VerbatimChar"/>
        </w:rPr>
        <w:t xml:space="preserve">[[...]]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Reference:</w:t>
      </w:r>
      <w:r>
        <w:t xml:space="preserve"> </w:t>
      </w:r>
      <w:r>
        <w:rPr>
          <w:rStyle w:val="VerbatimChar"/>
        </w:rPr>
        <w:t xml:space="preserve">[[#]]</w:t>
      </w:r>
    </w:p>
    <w:p>
      <w:pPr>
        <w:pStyle w:val="BodyText"/>
      </w:pPr>
      <w:r>
        <w:rPr>
          <w:bCs/>
          <w:b/>
        </w:rPr>
        <w:t xml:space="preserve">The problem.</w:t>
      </w:r>
      <w:r>
        <w:t xml:space="preserve"> </w:t>
      </w:r>
      <w:r>
        <w:rPr>
          <w:rStyle w:val="VerbatimChar"/>
        </w:rPr>
        <w:t xml:space="preserve">[[What the cohort needed, and at what stage.]]</w:t>
      </w:r>
      <w:r>
        <w:t xml:space="preserve"> </w:t>
      </w:r>
      <w:r>
        <w:rPr>
          <w:bCs/>
          <w:b/>
        </w:rPr>
        <w:t xml:space="preserve">What we did.</w:t>
      </w:r>
      <w:r>
        <w:t xml:space="preserve"> </w:t>
      </w:r>
      <w:r>
        <w:rPr>
          <w:rStyle w:val="VerbatimChar"/>
        </w:rPr>
        <w:t xml:space="preserve">[[Curriculum, format, number of sessions, how you facilitated.]]</w:t>
      </w:r>
      <w:r>
        <w:t xml:space="preserve"> </w:t>
      </w:r>
      <w:r>
        <w:rPr>
          <w:bCs/>
          <w:b/>
        </w:rPr>
        <w:t xml:space="preserve">What changed.</w:t>
      </w:r>
      <w:r>
        <w:t xml:space="preserve"> </w:t>
      </w:r>
      <w:r>
        <w:rPr>
          <w:rStyle w:val="VerbatimChar"/>
        </w:rPr>
        <w:t xml:space="preserve">[[What participants did afterwards — raises, models built, decisions taken, completion and satisfaction figures if you have them.]]</w:t>
      </w:r>
      <w:r>
        <w:t xml:space="preserve"> </w:t>
      </w:r>
      <w:r>
        <w:rPr>
          <w:bCs/>
          <w:b/>
        </w:rPr>
        <w:t xml:space="preserve">Attribution:</w:t>
      </w:r>
      <w:r>
        <w:t xml:space="preserve"> </w:t>
      </w:r>
      <w:r>
        <w:rPr>
          <w:rStyle w:val="VerbatimChar"/>
        </w:rPr>
        <w:t xml:space="preserve">[[Yours versus theirs.]]</w:t>
      </w:r>
    </w:p>
    <w:bookmarkEnd w:id="29"/>
    <w:bookmarkStart w:id="30" w:name="Xf94e16b9eb595b8b74f16b3ce1448c29a5d00ce"/>
    <w:p>
      <w:pPr>
        <w:pStyle w:val="Heading2"/>
      </w:pPr>
      <w:r>
        <w:t xml:space="preserve">Example 2 —</w:t>
      </w:r>
      <w:r>
        <w:t xml:space="preserve"> </w:t>
      </w:r>
      <w:r>
        <w:rPr>
          <w:rStyle w:val="VerbatimChar"/>
        </w:rPr>
        <w:t xml:space="preserve">[[Workshop series or resource development]]</w:t>
      </w:r>
    </w:p>
    <w:p>
      <w:pPr>
        <w:pStyle w:val="FirstParagraph"/>
      </w:pPr>
      <w:r>
        <w:rPr>
          <w:bCs/>
          <w:b/>
        </w:rPr>
        <w:t xml:space="preserve">Client:</w:t>
      </w:r>
      <w:r>
        <w:t xml:space="preserve"> </w:t>
      </w:r>
      <w:r>
        <w:rPr>
          <w:rStyle w:val="VerbatimChar"/>
        </w:rPr>
        <w:t xml:space="preserve">[[...]]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Period:</w:t>
      </w:r>
      <w:r>
        <w:t xml:space="preserve"> </w:t>
      </w:r>
      <w:r>
        <w:rPr>
          <w:rStyle w:val="VerbatimChar"/>
        </w:rPr>
        <w:t xml:space="preserve">[[...]]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Reference:</w:t>
      </w:r>
      <w:r>
        <w:t xml:space="preserve"> </w:t>
      </w:r>
      <w:r>
        <w:rPr>
          <w:rStyle w:val="VerbatimChar"/>
        </w:rPr>
        <w:t xml:space="preserve">[[#]]</w:t>
      </w:r>
    </w:p>
    <w:p>
      <w:pPr>
        <w:pStyle w:val="BodyText"/>
      </w:pPr>
      <w:r>
        <w:rPr>
          <w:rStyle w:val="VerbatimChar"/>
        </w:rPr>
        <w:t xml:space="preserve">[[If you have built tools, templates or guides that others used unaided, that evidences the resource-development limb of this category directly.]]</w:t>
      </w:r>
    </w:p>
    <w:bookmarkEnd w:id="30"/>
    <w:bookmarkStart w:id="31" w:name="example-3-optional-third"/>
    <w:p>
      <w:pPr>
        <w:pStyle w:val="Heading2"/>
      </w:pPr>
      <w:r>
        <w:t xml:space="preserve">Example 3 —</w:t>
      </w:r>
      <w:r>
        <w:t xml:space="preserve"> </w:t>
      </w:r>
      <w:r>
        <w:rPr>
          <w:rStyle w:val="VerbatimChar"/>
        </w:rPr>
        <w:t xml:space="preserve">[[Optional third]]</w:t>
      </w:r>
    </w:p>
    <w:p>
      <w:pPr>
        <w:pStyle w:val="FirstParagraph"/>
      </w:pPr>
      <w:r>
        <w:rPr>
          <w:rStyle w:val="VerbatimChar"/>
        </w:rPr>
        <w:t xml:space="preserve">[[Two strong examples beat three where the third is thin.]]</w:t>
      </w:r>
    </w:p>
    <w:bookmarkEnd w:id="31"/>
    <w:bookmarkStart w:id="32" w:name="the-basis-of-our-curriculum"/>
    <w:p>
      <w:pPr>
        <w:pStyle w:val="Heading2"/>
      </w:pPr>
      <w:r>
        <w:t xml:space="preserve">The basis of our curriculum</w:t>
      </w:r>
    </w:p>
    <w:p>
      <w:pPr>
        <w:pStyle w:val="FirstParagraph"/>
      </w:pPr>
      <w:r>
        <w:t xml:space="preserve">Over 100 early-stage ventures advised from idea stage to first round, and more than 50 financial</w:t>
      </w:r>
      <w:r>
        <w:t xml:space="preserve"> </w:t>
      </w:r>
      <w:r>
        <w:t xml:space="preserve">models built and reviewed. Every module we propose comes from a question we have answered repeatedly</w:t>
      </w:r>
      <w:r>
        <w:t xml:space="preserve"> </w:t>
      </w:r>
      <w:r>
        <w:t xml:space="preserve">in 1:1 work, which is why our sessions run as working sessions rather than presentations — we already</w:t>
      </w:r>
      <w:r>
        <w:t xml:space="preserve"> </w:t>
      </w:r>
      <w:r>
        <w:t xml:space="preserve">know where innovators get stuck, and we have built the tool that unsticks them.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roposed-fee-structure-category-5"/>
    <w:p>
      <w:pPr>
        <w:pStyle w:val="Heading1"/>
      </w:pPr>
      <w:r>
        <w:t xml:space="preserve">8. Proposed Fee Structure — Category 5</w:t>
      </w:r>
    </w:p>
    <w:p>
      <w:pPr>
        <w:pStyle w:val="FirstParagraph"/>
      </w:pPr>
      <w:r>
        <w:rPr>
          <w:iCs/>
          <w:i/>
        </w:rPr>
        <w:t xml:space="preserve">(RFP §3.1 item 8 — all figures in CAD)</w:t>
      </w:r>
    </w:p>
    <w:bookmarkStart w:id="34" w:name="hourly-rates-by-grade"/>
    <w:p>
      <w:pPr>
        <w:pStyle w:val="Heading2"/>
      </w:pPr>
      <w:r>
        <w:t xml:space="preserve">Hourly rates by grade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 rate (CAD, excl. tax)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Facilitator (Principal)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Abdelrhman Soliman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Facilitator / Subject Matter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Ahmed Ashraf, senior associates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Curriculum and Materials Designer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[[Named]]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[[95]]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Analyst / Session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 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</w:t>
            </w:r>
          </w:p>
        </w:tc>
      </w:tr>
    </w:tbl>
    <w:p>
      <w:pPr>
        <w:pStyle w:val="BodyText"/>
      </w:pPr>
      <w:r>
        <w:t xml:space="preserve">Group work is priced per session and per module rather than per hour, because the value is in the</w:t>
      </w:r>
      <w:r>
        <w:t xml:space="preserve"> </w:t>
      </w:r>
      <w:r>
        <w:t xml:space="preserve">design and the materials rather than in the time in the room. Hours shown are the full effort:</w:t>
      </w:r>
      <w:r>
        <w:t xml:space="preserve"> </w:t>
      </w:r>
      <w:r>
        <w:t xml:space="preserve">design, materials, delivery, follow-up.</w:t>
      </w:r>
    </w:p>
    <w:bookmarkEnd w:id="34"/>
    <w:bookmarkStart w:id="35" w:name="session-and-module-packages"/>
    <w:p>
      <w:pPr>
        <w:pStyle w:val="Heading2"/>
      </w:pPr>
      <w:r>
        <w:t xml:space="preserve">Session and module packages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(CAD, excl. tax)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virtual session — first delivery (design + materials + delivery + summary)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14–16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minutes live; 8–15 participants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virtual session — repeat delivery of an existing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module, new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Four-session cohort module (design, delivery, materials, office hours, synthesis)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52–60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6–8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Peer knowledge exchange — virtual half-day (design, facilitation, written synthesis)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2,900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 development — toolkit, template pack or written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28–34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Bilingual Arabic/English:</w:t>
            </w:r>
            <w:r>
              <w:t xml:space="preserve"> </w:t>
            </w:r>
            <w:r>
              <w:rPr>
                <w:bCs/>
                <w:b/>
              </w:rPr>
              <w:t xml:space="preserve">+ 1,100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Curriculum design for a full programme (GCC-owned)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Quoted per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hourly rates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In-person convening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Quoted separately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GCC requests; not proposed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Repeat delivery is deliberately cheap.</w:t>
      </w:r>
      <w:r>
        <w:t xml:space="preserve"> </w:t>
      </w:r>
      <w:r>
        <w:t xml:space="preserve">Once a module is built, running it again for a new cohort</w:t>
      </w:r>
      <w:r>
        <w:t xml:space="preserve"> </w:t>
      </w:r>
      <w:r>
        <w:t xml:space="preserve">costs GCC CAD 750. A portfolio-wide programme should get cheaper per innovator as it scales, and our</w:t>
      </w:r>
      <w:r>
        <w:t xml:space="preserve"> </w:t>
      </w:r>
      <w:r>
        <w:t xml:space="preserve">pricing reflects that rather than resetting to full price each time.</w:t>
      </w:r>
    </w:p>
    <w:p>
      <w:pPr>
        <w:pStyle w:val="BodyText"/>
      </w:pPr>
      <w:r>
        <w:rPr>
          <w:bCs/>
          <w:b/>
        </w:rPr>
        <w:t xml:space="preserve">Annual cohort programme — indicative.</w:t>
      </w:r>
      <w:r>
        <w:t xml:space="preserve"> </w:t>
      </w:r>
      <w:r>
        <w:t xml:space="preserve">8 distinct modules built and delivered, each repeated twice</w:t>
      </w:r>
      <w:r>
        <w:t xml:space="preserve"> </w:t>
      </w:r>
      <w:r>
        <w:t xml:space="preserve">across the year (24 deliveries), plus 2 peer exchanges and 3 bilingual resource packs:</w:t>
      </w:r>
      <w:r>
        <w:t xml:space="preserve"> </w:t>
      </w:r>
      <w:r>
        <w:rPr>
          <w:bCs/>
          <w:b/>
        </w:rPr>
        <w:t xml:space="preserve">CAD 42,000</w:t>
      </w:r>
      <w:r>
        <w:t xml:space="preserve"> </w:t>
      </w:r>
      <w:r>
        <w:t xml:space="preserve">(approximately 380–420 hours), roughly</w:t>
      </w:r>
      <w:r>
        <w:t xml:space="preserve"> </w:t>
      </w:r>
      <w:r>
        <w:rPr>
          <w:bCs/>
          <w:b/>
        </w:rPr>
        <w:t xml:space="preserve">CAD 1,750 per delivery</w:t>
      </w:r>
      <w:r>
        <w:t xml:space="preserve">.</w:t>
      </w:r>
      <w:r>
        <w:t xml:space="preserve"> </w:t>
      </w:r>
      <w:r>
        <w:rPr>
          <w:rStyle w:val="VerbatimChar"/>
        </w:rPr>
        <w:t xml:space="preserve">[[Adjust to whatever cohort volume GCC signals at negotiation.]]</w:t>
      </w:r>
    </w:p>
    <w:bookmarkEnd w:id="35"/>
    <w:bookmarkStart w:id="36" w:name="terms"/>
    <w:p>
      <w:pPr>
        <w:pStyle w:val="Heading2"/>
      </w:pPr>
      <w:r>
        <w:t xml:space="preserve">Terms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Basis.</w:t>
      </w:r>
      <w:r>
        <w:t xml:space="preserve"> </w:t>
      </w:r>
      <w:r>
        <w:t xml:space="preserve">Fixed fee per session, module or resource. Out-of-scope work at hourly rates agreed in</w:t>
      </w:r>
      <w:r>
        <w:t xml:space="preserve"> </w:t>
      </w:r>
      <w:r>
        <w:t xml:space="preserve">advance in writing.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Ownership.</w:t>
      </w:r>
      <w:r>
        <w:t xml:space="preserve"> </w:t>
      </w:r>
      <w:r>
        <w:t xml:space="preserve">Materials developed for GCC are GCC’s to reuse across its portfolio in perpetuity.</w:t>
      </w:r>
      <w:r>
        <w:t xml:space="preserve"> </w:t>
      </w:r>
      <w:r>
        <w:t xml:space="preserve">Our pre-existing frameworks and model templates remain ours, licensed to GCC for portfolio use.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Minimum notice.</w:t>
      </w:r>
      <w:r>
        <w:t xml:space="preserve"> </w:t>
      </w:r>
      <w:r>
        <w:t xml:space="preserve">10 business days for a repeat delivery; 20 for a new module.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Cancellation.</w:t>
      </w:r>
      <w:r>
        <w:t xml:space="preserve"> </w:t>
      </w:r>
      <w:r>
        <w:t xml:space="preserve">No charge with 5 or more business days’ notice; 50% inside 5 days.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Travel and expenses.</w:t>
      </w:r>
      <w:r>
        <w:t xml:space="preserve"> </w:t>
      </w:r>
      <w:r>
        <w:t xml:space="preserve">None proposed; delivery is virtual.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Taxes.</w:t>
      </w:r>
      <w:r>
        <w:t xml:space="preserve"> </w:t>
      </w:r>
      <w:r>
        <w:t xml:space="preserve">LEAP is registered in</w:t>
      </w:r>
      <w:r>
        <w:t xml:space="preserve"> </w:t>
      </w:r>
      <w:r>
        <w:rPr>
          <w:rStyle w:val="VerbatimChar"/>
        </w:rPr>
        <w:t xml:space="preserve">[[Egypt]]</w:t>
      </w:r>
      <w:r>
        <w:t xml:space="preserve"> </w:t>
      </w:r>
      <w:r>
        <w:t xml:space="preserve">with no permanent establishment in Canada; on our</w:t>
      </w:r>
      <w:r>
        <w:t xml:space="preserve"> </w:t>
      </w:r>
      <w:r>
        <w:t xml:space="preserve">understanding Canadian GST/HST does not apply.</w:t>
      </w:r>
      <w:r>
        <w:t xml:space="preserve"> </w:t>
      </w:r>
      <w:r>
        <w:rPr>
          <w:bCs/>
          <w:b/>
        </w:rPr>
        <w:t xml:space="preserve">Applicable taxes: CAD 0.00.</w:t>
      </w:r>
      <w:r>
        <w:t xml:space="preserve"> </w:t>
      </w:r>
      <w:r>
        <w:rPr>
          <w:rStyle w:val="VerbatimChar"/>
        </w:rPr>
        <w:t xml:space="preserve">[[Confirm with your accountant.]]</w:t>
      </w:r>
    </w:p>
    <w:bookmarkEnd w:id="36"/>
    <w:bookmarkEnd w:id="37"/>
    <w:sectPr>
      <w:pgSz w:h="15840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4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2026-09-15T07:14:47Z</dcterms:created>
  <dcterms:modified xsi:type="dcterms:W3CDTF">2026-09-15T07:14:47Z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