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4b7ec3b38a1bc61a6b282db865e1f2a257f6845"/>
    <w:p>
      <w:pPr>
        <w:pStyle w:val="Heading1"/>
      </w:pPr>
      <w:r>
        <w:t xml:space="preserve">INTERNAL — GCC Venture Advisory Bid: Resources, Delivery Plan and KPIs</w:t>
      </w:r>
    </w:p>
    <w:p>
      <w:pPr>
        <w:pStyle w:val="FirstParagraph"/>
      </w:pPr>
      <w:r>
        <w:rPr>
          <w:bCs/>
          <w:b/>
        </w:rPr>
        <w:t xml:space="preserve">LEAP Consulting · RFP-VA-2026-09-18 · Not for circulation outside LEAP</w:t>
      </w:r>
    </w:p>
    <w:p>
      <w:pPr>
        <w:pStyle w:val="BlockText"/>
      </w:pPr>
      <w:r>
        <w:t xml:space="preserve">This document is for you and your team. It is not part of the submission and must not be sent to</w:t>
      </w:r>
      <w:r>
        <w:t xml:space="preserve"> </w:t>
      </w:r>
      <w:r>
        <w:t xml:space="preserve">Grand Challenges Canada. It covers what we are bidding, what has to be true before we submit, what</w:t>
      </w:r>
      <w:r>
        <w:t xml:space="preserve"> </w:t>
      </w:r>
      <w:r>
        <w:t xml:space="preserve">it takes to deliver if we win, what it earns, and how we will know it is working.</w:t>
      </w:r>
    </w:p>
    <w:p>
      <w:r>
        <w:pict>
          <v:rect style="width:0;height:1.5pt" o:hralign="center" o:hrstd="t" o:hr="t"/>
        </w:pict>
      </w:r>
    </w:p>
    <w:bookmarkStart w:id="20" w:name="the-deadline"/>
    <w:p>
      <w:pPr>
        <w:pStyle w:val="Heading2"/>
      </w:pPr>
      <w:r>
        <w:t xml:space="preserve">1. The deadline</w:t>
      </w:r>
    </w:p>
    <w:p>
      <w:pPr>
        <w:pStyle w:val="FirstParagraph"/>
      </w:pPr>
      <w:r>
        <w:rPr>
          <w:bCs/>
          <w:b/>
        </w:rPr>
        <w:t xml:space="preserve">First-phase proposals are due 18 September 2026, 23:59 EST.</w:t>
      </w:r>
      <w:r>
        <w:t xml:space="preserve"> </w:t>
      </w:r>
      <w:r>
        <w:t xml:space="preserve">Today is 15 September 2026. That is</w:t>
      </w:r>
      <w:r>
        <w:t xml:space="preserve"> </w:t>
      </w:r>
      <w:r>
        <w:rPr>
          <w:bCs/>
          <w:b/>
        </w:rPr>
        <w:t xml:space="preserve">three days</w:t>
      </w:r>
      <w:r>
        <w:t xml:space="preserve">, and Cairo is 7 hours ahead of Toronto — the deadline falls at</w:t>
      </w:r>
      <w:r>
        <w:t xml:space="preserve"> </w:t>
      </w:r>
      <w:r>
        <w:rPr>
          <w:bCs/>
          <w:b/>
        </w:rPr>
        <w:t xml:space="preserve">06:59 Cairo time on</w:t>
      </w:r>
      <w:r>
        <w:rPr>
          <w:bCs/>
          <w:b/>
        </w:rPr>
        <w:t xml:space="preserve"> </w:t>
      </w:r>
      <w:r>
        <w:rPr>
          <w:bCs/>
          <w:b/>
        </w:rPr>
        <w:t xml:space="preserve">19 September</w:t>
      </w:r>
      <w:r>
        <w:t xml:space="preserve">, so the practical cut-off for a calm submission is the evening of 18 September Cairo</w:t>
      </w:r>
      <w:r>
        <w:t xml:space="preserve"> </w:t>
      </w:r>
      <w:r>
        <w:t xml:space="preserve">time.</w:t>
      </w:r>
    </w:p>
    <w:p>
      <w:pPr>
        <w:pStyle w:val="BodyText"/>
      </w:pPr>
      <w:r>
        <w:t xml:space="preserve">Applications continue on a rolling basis until 18 September 2027, but</w:t>
      </w:r>
      <w:r>
        <w:t xml:space="preserve"> </w:t>
      </w:r>
      <w:r>
        <w:rPr>
          <w:bCs/>
          <w:b/>
        </w:rPr>
        <w:t xml:space="preserve">GCC states it will give</w:t>
      </w:r>
      <w:r>
        <w:rPr>
          <w:bCs/>
          <w:b/>
        </w:rPr>
        <w:t xml:space="preserve"> </w:t>
      </w:r>
      <w:r>
        <w:rPr>
          <w:bCs/>
          <w:b/>
        </w:rPr>
        <w:t xml:space="preserve">preferential selection to first-phase applicants</w:t>
      </w:r>
      <w:r>
        <w:t xml:space="preserve">. Submitting late is a materially worse position.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for 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Proposals due (first phase)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 Sep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Applicants invited to interview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Oct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prep window opens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Applicants notified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Oct 2026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Oct – 20 Nov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Rates, contract ceiling, reporting, AI policy, GCC frameworks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Engagements begin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Jan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Mobilisation must be complete by 31 Dec 2026</w:t>
            </w:r>
          </w:p>
        </w:tc>
      </w:tr>
    </w:tbl>
    <w:p>
      <w:pPr>
        <w:pStyle w:val="BodyText"/>
      </w:pPr>
      <w:r>
        <w:t xml:space="preserve">Contract runs 1 Jan – 31 Dec 2027, renewable for successive terms of up to two years, to a maximum of</w:t>
      </w:r>
      <w:r>
        <w:t xml:space="preserve"> </w:t>
      </w:r>
      <w:r>
        <w:t xml:space="preserve">six further years.</w:t>
      </w:r>
      <w:r>
        <w:t xml:space="preserve"> </w:t>
      </w:r>
      <w:r>
        <w:rPr>
          <w:bCs/>
          <w:b/>
        </w:rPr>
        <w:t xml:space="preserve">Treat this as a potential seven-year relationship, not a one-year contract.</w:t>
      </w:r>
      <w:r>
        <w:t xml:space="preserve"> </w:t>
      </w:r>
      <w:r>
        <w:t xml:space="preserve">That</w:t>
      </w:r>
      <w:r>
        <w:t xml:space="preserve"> </w:t>
      </w:r>
      <w:r>
        <w:t xml:space="preserve">should govern how we price and how hard we protect delivery quality in year one.</w:t>
      </w:r>
    </w:p>
    <w:p>
      <w:r>
        <w:pict>
          <v:rect style="width:0;height:1.5pt" o:hralign="center" o:hrstd="t" o:hr="t"/>
        </w:pict>
      </w:r>
    </w:p>
    <w:bookmarkEnd w:id="20"/>
    <w:bookmarkStart w:id="23" w:name="what-we-are-bidding-and-why"/>
    <w:p>
      <w:pPr>
        <w:pStyle w:val="Heading2"/>
      </w:pPr>
      <w:r>
        <w:t xml:space="preserve">2. What we are bidding, and why</w:t>
      </w:r>
    </w:p>
    <w:bookmarkStart w:id="21" w:name="categories"/>
    <w:p>
      <w:pPr>
        <w:pStyle w:val="Heading3"/>
      </w:pPr>
      <w:r>
        <w:t xml:space="preserve">Categories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Bidding?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Capital and Financial Strategy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— lead 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our core practice. 50+ models, 100+ ventures, USD 10M+ supported, data rooms and independent due diligence. Strongest evidence, strongest referees.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Business Models and Operations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— 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economics and cost structure is the substrate of our modelling work. Credible without stretching.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Market and Policy Navigation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market-entry and regulatory practice across 5 MENA markets, plus Arabic.</w:t>
            </w:r>
            <w:r>
              <w:t xml:space="preserve"> </w:t>
            </w:r>
            <w:r>
              <w:rPr>
                <w:bCs/>
                <w:b/>
              </w:rPr>
              <w:t xml:space="preserve">Bid only if we can name two real examples with a referee.</w:t>
            </w:r>
            <w:r>
              <w:t xml:space="preserve"> </w:t>
            </w:r>
            <w:r>
              <w:t xml:space="preserve">See §4.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— Group-based Learning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ventures advised gives us tested curriculum content. Needs cohort-specific evidence — see §4.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Leadership and Organisational Strengthening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referenceable track record in board development, safeguarding, gender or talent strategy.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— Specialist Advisory: Evidence, Gender, 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monitoring-and-evaluation design or gender-framework track record.</w:t>
            </w:r>
          </w:p>
        </w:tc>
      </w:tr>
    </w:tbl>
    <w:p>
      <w:pPr>
        <w:pStyle w:val="BodyText"/>
      </w:pPr>
      <w:r>
        <w:t xml:space="preserve">Bidding 3 or 6 without evidence would fail on the 30% track-record weighting and risks the</w:t>
      </w:r>
      <w:r>
        <w:t xml:space="preserve"> </w:t>
      </w:r>
      <w:r>
        <w:t xml:space="preserve">credibility of the whole submission when GCC calls referees. The RFP and FAQ both confirm categories</w:t>
      </w:r>
      <w:r>
        <w:t xml:space="preserve"> </w:t>
      </w:r>
      <w:r>
        <w:t xml:space="preserve">are scored independently — so a tight four-category bid costs us nothing.</w:t>
      </w:r>
    </w:p>
    <w:bookmarkEnd w:id="21"/>
    <w:bookmarkStart w:id="22" w:name="Xb85477a008ad138d7338d8bf6ccb5c998b250a8"/>
    <w:p>
      <w:pPr>
        <w:pStyle w:val="Heading3"/>
      </w:pPr>
      <w:r>
        <w:t xml:space="preserve">How the scoring works, and where we win or lose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moves the needle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 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Weakest link.</w:t>
            </w:r>
            <w:r>
              <w:t xml:space="preserve"> </w:t>
            </w:r>
            <w:r>
              <w:t xml:space="preserve">Real work, but our documented cases are MENA real estate and private ventures, not global-health innovators.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examples with quantified before-and-after, and five briefed referees. This is where to spend remaining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Relevant hands-on expertise and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for 1 and 2; good for 4 within MENA.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the associate bench. Depth beats breadth.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 and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Strong. Our scoping-note / decision-session / close-out-note rhythm matches exactly what GCC describes: time-bound, decision-centric, actionable.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built into every outline.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Structural advantage.</w:t>
            </w:r>
            <w:r>
              <w:t xml:space="preserve"> </w:t>
            </w:r>
            <w:r>
              <w:t xml:space="preserve">Cairo cost base at CAD 123 blended, against Toronto or London providers at two to three times that.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discount further; make the value visible instead.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contexts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— Arabic named explicitly, and Egypt is an LMIC we operate from, not visit.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French or Spanish only with a named associate.</w:t>
            </w:r>
          </w:p>
        </w:tc>
      </w:tr>
    </w:tbl>
    <w:p>
      <w:pPr>
        <w:pStyle w:val="BodyText"/>
      </w:pPr>
      <w:r>
        <w:rPr>
          <w:bCs/>
          <w:b/>
        </w:rPr>
        <w:t xml:space="preserve">Our honest win theme:</w:t>
      </w:r>
      <w:r>
        <w:t xml:space="preserve"> </w:t>
      </w:r>
      <w:r>
        <w:rPr>
          <w:iCs/>
          <w:i/>
        </w:rPr>
        <w:t xml:space="preserve">institutional-grade financial and operating analysis, delivered from</w:t>
      </w:r>
      <w:r>
        <w:rPr>
          <w:iCs/>
          <w:i/>
        </w:rPr>
        <w:t xml:space="preserve"> </w:t>
      </w:r>
      <w:r>
        <w:rPr>
          <w:iCs/>
          <w:i/>
        </w:rPr>
        <w:t xml:space="preserve">inside an emerging market, in the innovator’s language, at a cost structure a Toronto firm cannot</w:t>
      </w:r>
      <w:r>
        <w:rPr>
          <w:iCs/>
          <w:i/>
        </w:rPr>
        <w:t xml:space="preserve"> </w:t>
      </w:r>
      <w:r>
        <w:rPr>
          <w:iCs/>
          <w:i/>
        </w:rPr>
        <w:t xml:space="preserve">match.</w:t>
      </w:r>
    </w:p>
    <w:p>
      <w:pPr>
        <w:pStyle w:val="BodyText"/>
      </w:pPr>
      <w:r>
        <w:rPr>
          <w:bCs/>
          <w:b/>
        </w:rPr>
        <w:t xml:space="preserve">Our honest risk:</w:t>
      </w:r>
      <w:r>
        <w:t xml:space="preserve"> </w:t>
      </w:r>
      <w:r>
        <w:t xml:space="preserve">no demonstrated global-health or LMIC-innovator portfolio experience. GCC lists</w:t>
      </w:r>
      <w:r>
        <w:t xml:space="preserve"> </w:t>
      </w:r>
      <w:r>
        <w:t xml:space="preserve">primary healthcare, climate and health, and youth mental health as assets, not requirements — but a</w:t>
      </w:r>
      <w:r>
        <w:t xml:space="preserve"> </w:t>
      </w:r>
      <w:r>
        <w:t xml:space="preserve">competitor with equal rigour and sector experience beats us. Mitigations in §4 and §12.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submission-plan-the-next-three-days"/>
    <w:p>
      <w:pPr>
        <w:pStyle w:val="Heading2"/>
      </w:pPr>
      <w:r>
        <w:t xml:space="preserve">3. Submission plan — the next three days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 1 (15 Sep)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Category 4 in or out. Select and confirm 5 referees — call each, confirm willingness, brief them on which engagement they will be asked about.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Abdelrhman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real client examples for Cat 1 (×3), Cat 2 (×3), Cat 5 (×2), Cat 4 (×2 if bidding). Get citation permission where names are used.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Abdelrhman / Ahmed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legal entity details: registered name, form, commercial register no., tax registration.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Abdelrhman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 2 (16 Sep)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every</w:t>
            </w:r>
            <w:r>
              <w:t xml:space="preserve"> </w:t>
            </w:r>
            <w:r>
              <w:rPr>
                <w:rStyle w:val="VerbatimChar"/>
              </w:rPr>
              <w:t xml:space="preserve">[[...]]</w:t>
            </w:r>
            <w:r>
              <w:t xml:space="preserve"> </w:t>
            </w:r>
            <w:r>
              <w:t xml:space="preserve">in the five proposal files. Insert real numbers or cut the claim.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Abdelrhman / Ahmed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or amend the rate card. Confirm the GST/HST position with the accountant.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Abdelrhman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Finalise CVs for every named team member (excluded from page limits — make them substantive).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 3 (17 Sep)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Page-limit check against §3.1. Proofread. Generate final PDFs. Sign the covering letter.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Abdelrhman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the associate bench in the general application and Category 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Abdelrhman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17–18 Sep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Submit</w:t>
            </w:r>
            <w:r>
              <w:t xml:space="preserve"> </w:t>
            </w:r>
            <w:r>
              <w:t xml:space="preserve">to PortfolioManagement@grandchallenges.ca, subject line</w:t>
            </w:r>
            <w:r>
              <w:t xml:space="preserve"> </w:t>
            </w:r>
            <w:r>
              <w:t xml:space="preserve">“</w:t>
            </w:r>
            <w:r>
              <w:t xml:space="preserve">RFP Venture Advisory Support Provider(s)</w:t>
            </w:r>
            <w:r>
              <w:t xml:space="preserve">”</w:t>
            </w:r>
            <w:r>
              <w:t xml:space="preserve">. Check total attachment size. Request a read receipt or acknowledgement.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Abdelrhman</w:t>
            </w:r>
          </w:p>
        </w:tc>
      </w:tr>
    </w:tbl>
    <w:p>
      <w:pPr>
        <w:pStyle w:val="BodyText"/>
      </w:pPr>
      <w:r>
        <w:rPr>
          <w:bCs/>
          <w:b/>
        </w:rPr>
        <w:t xml:space="preserve">Submit a day early.</w:t>
      </w:r>
      <w:r>
        <w:t xml:space="preserve"> </w:t>
      </w:r>
      <w:r>
        <w:t xml:space="preserve">GCC explicitly refuses late proposals for any reason other than its own</w:t>
      </w:r>
      <w:r>
        <w:t xml:space="preserve"> </w:t>
      </w:r>
      <w:r>
        <w:t xml:space="preserve">mishandling — misrouting, traffic, weather and labour disputes are all named as unacceptable excuses.</w:t>
      </w:r>
    </w:p>
    <w:bookmarkStart w:id="24" w:name="page-limit-compliance-3.1"/>
    <w:p>
      <w:pPr>
        <w:pStyle w:val="Heading3"/>
      </w:pPr>
      <w:r>
        <w:t xml:space="preserve">Page-limit compliance (§3.1)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in the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Organisation overview and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Team members + resumes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limit on resumes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Geographic coverage and delivery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Responsible AI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Five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Approach — Cat 1 / 2 / 4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pp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2 / 2 /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 2 and 4 have 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Previous success — Cat 1 / 2 / 4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pp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2 / 1 /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 1 is at the 3 pp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Fee structure (per category)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stated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pp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Measured after conversion to Word at 11pt, US Letter, 1 inch margins.</w:t>
      </w:r>
      <w:r>
        <w:t xml:space="preserve"> </w:t>
      </w:r>
      <w:r>
        <w:t xml:space="preserve">Each draft still contains</w:t>
      </w:r>
      <w:r>
        <w:t xml:space="preserve"> </w:t>
      </w:r>
      <w:r>
        <w:t xml:space="preserve">drafting-note blockquotes that you delete before submission — that recovers roughly a third of a page</w:t>
      </w:r>
      <w:r>
        <w:t xml:space="preserve"> </w:t>
      </w:r>
      <w:r>
        <w:t xml:space="preserve">per section, which is your headroom for inserting real examples and referee details.</w:t>
      </w:r>
      <w:r>
        <w:t xml:space="preserve"> </w:t>
      </w:r>
      <w:r>
        <w:rPr>
          <w:bCs/>
          <w:b/>
        </w:rPr>
        <w:t xml:space="preserve">Category 1</w:t>
      </w:r>
      <w:r>
        <w:rPr>
          <w:bCs/>
          <w:b/>
        </w:rPr>
        <w:t xml:space="preserve"> </w:t>
      </w:r>
      <w:r>
        <w:rPr>
          <w:bCs/>
          <w:b/>
        </w:rPr>
        <w:t xml:space="preserve">item 7 is the exception: it is already at 3 pages with real content, so anything you add there must</w:t>
      </w:r>
      <w:r>
        <w:rPr>
          <w:bCs/>
          <w:b/>
        </w:rPr>
        <w:t xml:space="preserve"> </w:t>
      </w:r>
      <w:r>
        <w:rPr>
          <w:bCs/>
          <w:b/>
        </w:rPr>
        <w:t xml:space="preserve">displace something.</w:t>
      </w:r>
    </w:p>
    <w:p>
      <w:pPr>
        <w:pStyle w:val="BodyText"/>
      </w:pPr>
      <w:r>
        <w:t xml:space="preserve">Page numbers include figures and graphics. Resumes and the signed covering letter are excluded.</w:t>
      </w:r>
      <w:r>
        <w:t xml:space="preserve"> </w:t>
      </w:r>
      <w:r>
        <w:rPr>
          <w:bCs/>
          <w:b/>
        </w:rPr>
        <w:t xml:space="preserve">Re-measure after you fill the placeholders</w:t>
      </w:r>
      <w:r>
        <w:t xml:space="preserve"> </w:t>
      </w:r>
      <w:r>
        <w:t xml:space="preserve">— inserted content will push these over.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02aadeb6e427921eeb19f71957ce5fee45309f2"/>
    <w:p>
      <w:pPr>
        <w:pStyle w:val="Heading2"/>
      </w:pPr>
      <w:r>
        <w:t xml:space="preserve">4. Gap register — what must be supplied before we submit</w:t>
      </w:r>
    </w:p>
    <w:p>
      <w:pPr>
        <w:pStyle w:val="FirstParagraph"/>
      </w:pPr>
      <w:r>
        <w:t xml:space="preserve">Everything the draft cannot supply, in priority order. Nothing here can be invented.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Blocking?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Five referees</w:t>
            </w:r>
            <w:r>
              <w:t xml:space="preserve">, contacted, willing, briefed, tagged by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weighting, validated by direct 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 examples per category</w:t>
            </w:r>
            <w:r>
              <w:t xml:space="preserve"> </w:t>
            </w:r>
            <w:r>
              <w:t xml:space="preserve">with named or agreed-anonymised clients, periods, quantified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core of the track-record 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Legal entity details</w:t>
            </w:r>
            <w:r>
              <w:t xml:space="preserve"> </w:t>
            </w:r>
            <w:r>
              <w:t xml:space="preserve">— registered name, form, register no., tax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 legal capacity; contract cannot be awarded without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Signed covering letter</w:t>
            </w:r>
            <w:r>
              <w:t xml:space="preserve"> </w:t>
            </w:r>
            <w:r>
              <w:t xml:space="preserve">referencing RFP-VA-2026-09-18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§2.1(d): no contract awarded without it; failure to provide on request is disqualifying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card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Ours is a recommendation, not your published rates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CVs</w:t>
            </w:r>
            <w:r>
              <w:t xml:space="preserve"> </w:t>
            </w:r>
            <w:r>
              <w:t xml:space="preserve">for every named team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evidence hands-on experience in the categories they 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 4 examples ×2 + referee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absent, drop Category 4 rather than submit a thin outline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 5 cohort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 record does not prove cohort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Associate bench</w:t>
            </w:r>
            <w:r>
              <w:t xml:space="preserve"> </w:t>
            </w:r>
            <w:r>
              <w:t xml:space="preserve">— names, markets, specialisms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lifts the 25% expertise-and-networks score and the 5% local-contexts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GST/HST position</w:t>
            </w:r>
            <w:r>
              <w:t xml:space="preserve"> </w:t>
            </w:r>
            <w:r>
              <w:t xml:space="preserve">confirmed with accountant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state a tax position in the fee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 health / LMIC experience</w:t>
            </w:r>
            <w:r>
              <w:t xml:space="preserve"> </w:t>
            </w:r>
            <w:r>
              <w:t xml:space="preserve">— any at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as an asset in Appendix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French or Spanish</w:t>
            </w:r>
            <w:r>
              <w:t xml:space="preserve"> </w:t>
            </w:r>
            <w:r>
              <w:t xml:space="preserve">capability via named associate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in Appendix A alongside Arabic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Third named team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Two-person core is thin for a multi-category 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Named AI tools</w:t>
            </w:r>
            <w:r>
              <w:t xml:space="preserve"> </w:t>
            </w:r>
            <w:r>
              <w:t xml:space="preserve">in the responsible-AI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 says applicants may wish to include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0" w:name="resource-plan"/>
    <w:p>
      <w:pPr>
        <w:pStyle w:val="Heading2"/>
      </w:pPr>
      <w:r>
        <w:t xml:space="preserve">5. Resource plan</w:t>
      </w:r>
    </w:p>
    <w:bookmarkStart w:id="27" w:name="core-team-and-commitment"/>
    <w:p>
      <w:pPr>
        <w:pStyle w:val="Heading3"/>
      </w:pPr>
      <w:r>
        <w:t xml:space="preserve">Core team and commitment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Commitment to GCC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hours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 Principal / Account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Abdelrhman Soliman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35–40%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relationship, triage, Cat 1 and 5 lead, final sign-off on all outputs, AI review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Ahmed Ashraf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 2 lead, Cat 1 and 4 delivery, model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[[Name / to hire]]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build, research, data work, session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Curriculum &amp; Materials Designer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[[Name / associate]]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 5 materials, bilingual resource packs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Associates (Cat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[[Named per market]]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In-market regulatory and partnership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Coordination / PMO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[[0.2 FTE — can sit with the analyst]]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Scheduling, time tracking, invoicing, KPI dashboard, reference and reporting pack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core capacity available to GCC: approximately 2,400–2,700 hours per year.</w:t>
      </w:r>
    </w:p>
    <w:bookmarkEnd w:id="27"/>
    <w:bookmarkStart w:id="28" w:name="what-we-need-to-put-in-place"/>
    <w:p>
      <w:pPr>
        <w:pStyle w:val="Heading3"/>
      </w:pPr>
      <w:r>
        <w:t xml:space="preserve">What we need to put in place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Analyst capacity (hire or reallocate)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hours is the largest single block; principals cannot absorb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1 Jan 2027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[[...]]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2–3 named local associates for Cat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is not credible without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submission ideally; before 1 Jan 2027 at the 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Engaged per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Curriculum designer for Cat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modules to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Nov–Dec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[[...]]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PMO /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 billing needs disciplined time capture, or margin leaks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[[...]]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Global-health advisory associate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Closes our biggest credibility gap for years 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 per engagement</w:t>
            </w:r>
          </w:p>
        </w:tc>
      </w:tr>
    </w:tbl>
    <w:bookmarkEnd w:id="28"/>
    <w:bookmarkStart w:id="29" w:name="concurrency-limits"/>
    <w:p>
      <w:pPr>
        <w:pStyle w:val="Heading3"/>
      </w:pPr>
      <w:r>
        <w:t xml:space="preserve">Concurrency limits</w:t>
      </w:r>
    </w:p>
    <w:p>
      <w:pPr>
        <w:pStyle w:val="FirstParagraph"/>
      </w:pPr>
      <w:r>
        <w:t xml:space="preserve">Hard caps, to protect quality: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Maximum 5 concurrent 1:1 engagements</w:t>
      </w:r>
      <w:r>
        <w:t xml:space="preserve"> </w:t>
      </w:r>
      <w:r>
        <w:t xml:space="preserve">across all categories.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Maximum 2 concurrent engagements per principal.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Maximum 1 new cohort module in build at a time</w:t>
      </w:r>
      <w:r>
        <w:t xml:space="preserve">, alongside 1:1 work.</w:t>
      </w:r>
    </w:p>
    <w:p>
      <w:pPr>
        <w:numPr>
          <w:ilvl w:val="0"/>
          <w:numId w:val="1001"/>
        </w:numPr>
        <w:pStyle w:val="Compact"/>
      </w:pPr>
      <w:r>
        <w:t xml:space="preserve">Any assignment that would breach these: we tell GCC the earliest realistic start rather than accept</w:t>
      </w:r>
      <w:r>
        <w:t xml:space="preserve"> </w:t>
      </w:r>
      <w:r>
        <w:t xml:space="preserve">and under-deliver. Saying</w:t>
      </w:r>
      <w:r>
        <w:t xml:space="preserve"> </w:t>
      </w:r>
      <w:r>
        <w:t xml:space="preserve">“</w:t>
      </w:r>
      <w:r>
        <w:t xml:space="preserve">not until the 14th</w:t>
      </w:r>
      <w:r>
        <w:t xml:space="preserve">”</w:t>
      </w:r>
      <w:r>
        <w:t xml:space="preserve"> </w:t>
      </w:r>
      <w:r>
        <w:t xml:space="preserve">costs one conversation. Missing a deadline in year</w:t>
      </w:r>
      <w:r>
        <w:t xml:space="preserve"> </w:t>
      </w:r>
      <w:r>
        <w:t xml:space="preserve">one of a seven-year relationship costs the relationship.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financial-model"/>
    <w:p>
      <w:pPr>
        <w:pStyle w:val="Heading2"/>
      </w:pPr>
      <w:r>
        <w:t xml:space="preserve">6. Financial model</w:t>
      </w:r>
    </w:p>
    <w:bookmarkStart w:id="31" w:name="Xacc806b9b62825b1fc44846b1cf5ba9da9be3cd"/>
    <w:p>
      <w:pPr>
        <w:pStyle w:val="Heading3"/>
      </w:pPr>
      <w:r>
        <w:t xml:space="preserve">Rate card (as proposed — confirm before submission)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(CAD/hr)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Judgement, client decisions, 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Specialist / Curriculum Associate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95–145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discipline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Associate (Cat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and data work</w:t>
            </w:r>
          </w:p>
        </w:tc>
      </w:tr>
    </w:tbl>
    <w:p>
      <w:pPr>
        <w:pStyle w:val="BodyText"/>
      </w:pPr>
      <w:r>
        <w:rPr>
          <w:bCs/>
          <w:b/>
        </w:rPr>
        <w:t xml:space="preserve">Blended rates by category:</w:t>
      </w:r>
      <w:r>
        <w:t xml:space="preserve"> </w:t>
      </w:r>
      <w:r>
        <w:t xml:space="preserve">Cat 1 — 123 · Cat 2 — 121 · Cat 4 — 121 · Cat 5 — priced per session.</w:t>
      </w:r>
    </w:p>
    <w:bookmarkEnd w:id="31"/>
    <w:bookmarkStart w:id="32" w:name="contract-value-scenarios"/>
    <w:p>
      <w:pPr>
        <w:pStyle w:val="Heading3"/>
      </w:pPr>
      <w:r>
        <w:t xml:space="preserve">Contract value scenarios</w:t>
      </w:r>
    </w:p>
    <w:p>
      <w:pPr>
        <w:pStyle w:val="FirstParagraph"/>
      </w:pPr>
      <w:r>
        <w:t xml:space="preserve">GCC’s total pool is ~CAD 1,300,000 across all providers and categories — not a guarantee to any one</w:t>
      </w:r>
      <w:r>
        <w:t xml:space="preserve"> </w:t>
      </w:r>
      <w:r>
        <w:t xml:space="preserve">applicant. Individual contract ceilings are set at negotiation.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Billable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shape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 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 1:1 engagements or 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CAD 150,000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~1,230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 1:1 engagements + a group programme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 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~26 engagements + full cohort programme</w:t>
            </w:r>
          </w:p>
        </w:tc>
      </w:tr>
    </w:tbl>
    <w:p>
      <w:pPr>
        <w:pStyle w:val="BodyText"/>
      </w:pPr>
      <w:r>
        <w:rPr>
          <w:bCs/>
          <w:b/>
        </w:rPr>
        <w:t xml:space="preserve">Base case allocation: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 1 — Capital and Financial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engagements averaging 70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 2 — Business Models and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engagements averaging 52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 5 — Group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new modules, 10 repeats, 1 peer exchange, 2 resource packs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 4 — Market and Policy 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engagements averaging 40 hrs</w:t>
            </w:r>
          </w:p>
        </w:tc>
      </w:tr>
    </w:tbl>
    <w:p>
      <w:pPr>
        <w:pStyle w:val="BodyText"/>
      </w:pPr>
      <w:r>
        <w:t xml:space="preserve">Base case consumes roughly</w:t>
      </w:r>
      <w:r>
        <w:t xml:space="preserve"> </w:t>
      </w:r>
      <w:r>
        <w:rPr>
          <w:bCs/>
          <w:b/>
        </w:rPr>
        <w:t xml:space="preserve">50% of available core capacity</w:t>
      </w:r>
      <w:r>
        <w:t xml:space="preserve"> </w:t>
      </w:r>
      <w:r>
        <w:t xml:space="preserve">— deliberate. The remaining headroom</w:t>
      </w:r>
      <w:r>
        <w:t xml:space="preserve"> </w:t>
      </w:r>
      <w:r>
        <w:t xml:space="preserve">absorbs over-runs, protects non-GCC work, and leaves room to grow into the upside case without</w:t>
      </w:r>
      <w:r>
        <w:t xml:space="preserve"> </w:t>
      </w:r>
      <w:r>
        <w:t xml:space="preserve">degrading delivery.</w:t>
      </w:r>
    </w:p>
    <w:bookmarkEnd w:id="32"/>
    <w:bookmarkStart w:id="33" w:name="margin"/>
    <w:p>
      <w:pPr>
        <w:pStyle w:val="Heading3"/>
      </w:pPr>
      <w:r>
        <w:t xml:space="preserve">Margin</w:t>
      </w:r>
    </w:p>
    <w:p>
      <w:pPr>
        <w:pStyle w:val="FirstParagraph"/>
      </w:pPr>
      <w:r>
        <w:t xml:space="preserve">Replace the cost inputs with your real fully-loaded cost per hour (salary + benefits + allocated</w:t>
      </w:r>
      <w:r>
        <w:t xml:space="preserve"> </w:t>
      </w:r>
      <w:r>
        <w:t xml:space="preserve">overhead ÷ productive hours). The break-even column is what you must stay under: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Break-even cost/hr at 0%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Cost/hr for 50% 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Cost/hr for 65% GM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Associate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24.50</w:t>
            </w:r>
          </w:p>
        </w:tc>
      </w:tr>
    </w:tbl>
    <w:p>
      <w:pPr>
        <w:pStyle w:val="BodyText"/>
      </w:pPr>
      <w:r>
        <w:rPr>
          <w:bCs/>
          <w:b/>
        </w:rPr>
        <w:t xml:space="preserve">Target gross margin: 55–65%</w:t>
      </w:r>
      <w:r>
        <w:t xml:space="preserve"> </w:t>
      </w:r>
      <w:r>
        <w:t xml:space="preserve">on a Cairo cost base at these rates. Below 45%, the rate card is</w:t>
      </w:r>
      <w:r>
        <w:t xml:space="preserve"> </w:t>
      </w:r>
      <w:r>
        <w:t xml:space="preserve">wrong or the delivery model is inefficient — investigate rather than absorb.</w:t>
      </w:r>
    </w:p>
    <w:p>
      <w:pPr>
        <w:pStyle w:val="BodyText"/>
      </w:pPr>
      <w:r>
        <w:rPr>
          <w:bCs/>
          <w:b/>
        </w:rPr>
        <w:t xml:space="preserve">Three things that destroy margin on this contract, and the control for each: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Hours not captured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logged daily against engagement code and grade. Unlogged work is unbilled 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creep inside a fixed-fee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 ceiling in every scoping note; at 80% of ceiling, PMO alerts the principal; anything beyond goes to GCC in writing before it is done.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 hours on analyst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the actual grade mix against the planned blend monthly. A drift to principal-heavy delivery means the blended rate is under-recovered.</w:t>
            </w:r>
          </w:p>
        </w:tc>
      </w:tr>
    </w:tbl>
    <w:bookmarkEnd w:id="33"/>
    <w:bookmarkStart w:id="34" w:name="payment-and-currency"/>
    <w:p>
      <w:pPr>
        <w:pStyle w:val="Heading3"/>
      </w:pPr>
      <w:r>
        <w:t xml:space="preserve">Payment and currency</w:t>
      </w:r>
    </w:p>
    <w:p>
      <w:pPr>
        <w:numPr>
          <w:ilvl w:val="0"/>
          <w:numId w:val="1002"/>
        </w:numPr>
        <w:pStyle w:val="Compact"/>
      </w:pPr>
      <w:r>
        <w:t xml:space="preserve">Invoicing monthly in arrears against the contract ceiling, itemised by innovator, engagement, grade.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[[Confirm at negotiation: payment in CAD to an Egyptian account; who bears FX and transfer cost;   payment terms — push for 30 days.]]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[[Confirm GST/HST treatment with the accountant, and Egyptian VAT treatment of exported services.]]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aac18fe61b23bde9b14b3f3304fc69e8a371a99"/>
    <w:p>
      <w:pPr>
        <w:pStyle w:val="Heading2"/>
      </w:pPr>
      <w:r>
        <w:t xml:space="preserve">7. Delivery infrastructure to build before 1 January 2027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Engagement 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row per engagement: innovator, category, scope, hour ceiling, hours used, dates, status,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logging by engagement and grade. Non-negotiable — it is the invoice, the margin control and the KPI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Scoping note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page, standard fields, issued within 3 days of 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Close-out note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changed, decision taken, hours against ceiling, what we would watch, portfolio 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template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architecture for the venture model, unit-economics model, cap table, scenario and Monte Carlo layers. Cuts build time 30–40% and makes QA 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Nov–Dec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room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architecture, index, permissions, Q&amp;A 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 5 curriculum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modules: facilitator guide, participant tool, slides, summary — bilingual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Nov–Dec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use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engagement: tool, purpose, what it touched, reviewer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 metrics, refreshed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Follow-up survey 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Post-session, 60-day, 3- and 6-month outcome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Secure file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Innovator financial and beneficiary data must never move through consumer 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775240501e69206d3ac3486997caf632b6848cf"/>
    <w:p>
      <w:pPr>
        <w:pStyle w:val="Heading2"/>
      </w:pPr>
      <w:r>
        <w:t xml:space="preserve">8. AI governance — standing operating procedure</w:t>
      </w:r>
    </w:p>
    <w:p>
      <w:pPr>
        <w:pStyle w:val="FirstParagraph"/>
      </w:pPr>
      <w:r>
        <w:t xml:space="preserve">We have committed to §1.4 D of the RFP in writing. This is how we keep that commitment true.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Named reviewer per engagement.</w:t>
      </w:r>
      <w:r>
        <w:t xml:space="preserve"> </w:t>
      </w:r>
      <w:r>
        <w:t xml:space="preserve">Recorded in the engagement tracker at scoping. For any</w:t>
      </w:r>
      <w:r>
        <w:t xml:space="preserve"> </w:t>
      </w:r>
      <w:r>
        <w:t xml:space="preserve">quantitative output it is the Principal or the Senior Advisor — no exceptions.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Enterprise configurations only</w:t>
      </w:r>
      <w:r>
        <w:t xml:space="preserve">, with training on inputs disabled and retention controlled. No</w:t>
      </w:r>
      <w:r>
        <w:t xml:space="preserve"> </w:t>
      </w:r>
      <w:r>
        <w:t xml:space="preserve">consumer accounts touch client work.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Hard prohibition on sensitive data</w:t>
      </w:r>
      <w:r>
        <w:t xml:space="preserve"> </w:t>
      </w:r>
      <w:r>
        <w:t xml:space="preserve">in any uncontrolled tool: innovator financials, cap tables,</w:t>
      </w:r>
      <w:r>
        <w:t xml:space="preserve"> </w:t>
      </w:r>
      <w:r>
        <w:t xml:space="preserve">beneficiary or patient data, unpublished evidence, anything commercially sensitive.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AI use log per engagement</w:t>
      </w:r>
      <w:r>
        <w:t xml:space="preserve"> </w:t>
      </w:r>
      <w:r>
        <w:t xml:space="preserve">— tool, purpose, what it was applied to, reviewer, date. Disclosable</w:t>
      </w:r>
      <w:r>
        <w:t xml:space="preserve"> </w:t>
      </w:r>
      <w:r>
        <w:t xml:space="preserve">to GCC on request, as we have undertaken.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Never for findings.</w:t>
      </w:r>
      <w:r>
        <w:t xml:space="preserve"> </w:t>
      </w:r>
      <w:r>
        <w:t xml:space="preserve">AI does not set assumptions, select recommendations, determine valuations</w:t>
      </w:r>
      <w:r>
        <w:t xml:space="preserve"> </w:t>
      </w:r>
      <w:r>
        <w:t xml:space="preserve">or generate figures presented as analysis.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Associate briefing.</w:t>
      </w:r>
      <w:r>
        <w:t xml:space="preserve"> </w:t>
      </w:r>
      <w:r>
        <w:t xml:space="preserve">Every associate is briefed on this SOP and GCC’s AI policy before starting.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Opt-out respected.</w:t>
      </w:r>
      <w:r>
        <w:t xml:space="preserve"> </w:t>
      </w:r>
      <w:r>
        <w:t xml:space="preserve">Where GCC or an innovator prefers no AI involvement, we deliver without it</w:t>
      </w:r>
      <w:r>
        <w:t xml:space="preserve"> </w:t>
      </w:r>
      <w:r>
        <w:t xml:space="preserve">and record that in the scoping note.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Adopt GCC’s policy on award</w:t>
      </w:r>
      <w:r>
        <w:t xml:space="preserve"> </w:t>
      </w:r>
      <w:r>
        <w:t xml:space="preserve">— it is shared at contract negotiation. Review ours against it in</w:t>
      </w:r>
      <w:r>
        <w:t xml:space="preserve"> </w:t>
      </w:r>
      <w:r>
        <w:t xml:space="preserve">November 2026 and reconcile any difference in GCC’s favour.</w:t>
      </w:r>
    </w:p>
    <w:p>
      <w:r>
        <w:pict>
          <v:rect style="width:0;height:1.5pt" o:hralign="center" o:hrstd="t" o:hr="t"/>
        </w:pict>
      </w:r>
    </w:p>
    <w:bookmarkEnd w:id="37"/>
    <w:bookmarkStart w:id="43" w:name="kpi-framework"/>
    <w:p>
      <w:pPr>
        <w:pStyle w:val="Heading2"/>
      </w:pPr>
      <w:r>
        <w:t xml:space="preserve">9. KPI framework</w:t>
      </w:r>
    </w:p>
    <w:p>
      <w:pPr>
        <w:pStyle w:val="FirstParagraph"/>
      </w:pPr>
      <w:r>
        <w:t xml:space="preserve">Four tiers. Tier C is what GCC actually cares about; Tiers A, B and D are how we keep Tier C possible.</w:t>
      </w:r>
    </w:p>
    <w:bookmarkStart w:id="38" w:name="tier-a-commercial"/>
    <w:p>
      <w:pPr>
        <w:pStyle w:val="Heading3"/>
      </w:pPr>
      <w:r>
        <w:t xml:space="preserve">Tier A — Commercial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ceiling drawn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85–95% of ceiling by 31 Dec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margin on GCC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55–65%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Realisation (hours billed ÷ hours worked)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Utilisation of committed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45–60% of the 2,400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grade mix vs planned blend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±5 percentage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engagement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CAD 6,500 (1:1)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Renewal secured for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month 10</w:t>
            </w:r>
          </w:p>
        </w:tc>
      </w:tr>
    </w:tbl>
    <w:bookmarkEnd w:id="38"/>
    <w:bookmarkStart w:id="39" w:name="tier-b-delivery-discipline"/>
    <w:p>
      <w:pPr>
        <w:pStyle w:val="Heading3"/>
      </w:pPr>
      <w:r>
        <w:t xml:space="preserve">Tier B — Delivery discipline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Triage call held after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Scoping note issued after 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Engagements delivered on or before agreed 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Engagements completed within hour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Close-out note to GCC after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 business days,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Revision rounds per 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Ceiling-breach warnings raised before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use log completed where AI was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engagement</w:t>
            </w:r>
          </w:p>
        </w:tc>
      </w:tr>
    </w:tbl>
    <w:bookmarkEnd w:id="39"/>
    <w:bookmarkStart w:id="40" w:name="tier-c-innovator-outcomes"/>
    <w:p>
      <w:pPr>
        <w:pStyle w:val="Heading3"/>
      </w:pPr>
      <w:r>
        <w:t xml:space="preserve">Tier C — Innovator outcomes</w:t>
      </w:r>
    </w:p>
    <w:p>
      <w:pPr>
        <w:pStyle w:val="FirstParagraph"/>
      </w:pPr>
      <w:r>
        <w:t xml:space="preserve">The score that matters. Baseline captured at engagement start so improvement is measured, not asserted.</w:t>
      </w:r>
    </w:p>
    <w:p>
      <w:pPr>
        <w:pStyle w:val="BodyText"/>
      </w:pPr>
      <w:r>
        <w:rPr>
          <w:bCs/>
          <w:b/>
        </w:rPr>
        <w:t xml:space="preserve">Category 1 — Capital and Financial Strategy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taken within the engagement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Innovator operating their own model unaided at 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Funder-readiness gaps closed against diligence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raised following engagement (reported, not claimed)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Tracked at 6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Runway extension achieved, where that was the 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Model-verified</w:t>
            </w:r>
          </w:p>
        </w:tc>
      </w:tr>
    </w:tbl>
    <w:p>
      <w:pPr>
        <w:pStyle w:val="BodyText"/>
      </w:pPr>
      <w:r>
        <w:rPr>
          <w:bCs/>
          <w:b/>
        </w:rPr>
        <w:t xml:space="preserve">Category 2 — Business Models and Operations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Barrier register produced and prioritised with the innovator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Unit-economics model in use by the innovator at 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Measurable change in contribution per unit or break-even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60% of engagements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Operating-model decisions taken within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85%</w:t>
            </w:r>
          </w:p>
        </w:tc>
      </w:tr>
    </w:tbl>
    <w:p>
      <w:pPr>
        <w:pStyle w:val="BodyText"/>
      </w:pPr>
      <w:r>
        <w:rPr>
          <w:bCs/>
          <w:b/>
        </w:rPr>
        <w:t xml:space="preserve">Category 4 — Market and Policy Navigation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pathway documented and verified against primary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 or partnership decision taken within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 introductions converting to a first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Registration, licence or procurement milestone progressed at 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Tracked, not guaranteed</w:t>
            </w:r>
          </w:p>
        </w:tc>
      </w:tr>
    </w:tbl>
    <w:p>
      <w:pPr>
        <w:pStyle w:val="BodyText"/>
      </w:pPr>
      <w:r>
        <w:rPr>
          <w:bCs/>
          <w:b/>
        </w:rPr>
        <w:t xml:space="preserve">Category 5 — Group Learning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Attendance against enrolment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In-session tool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Usefulness rating (1–5)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will change something</w:t>
            </w:r>
            <w:r>
              <w:t xml:space="preserve">”</w:t>
            </w:r>
            <w:r>
              <w:t xml:space="preserve">, with the change 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actually made, at 60 days (sampled)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 completion (3 of 4 sessions)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75%</w:t>
            </w:r>
          </w:p>
        </w:tc>
      </w:tr>
    </w:tbl>
    <w:bookmarkEnd w:id="40"/>
    <w:bookmarkStart w:id="41" w:name="tier-d-relationship"/>
    <w:p>
      <w:pPr>
        <w:pStyle w:val="Heading3"/>
      </w:pPr>
      <w:r>
        <w:t xml:space="preserve">Tier D — Relationship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GCC Portfolio Manager satisfaction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4.5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Innovator satisfaction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4.3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Innovators who would work with us again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Portfolio insights surfaced to GCC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 per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Assignments declined for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Escalations to GCC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</w:tbl>
    <w:bookmarkEnd w:id="41"/>
    <w:bookmarkStart w:id="42" w:name="attribution-discipline"/>
    <w:p>
      <w:pPr>
        <w:pStyle w:val="Heading3"/>
      </w:pPr>
      <w:r>
        <w:t xml:space="preserve">Attribution discipline</w:t>
      </w:r>
    </w:p>
    <w:p>
      <w:pPr>
        <w:pStyle w:val="FirstParagraph"/>
      </w:pPr>
      <w:r>
        <w:t xml:space="preserve">We will be asked to evidence our impact, and Appendix A asks specifically how we attribute it.</w:t>
      </w:r>
      <w:r>
        <w:t xml:space="preserve"> </w:t>
      </w:r>
      <w:r>
        <w:t xml:space="preserve">Standing rule:</w:t>
      </w:r>
      <w:r>
        <w:t xml:space="preserve"> </w:t>
      </w:r>
      <w:r>
        <w:rPr>
          <w:bCs/>
          <w:b/>
        </w:rPr>
        <w:t xml:space="preserve">we report what we contributed and what the innovator decided, separately.</w:t>
      </w:r>
      <w:r>
        <w:t xml:space="preserve"> </w:t>
      </w:r>
      <w:r>
        <w:t xml:space="preserve">A raise</w:t>
      </w:r>
      <w:r>
        <w:t xml:space="preserve"> </w:t>
      </w:r>
      <w:r>
        <w:t xml:space="preserve">that closes after our engagement is reported as</w:t>
      </w:r>
      <w:r>
        <w:t xml:space="preserve"> </w:t>
      </w:r>
      <w:r>
        <w:t xml:space="preserve">“</w:t>
      </w:r>
      <w:r>
        <w:t xml:space="preserve">innovator raised X following our support on Y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never as</w:t>
      </w:r>
      <w:r>
        <w:t xml:space="preserve"> </w:t>
      </w:r>
      <w:r>
        <w:t xml:space="preserve">“</w:t>
      </w:r>
      <w:r>
        <w:t xml:space="preserve">we raised X</w:t>
      </w:r>
      <w:r>
        <w:t xml:space="preserve">”</w:t>
      </w:r>
      <w:r>
        <w:t xml:space="preserve">. Overclaiming survives one reporting cycle and fails the reference check.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reporting-to-gcc"/>
    <w:p>
      <w:pPr>
        <w:pStyle w:val="Heading2"/>
      </w:pPr>
      <w:r>
        <w:t xml:space="preserve">10. Reporting to GCC</w:t>
      </w:r>
    </w:p>
    <w:p>
      <w:pPr>
        <w:pStyle w:val="FirstParagraph"/>
      </w:pPr>
      <w:r>
        <w:t xml:space="preserve">Frequency and format are set at contract negotiation. What we propose: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Scoping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Decision, activities, outputs, hours, dates, innovator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Close-out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changed, decision taken, hours vs ceiling, what to watch, portfolio observation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report +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Engagements active and closed, hours by innovator/engagement/grade, ceiling drawdown, Tier B KPIs, exceptions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C outcomes, portfolio patterns, capacity outlook, proposed curriculum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Full-year outcomes against all tiers, case studies (with innovator permission), renewal proposal</w:t>
            </w:r>
          </w:p>
        </w:tc>
      </w:tr>
    </w:tbl>
    <w:p>
      <w:pPr>
        <w:pStyle w:val="BodyText"/>
      </w:pPr>
      <w:r>
        <w:t xml:space="preserve">The monthly exception line matters most:</w:t>
      </w:r>
      <w:r>
        <w:t xml:space="preserve"> </w:t>
      </w:r>
      <w:r>
        <w:rPr>
          <w:bCs/>
          <w:b/>
        </w:rPr>
        <w:t xml:space="preserve">anything at risk goes to GCC before it slips, not in the</w:t>
      </w:r>
      <w:r>
        <w:rPr>
          <w:bCs/>
          <w:b/>
        </w:rPr>
        <w:t xml:space="preserve"> </w:t>
      </w:r>
      <w:r>
        <w:rPr>
          <w:bCs/>
          <w:b/>
        </w:rPr>
        <w:t xml:space="preserve">invoice afterwards.</w:t>
      </w:r>
    </w:p>
    <w:p>
      <w:r>
        <w:pict>
          <v:rect style="width:0;height:1.5pt" o:hralign="center" o:hrstd="t" o:hr="t"/>
        </w:pict>
      </w:r>
    </w:p>
    <w:bookmarkEnd w:id="44"/>
    <w:bookmarkStart w:id="45" w:name="quality-assurance"/>
    <w:p>
      <w:pPr>
        <w:pStyle w:val="Heading2"/>
      </w:pPr>
      <w:r>
        <w:t xml:space="preserve">11. Quality assurance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Scoping note approved before work 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integrity review — assumptions sourced, formulas traced, no hard-coded overrides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or Senior Advisor, never the 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Peer read before any deliverable leaves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other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output review by named qualified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AI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or Senior Advisor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Handover session — innovator can operate the output unaided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model or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Close-out note reviewed before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Ceiling checkpoint at 80% of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PMO → Principal</w:t>
            </w:r>
          </w:p>
        </w:tc>
      </w:tr>
    </w:tbl>
    <w:p>
      <w:pPr>
        <w:pStyle w:val="BodyText"/>
      </w:pPr>
      <w:r>
        <w:rPr>
          <w:bCs/>
          <w:b/>
        </w:rPr>
        <w:t xml:space="preserve">Escalation:</w:t>
      </w:r>
      <w:r>
        <w:t xml:space="preserve"> </w:t>
      </w:r>
      <w:r>
        <w:t xml:space="preserve">any risk to scope, timeline or quality goes to the Principal same day, and to GCC</w:t>
      </w:r>
      <w:r>
        <w:t xml:space="preserve"> </w:t>
      </w:r>
      <w:r>
        <w:t xml:space="preserve">within 2 business days if it affects what GCC is expecting. We never let GCC learn about a problem</w:t>
      </w:r>
      <w:r>
        <w:t xml:space="preserve"> </w:t>
      </w:r>
      <w:r>
        <w:t xml:space="preserve">from the innovator.</w:t>
      </w:r>
    </w:p>
    <w:p>
      <w:r>
        <w:pict>
          <v:rect style="width:0;height:1.5pt" o:hralign="center" o:hrstd="t" o:hr="t"/>
        </w:pict>
      </w:r>
    </w:p>
    <w:bookmarkEnd w:id="45"/>
    <w:bookmarkStart w:id="46" w:name="risk-register"/>
    <w:p>
      <w:pPr>
        <w:pStyle w:val="Heading2"/>
      </w:pPr>
      <w:r>
        <w:t xml:space="preserve">12. Risk register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shortlisted — no global-health track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on rigour, cost and Arabic/MENA depth; add any health-adjacent example; engage a global-health associate for renewal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Abdelrhman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check contradicts a proposal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every referee on the specific engagement; no claim in the proposal that a referee cannot 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Abdelrhman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4 fails on thin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the category rather than submit thin; decision at 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Abdelrhman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 but under-deliver in year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Concurrency caps; decline on capacity rather than over-commit; mobilisation complete before 1 Jan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Abdelrhman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Fixed-fee packages under-priced against real 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 ceilings; track actual vs estimated per package; re-price at renewal with real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Key-person dependency — two principals carry the bid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analyst layer and associate bench; template library reduces principal hours per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Abdelrhman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ceiling set lower than base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a conservative-scenario staffing plan; keep non-GCC pipeline 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Abdelrhman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Payment, FX or transfer friction Egypt–Canada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mechanics at negotiation, in writing, before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Abdelrhman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position on GST/HST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with accountant before submission; fee section commits to registering if GCC determines otherwise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Abdelrhman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commitment breached by an associate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 briefing before any associate starts; AI log audited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Abdelrhman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Innovator data handled insecurely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transfer only; no sensitive data in uncontrolled tools; NDA with every associate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Abdelrhman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commitment overstated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Arabic and English only, unless a named French or Spanish associate is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Abdelrhman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— advising an investor and an innovator on the same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check at triage on every engagement; disclose to GCC before accepting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Abdelrhman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X38476a3f69ded30c9c6b8d9f89561b6df4b0fd3"/>
    <w:p>
      <w:pPr>
        <w:pStyle w:val="Heading2"/>
      </w:pPr>
      <w:r>
        <w:t xml:space="preserve">13. Mobilisation plan — award to first engagement</w:t>
      </w:r>
    </w:p>
    <w:p>
      <w:pPr>
        <w:pStyle w:val="FirstParagraph"/>
      </w:pPr>
      <w:r>
        <w:t xml:space="preserve">Assumes notification 19 October 2026 and engagements beginning 1 January 2027.</w:t>
      </w:r>
    </w:p>
    <w:p>
      <w:pPr>
        <w:pStyle w:val="BodyText"/>
      </w:pPr>
      <w:r>
        <w:rPr>
          <w:bCs/>
          <w:b/>
        </w:rPr>
        <w:t xml:space="preserve">Phase 1 — Negotiation (19 Oct – 20 Nov 2026)</w:t>
      </w:r>
      <w:r>
        <w:t xml:space="preserve"> </w:t>
      </w:r>
      <w:r>
        <w:t xml:space="preserve">Agree contract ceiling and rates. Agree reporting frequency and format. Receive and adopt GCC’s AI</w:t>
      </w:r>
      <w:r>
        <w:t xml:space="preserve"> </w:t>
      </w:r>
      <w:r>
        <w:t xml:space="preserve">policy. Receive GCC’s gender and evidence frameworks if any touch our categories. Agree payment</w:t>
      </w:r>
      <w:r>
        <w:t xml:space="preserve"> </w:t>
      </w:r>
      <w:r>
        <w:t xml:space="preserve">mechanics, currency and FX treatment. Confirm the innovator-matching process and who we deal with</w:t>
      </w:r>
      <w:r>
        <w:t xml:space="preserve"> </w:t>
      </w:r>
      <w:r>
        <w:t xml:space="preserve">day to day. Confirm confidentiality and data-protection terms covering innovator data.</w:t>
      </w:r>
    </w:p>
    <w:p>
      <w:pPr>
        <w:pStyle w:val="BodyText"/>
      </w:pPr>
      <w:r>
        <w:rPr>
          <w:bCs/>
          <w:b/>
        </w:rPr>
        <w:t xml:space="preserve">Phase 2 — Build (21 Nov – 20 Dec 2026)</w:t>
      </w:r>
      <w:r>
        <w:t xml:space="preserve"> </w:t>
      </w:r>
      <w:r>
        <w:t xml:space="preserve">Confirm analyst capacity. Sign associate agreements with NDAs and AI SOP briefing. Build the</w:t>
      </w:r>
      <w:r>
        <w:t xml:space="preserve"> </w:t>
      </w:r>
      <w:r>
        <w:t xml:space="preserve">engagement tracker, time capture and KPI dashboard. Finalise scoping and close-out note templates.</w:t>
      </w:r>
      <w:r>
        <w:t xml:space="preserve"> </w:t>
      </w:r>
      <w:r>
        <w:t xml:space="preserve">Build the model template library. Build the first 4 Cat 5 modules. Set up the secure data room</w:t>
      </w:r>
      <w:r>
        <w:t xml:space="preserve"> </w:t>
      </w:r>
      <w:r>
        <w:t xml:space="preserve">standard. Brief the whole team on GCC’s operating model and what</w:t>
      </w:r>
      <w:r>
        <w:t xml:space="preserve"> </w:t>
      </w:r>
      <w:r>
        <w:t xml:space="preserve">“</w:t>
      </w:r>
      <w:r>
        <w:t xml:space="preserve">decision-centric and time-bound</w:t>
      </w:r>
      <w:r>
        <w:t xml:space="preserve">”</w:t>
      </w:r>
      <w:r>
        <w:t xml:space="preserve"> </w:t>
      </w:r>
      <w:r>
        <w:t xml:space="preserve">means in practice.</w:t>
      </w:r>
    </w:p>
    <w:p>
      <w:pPr>
        <w:pStyle w:val="BodyText"/>
      </w:pPr>
      <w:r>
        <w:rPr>
          <w:bCs/>
          <w:b/>
        </w:rPr>
        <w:t xml:space="preserve">Phase 3 — Ready (21–31 Dec 2026)</w:t>
      </w:r>
      <w:r>
        <w:t xml:space="preserve"> </w:t>
      </w:r>
      <w:r>
        <w:t xml:space="preserve">Dry-run a full engagement cycle internally: triage → scoping note → delivery → close-out. Confirm</w:t>
      </w:r>
      <w:r>
        <w:t xml:space="preserve"> </w:t>
      </w:r>
      <w:r>
        <w:t xml:space="preserve">availability calendar for Q1. Agree the first quarter’s cohort curriculum with GCC. Brief GCC on our</w:t>
      </w:r>
      <w:r>
        <w:t xml:space="preserve"> </w:t>
      </w:r>
      <w:r>
        <w:t xml:space="preserve">concurrency caps and escalation route, so expectations are set before the first assignment.</w:t>
      </w:r>
    </w:p>
    <w:p>
      <w:pPr>
        <w:pStyle w:val="BodyText"/>
      </w:pPr>
      <w:r>
        <w:rPr>
          <w:bCs/>
          <w:b/>
        </w:rPr>
        <w:t xml:space="preserve">Phase 4 — Live (from 1 Jan 2027)</w:t>
      </w:r>
      <w:r>
        <w:t xml:space="preserve"> </w:t>
      </w:r>
      <w:r>
        <w:t xml:space="preserve">First engagement accepted. First scoping note within 8 business days of assignment. First monthly</w:t>
      </w:r>
      <w:r>
        <w:t xml:space="preserve"> </w:t>
      </w:r>
      <w:r>
        <w:t xml:space="preserve">report to GCC by 5 February 2027.</w:t>
      </w:r>
    </w:p>
    <w:p>
      <w:pPr>
        <w:pStyle w:val="BodyText"/>
      </w:pPr>
      <w:r>
        <w:rPr>
          <w:bCs/>
          <w:b/>
        </w:rPr>
        <w:t xml:space="preserve">Review gates:</w:t>
      </w:r>
      <w:r>
        <w:t xml:space="preserve"> </w:t>
      </w:r>
      <w:r>
        <w:t xml:space="preserve">month 3 — delivery discipline (Tier B) holding? · month 6 — outcomes (Tier C)</w:t>
      </w:r>
      <w:r>
        <w:t xml:space="preserve"> </w:t>
      </w:r>
      <w:r>
        <w:t xml:space="preserve">materialising, margin on target? · month 10 — renewal proposal to GCC, backed by a full outcome</w:t>
      </w:r>
      <w:r>
        <w:t xml:space="preserve"> </w:t>
      </w:r>
      <w:r>
        <w:t xml:space="preserve">record.</w:t>
      </w:r>
    </w:p>
    <w:p>
      <w:r>
        <w:pict>
          <v:rect style="width:0;height:1.5pt" o:hralign="center" o:hrstd="t" o:hr="t"/>
        </w:pict>
      </w:r>
    </w:p>
    <w:bookmarkEnd w:id="47"/>
    <w:bookmarkStart w:id="48" w:name="pre-submission-checklist"/>
    <w:p>
      <w:pPr>
        <w:pStyle w:val="Heading2"/>
      </w:pPr>
      <w:r>
        <w:t xml:space="preserve">14. Pre-submission checklist</w:t>
      </w:r>
    </w:p>
    <w:p>
      <w:pPr>
        <w:numPr>
          <w:ilvl w:val="0"/>
          <w:numId w:val="1004"/>
        </w:numPr>
        <w:pStyle w:val="Compact"/>
      </w:pPr>
      <w:r>
        <w:t xml:space="preserve">☐ Category 4 decision made — in or out</w:t>
      </w:r>
    </w:p>
    <w:p>
      <w:pPr>
        <w:numPr>
          <w:ilvl w:val="0"/>
          <w:numId w:val="1004"/>
        </w:numPr>
        <w:pStyle w:val="Compact"/>
      </w:pPr>
      <w:r>
        <w:t xml:space="preserve">☐ Five referees confirmed, briefed, tagged by category</w:t>
      </w:r>
    </w:p>
    <w:p>
      <w:pPr>
        <w:numPr>
          <w:ilvl w:val="0"/>
          <w:numId w:val="1004"/>
        </w:numPr>
        <w:pStyle w:val="Compact"/>
      </w:pPr>
      <w:r>
        <w:t xml:space="preserve">☐ Every</w:t>
      </w:r>
      <w:r>
        <w:t xml:space="preserve"> </w:t>
      </w:r>
      <w:r>
        <w:rPr>
          <w:rStyle w:val="VerbatimChar"/>
        </w:rPr>
        <w:t xml:space="preserve">[[...]]</w:t>
      </w:r>
      <w:r>
        <w:t xml:space="preserve"> </w:t>
      </w:r>
      <w:r>
        <w:t xml:space="preserve">filled or the claim cut — all five proposal files</w:t>
      </w:r>
    </w:p>
    <w:p>
      <w:pPr>
        <w:numPr>
          <w:ilvl w:val="0"/>
          <w:numId w:val="1004"/>
        </w:numPr>
        <w:pStyle w:val="Compact"/>
      </w:pPr>
      <w:r>
        <w:t xml:space="preserve">☐ Every quantified outcome verifiable and confirmable by a referee</w:t>
      </w:r>
    </w:p>
    <w:p>
      <w:pPr>
        <w:numPr>
          <w:ilvl w:val="0"/>
          <w:numId w:val="1004"/>
        </w:numPr>
        <w:pStyle w:val="Compact"/>
      </w:pPr>
      <w:r>
        <w:t xml:space="preserve">☐ Client permission obtained for every named client</w:t>
      </w:r>
    </w:p>
    <w:p>
      <w:pPr>
        <w:numPr>
          <w:ilvl w:val="0"/>
          <w:numId w:val="1004"/>
        </w:numPr>
        <w:pStyle w:val="Compact"/>
      </w:pPr>
      <w:r>
        <w:t xml:space="preserve">☐ Legal entity details complete</w:t>
      </w:r>
    </w:p>
    <w:p>
      <w:pPr>
        <w:numPr>
          <w:ilvl w:val="0"/>
          <w:numId w:val="1004"/>
        </w:numPr>
        <w:pStyle w:val="Compact"/>
      </w:pPr>
      <w:r>
        <w:t xml:space="preserve">☐ Rate card approved</w:t>
      </w:r>
    </w:p>
    <w:p>
      <w:pPr>
        <w:numPr>
          <w:ilvl w:val="0"/>
          <w:numId w:val="1004"/>
        </w:numPr>
        <w:pStyle w:val="Compact"/>
      </w:pPr>
      <w:r>
        <w:t xml:space="preserve">☐ GST/HST position confirmed with the accountant</w:t>
      </w:r>
    </w:p>
    <w:p>
      <w:pPr>
        <w:numPr>
          <w:ilvl w:val="0"/>
          <w:numId w:val="1004"/>
        </w:numPr>
        <w:pStyle w:val="Compact"/>
      </w:pPr>
      <w:r>
        <w:t xml:space="preserve">☐ CVs finalised for every named team member</w:t>
      </w:r>
    </w:p>
    <w:p>
      <w:pPr>
        <w:numPr>
          <w:ilvl w:val="0"/>
          <w:numId w:val="1004"/>
        </w:numPr>
        <w:pStyle w:val="Compact"/>
      </w:pPr>
      <w:r>
        <w:t xml:space="preserve">☐ Associate bench named, with markets and specialisms</w:t>
      </w:r>
    </w:p>
    <w:p>
      <w:pPr>
        <w:numPr>
          <w:ilvl w:val="0"/>
          <w:numId w:val="1004"/>
        </w:numPr>
        <w:pStyle w:val="Compact"/>
      </w:pPr>
      <w:r>
        <w:t xml:space="preserve">☐ Page limits re-measured after filling — items 1, 3, 4, 5, 6, 7</w:t>
      </w:r>
    </w:p>
    <w:p>
      <w:pPr>
        <w:numPr>
          <w:ilvl w:val="0"/>
          <w:numId w:val="1004"/>
        </w:numPr>
        <w:pStyle w:val="Compact"/>
      </w:pPr>
      <w:r>
        <w:t xml:space="preserve">☐ Covering letter signed and referencing RFP-VA-2026-09-18</w:t>
      </w:r>
    </w:p>
    <w:p>
      <w:pPr>
        <w:numPr>
          <w:ilvl w:val="0"/>
          <w:numId w:val="1004"/>
        </w:numPr>
        <w:pStyle w:val="Compact"/>
      </w:pPr>
      <w:r>
        <w:t xml:space="preserve">☐ Firm name, contact name, address, telephone and email present (§2.1c)</w:t>
      </w:r>
    </w:p>
    <w:p>
      <w:pPr>
        <w:numPr>
          <w:ilvl w:val="0"/>
          <w:numId w:val="1004"/>
        </w:numPr>
        <w:pStyle w:val="Compact"/>
      </w:pPr>
      <w:r>
        <w:t xml:space="preserve">☐ Separate outline and fee proposal per category (§1.4 B)</w:t>
      </w:r>
    </w:p>
    <w:p>
      <w:pPr>
        <w:numPr>
          <w:ilvl w:val="0"/>
          <w:numId w:val="1004"/>
        </w:numPr>
        <w:pStyle w:val="Compact"/>
      </w:pPr>
      <w:r>
        <w:t xml:space="preserve">☐ Applicable taxes shown separately in every fee section (§3.1 item 8)</w:t>
      </w:r>
    </w:p>
    <w:p>
      <w:pPr>
        <w:numPr>
          <w:ilvl w:val="0"/>
          <w:numId w:val="1004"/>
        </w:numPr>
        <w:pStyle w:val="Compact"/>
      </w:pPr>
      <w:r>
        <w:t xml:space="preserve">☐ Hourly rates shown for all personnel in every fee section</w:t>
      </w:r>
    </w:p>
    <w:p>
      <w:pPr>
        <w:numPr>
          <w:ilvl w:val="0"/>
          <w:numId w:val="1004"/>
        </w:numPr>
        <w:pStyle w:val="Compact"/>
      </w:pPr>
      <w:r>
        <w:t xml:space="preserve">☐ No external links or brochures relied on — GCC evaluates only what is submitted (§2.1j)</w:t>
      </w:r>
    </w:p>
    <w:p>
      <w:pPr>
        <w:numPr>
          <w:ilvl w:val="0"/>
          <w:numId w:val="1004"/>
        </w:numPr>
        <w:pStyle w:val="Compact"/>
      </w:pPr>
      <w:r>
        <w:t xml:space="preserve">☐ No supporting material beyond what is solicited (FAQ)</w:t>
      </w:r>
    </w:p>
    <w:p>
      <w:pPr>
        <w:numPr>
          <w:ilvl w:val="0"/>
          <w:numId w:val="1004"/>
        </w:numPr>
        <w:pStyle w:val="Compact"/>
      </w:pPr>
      <w:r>
        <w:t xml:space="preserve">☐ Files in PDF or Word; total attachment size checked</w:t>
      </w:r>
    </w:p>
    <w:p>
      <w:pPr>
        <w:numPr>
          <w:ilvl w:val="0"/>
          <w:numId w:val="1004"/>
        </w:numPr>
        <w:pStyle w:val="Compact"/>
      </w:pPr>
      <w:r>
        <w:t xml:space="preserve">☐ Sent to PortfolioManagement@grandchallenges.ca, subject</w:t>
      </w:r>
      <w:r>
        <w:t xml:space="preserve"> </w:t>
      </w:r>
      <w:r>
        <w:t xml:space="preserve">“</w:t>
      </w:r>
      <w:r>
        <w:t xml:space="preserve">RFP Venture Advisory Support Provider(s)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☐ Sent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18 September 2026, 23:59 EST</w:t>
      </w:r>
    </w:p>
    <w:p>
      <w:pPr>
        <w:numPr>
          <w:ilvl w:val="0"/>
          <w:numId w:val="1004"/>
        </w:numPr>
        <w:pStyle w:val="Compact"/>
      </w:pPr>
      <w:r>
        <w:t xml:space="preserve">☐ Acknowledgement of receipt requested</w:t>
      </w:r>
    </w:p>
    <w:p>
      <w:r>
        <w:pict>
          <v:rect style="width:0;height:1.5pt" o:hralign="center" o:hrstd="t" o:hr="t"/>
        </w:pict>
      </w:r>
    </w:p>
    <w:bookmarkEnd w:id="48"/>
    <w:bookmarkStart w:id="49" w:name="X7ef33b4c7ac923eb60a6199e92555f26168d39b"/>
    <w:p>
      <w:pPr>
        <w:pStyle w:val="Heading2"/>
      </w:pPr>
      <w:r>
        <w:t xml:space="preserve">15. Interview preparation — start now, not on 5 October</w:t>
      </w:r>
    </w:p>
    <w:p>
      <w:pPr>
        <w:pStyle w:val="FirstParagraph"/>
      </w:pPr>
      <w:r>
        <w:t xml:space="preserve">If shortlisted, expect a short interview before final selection. Prepare: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strongest single outcome per category</w:t>
      </w:r>
      <w:r>
        <w:t xml:space="preserve">, in 90 seconds, with the number and the attribution.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 straight answer on global health.</w:t>
      </w:r>
      <w:r>
        <w:t xml:space="preserve"> </w:t>
      </w:r>
      <w:r>
        <w:t xml:space="preserve">Do not talk around it: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We have not run a global-health</w:t>
      </w:r>
      <w:r>
        <w:rPr>
          <w:iCs/>
          <w:i/>
        </w:rPr>
        <w:t xml:space="preserve"> </w:t>
      </w:r>
      <w:r>
        <w:rPr>
          <w:iCs/>
          <w:i/>
        </w:rPr>
        <w:t xml:space="preserve">portfolio. What we bring is financial and operating rigour that transfers across sectors, delivered</w:t>
      </w:r>
      <w:r>
        <w:rPr>
          <w:iCs/>
          <w:i/>
        </w:rPr>
        <w:t xml:space="preserve"> </w:t>
      </w:r>
      <w:r>
        <w:rPr>
          <w:iCs/>
          <w:i/>
        </w:rPr>
        <w:t xml:space="preserve">from inside an emerging market in the innovator’s own language. Here is how we would close the</w:t>
      </w:r>
      <w:r>
        <w:rPr>
          <w:iCs/>
          <w:i/>
        </w:rPr>
        <w:t xml:space="preserve"> </w:t>
      </w:r>
      <w:r>
        <w:rPr>
          <w:iCs/>
          <w:i/>
        </w:rPr>
        <w:t xml:space="preserve">sector gap in the first quarter.</w:t>
      </w:r>
      <w:r>
        <w:rPr>
          <w:iCs/>
          <w:i/>
        </w:rPr>
        <w:t xml:space="preserve">”</w:t>
      </w:r>
      <w:r>
        <w:t xml:space="preserve"> </w:t>
      </w:r>
      <w:r>
        <w:t xml:space="preserve">Rehearsed honesty beats improvised deflection.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 worked example of a time-bound, decision-centric engagement</w:t>
      </w:r>
      <w:r>
        <w:t xml:space="preserve"> </w:t>
      </w:r>
      <w:r>
        <w:t xml:space="preserve">— because that phrase is GCC’s</w:t>
      </w:r>
      <w:r>
        <w:t xml:space="preserve"> </w:t>
      </w:r>
      <w:r>
        <w:t xml:space="preserve">own test of fit.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capacity answer.</w:t>
      </w:r>
      <w:r>
        <w:t xml:space="preserve"> </w:t>
      </w:r>
      <w:r>
        <w:t xml:space="preserve">How many concurrent engagements, and what happens when they exceed it.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AI answer</w:t>
      </w:r>
      <w:r>
        <w:t xml:space="preserve">, matching our written SOP exactly.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Questions for GCC:</w:t>
      </w:r>
      <w:r>
        <w:t xml:space="preserve"> </w:t>
      </w:r>
      <w:r>
        <w:t xml:space="preserve">expected engagement volume by category; how innovators are matched; what</w:t>
      </w:r>
      <w:r>
        <w:t xml:space="preserve"> </w:t>
      </w:r>
      <w:r>
        <w:t xml:space="preserve">past providers got wrong; how GCC defines a successful engagement.</w:t>
      </w:r>
    </w:p>
    <w:bookmarkEnd w:id="49"/>
    <w:bookmarkEnd w:id="50"/>
    <w:sectPr>
      <w:pgSz w:h="15840" w:w="12240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40" w:line="264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2026-09-15T07:14:47Z</dcterms:created>
  <dcterms:modified xsi:type="dcterms:W3CDTF">2026-09-15T07:14:47Z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