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300" w:before="1400" w:line="300"/>
        <w:jc w:val="start"/>
      </w:pPr>
      <w:r>
        <w:rPr>
          <w:rFonts w:ascii="Arial" w:cs="Arial" w:hAnsi="Arial"/>
          <w:b/>
          <w:bCs/>
          <w:i w:val="false"/>
          <w:color w:val="8A6A12"/>
          <w:sz w:val="17"/>
          <w:szCs w:val="17"/>
          <w:rtl/>
        </w:rPr>
        <w:t xml:space="preserve">دراسة جدوى واقتراح مشروع — وثيقة مُعدّة للتقديم على الجهات المانحة</w:t>
      </w:r>
    </w:p>
    <w:p>
      <w:pPr>
        <w:bidi/>
        <w:spacing w:after="200" w:before="0" w:line="620"/>
        <w:jc w:val="start"/>
      </w:pPr>
      <w:r>
        <w:rPr>
          <w:rFonts w:ascii="Arial" w:cs="Arial" w:hAnsi="Arial"/>
          <w:b/>
          <w:bCs/>
          <w:i w:val="false"/>
          <w:color w:val="111A15"/>
          <w:sz w:val="52"/>
          <w:szCs w:val="52"/>
          <w:rtl/>
        </w:rPr>
        <w:t xml:space="preserve">مركز التمكين الاقتصادي للأسر المنتجة</w:t>
      </w:r>
    </w:p>
    <w:p>
      <w:pPr>
        <w:pBdr>
          <w:bottom w:val="single" w:color="8A6A12" w:sz="18"/>
        </w:pBdr>
        <w:bidi/>
        <w:spacing w:after="320"/>
        <w:ind w:start="0" w:end="8266"/>
      </w:pPr>
      <w:r>
        <w:rPr>
          <w:rFonts w:ascii="Arial" w:cs="Arial" w:hAnsi="Arial"/>
          <w:b w:val="false"/>
          <w:i w:val="false"/>
          <w:color w:val="48534C"/>
          <w:sz w:val="4"/>
          <w:szCs w:val="4"/>
          <w:rtl/>
        </w:rPr>
        <w:t xml:space="preserve"/>
      </w:r>
    </w:p>
    <w:p>
      <w:pPr>
        <w:bidi/>
        <w:spacing w:after="500" w:before="0" w:line="400"/>
        <w:jc w:val="both"/>
      </w:pPr>
      <w:r>
        <w:rPr>
          <w:rFonts w:ascii="Arial" w:cs="Arial" w:hAnsi="Arial"/>
          <w:b w:val="false"/>
          <w:i w:val="false"/>
          <w:color w:val="48534C"/>
          <w:sz w:val="22"/>
          <w:szCs w:val="22"/>
          <w:rtl/>
        </w:rPr>
        <w:t xml:space="preserve">دراسة متكاملة لمشروع مطبخ إنتاجي مركزي ووحدة تدريب وتسويق، يهدف إلى نقل الأسر المنتجة من الإنتاج المنزلي غير النظامي إلى منظومة تصنيع مرخّصة ومطابقة للاشتراطات، مع بناء قدرات المستفيدات وربطهنّ بقنوات بيع مؤسسية مستدامة — منطقة الرياض، المملكة العربية السعودية.</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88"/>
        <w:gridCol w:w="3288"/>
        <w:gridCol w:w="3290"/>
      </w:tblGrid>
      <w:tr>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val="false"/>
                <w:i w:val="false"/>
                <w:color w:val="77817A"/>
                <w:sz w:val="15"/>
                <w:szCs w:val="15"/>
                <w:rtl/>
              </w:rPr>
              <w:t xml:space="preserve">الجهة المُنفِّذة</w:t>
            </w:r>
          </w:p>
          <w:p>
            <w:pPr>
              <w:bidi/>
              <w:spacing w:after="0" w:line="270"/>
              <w:jc w:val="start"/>
            </w:pPr>
            <w:r>
              <w:rPr>
                <w:rFonts w:ascii="Arial" w:cs="Arial" w:hAnsi="Arial"/>
                <w:b/>
                <w:bCs/>
                <w:i w:val="false"/>
                <w:color w:val="111A15"/>
                <w:sz w:val="19"/>
                <w:szCs w:val="19"/>
                <w:rtl/>
              </w:rPr>
              <w:t xml:space="preserve">الجمعية الأهلية (الجهة المتقدِّمة)</w:t>
            </w:r>
          </w:p>
        </w:tc>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val="false"/>
                <w:i w:val="false"/>
                <w:color w:val="77817A"/>
                <w:sz w:val="15"/>
                <w:szCs w:val="15"/>
                <w:rtl/>
              </w:rPr>
              <w:t xml:space="preserve">نطاق التنفيذ</w:t>
            </w:r>
          </w:p>
          <w:p>
            <w:pPr>
              <w:bidi/>
              <w:spacing w:after="0" w:line="270"/>
              <w:jc w:val="start"/>
            </w:pPr>
            <w:r>
              <w:rPr>
                <w:rFonts w:ascii="Arial" w:cs="Arial" w:hAnsi="Arial"/>
                <w:b/>
                <w:bCs/>
                <w:i w:val="false"/>
                <w:color w:val="111A15"/>
                <w:sz w:val="19"/>
                <w:szCs w:val="19"/>
                <w:rtl/>
              </w:rPr>
              <w:t xml:space="preserve">منطقة الرياض</w:t>
            </w:r>
          </w:p>
        </w:tc>
        <w:tc>
          <w:tcPr>
            <w:tcW w:type="dxa" w:w="3290"/>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val="false"/>
                <w:i w:val="false"/>
                <w:color w:val="77817A"/>
                <w:sz w:val="15"/>
                <w:szCs w:val="15"/>
                <w:rtl/>
              </w:rPr>
              <w:t xml:space="preserve">مدة التأسيس</w:t>
            </w:r>
          </w:p>
          <w:p>
            <w:pPr>
              <w:bidi/>
              <w:spacing w:after="0" w:line="270"/>
              <w:jc w:val="start"/>
            </w:pPr>
            <w:r>
              <w:rPr>
                <w:rFonts w:ascii="Arial" w:cs="Arial" w:hAnsi="Arial"/>
                <w:b/>
                <w:bCs/>
                <w:i w:val="false"/>
                <w:color w:val="111A15"/>
                <w:sz w:val="19"/>
                <w:szCs w:val="19"/>
                <w:rtl/>
              </w:rPr>
              <w:t xml:space="preserve">18 شهرًا حتى التشغيل الكامل</w:t>
            </w:r>
          </w:p>
        </w:tc>
      </w:tr>
      <w:tr>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val="false"/>
                <w:i w:val="false"/>
                <w:color w:val="77817A"/>
                <w:sz w:val="15"/>
                <w:szCs w:val="15"/>
                <w:rtl/>
              </w:rPr>
              <w:t xml:space="preserve">إجمالي التمويل المطلوب</w:t>
            </w:r>
          </w:p>
          <w:p>
            <w:pPr>
              <w:bidi/>
              <w:spacing w:after="0" w:line="270"/>
              <w:jc w:val="start"/>
            </w:pPr>
            <w:r>
              <w:rPr>
                <w:rFonts w:ascii="Arial" w:cs="Arial" w:hAnsi="Arial"/>
                <w:b/>
                <w:bCs/>
                <w:i w:val="false"/>
                <w:color w:val="111A15"/>
                <w:sz w:val="19"/>
                <w:szCs w:val="19"/>
                <w:rtl/>
              </w:rPr>
              <w:t xml:space="preserve">7,500,000 ريال سعودي</w:t>
            </w:r>
          </w:p>
        </w:tc>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val="false"/>
                <w:i w:val="false"/>
                <w:color w:val="77817A"/>
                <w:sz w:val="15"/>
                <w:szCs w:val="15"/>
                <w:rtl/>
              </w:rPr>
              <w:t xml:space="preserve">أفق الدراسة المالية</w:t>
            </w:r>
          </w:p>
          <w:p>
            <w:pPr>
              <w:bidi/>
              <w:spacing w:after="0" w:line="270"/>
              <w:jc w:val="start"/>
            </w:pPr>
            <w:r>
              <w:rPr>
                <w:rFonts w:ascii="Arial" w:cs="Arial" w:hAnsi="Arial"/>
                <w:b/>
                <w:bCs/>
                <w:i w:val="false"/>
                <w:color w:val="111A15"/>
                <w:sz w:val="19"/>
                <w:szCs w:val="19"/>
                <w:rtl/>
              </w:rPr>
              <w:t xml:space="preserve">10 سنوات تشغيلية</w:t>
            </w:r>
          </w:p>
        </w:tc>
        <w:tc>
          <w:tcPr>
            <w:tcW w:type="dxa" w:w="3290"/>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val="false"/>
                <w:i w:val="false"/>
                <w:color w:val="77817A"/>
                <w:sz w:val="15"/>
                <w:szCs w:val="15"/>
                <w:rtl/>
              </w:rPr>
              <w:t xml:space="preserve">إصدار الوثيقة</w:t>
            </w:r>
          </w:p>
          <w:p>
            <w:pPr>
              <w:bidi/>
              <w:spacing w:after="0" w:line="270"/>
              <w:jc w:val="start"/>
            </w:pPr>
            <w:r>
              <w:rPr>
                <w:rFonts w:ascii="Arial" w:cs="Arial" w:hAnsi="Arial"/>
                <w:b/>
                <w:bCs/>
                <w:i w:val="false"/>
                <w:color w:val="111A15"/>
                <w:sz w:val="19"/>
                <w:szCs w:val="19"/>
                <w:rtl/>
              </w:rPr>
              <w:t xml:space="preserve">النسخة 1.0 — أغسطس 2026</w:t>
            </w:r>
          </w:p>
        </w:tc>
      </w:tr>
    </w:tbl>
    <w:p>
      <w:pPr>
        <w:bidi/>
        <w:spacing w:after="160" w:before="0" w:line="300"/>
        <w:jc w:val="both"/>
      </w:pPr>
      <w:r>
        <w:rPr>
          <w:rFonts w:ascii="Arial" w:cs="Arial" w:hAnsi="Arial"/>
          <w:b w:val="false"/>
          <w:i w:val="false"/>
          <w:color w:val="48534C"/>
          <w:sz w:val="8"/>
          <w:szCs w:val="8"/>
          <w:rtl/>
        </w:rPr>
        <w:t xml:space="preserve"/>
      </w:r>
    </w:p>
    <w:p>
      <w:pPr>
        <w:bidi/>
        <w:spacing w:after="120" w:before="0" w:line="300"/>
        <w:jc w:val="both"/>
      </w:pPr>
      <w:r>
        <w:br w:type="page"/>
      </w:r>
    </w:p>
    <w:p>
      <w:pPr>
        <w:pStyle w:val="Heading1"/>
        <w:bidi/>
        <w:spacing w:after="300" w:before="0" w:line="300"/>
        <w:jc w:val="start"/>
        <w:outlineLvl w:val="0"/>
      </w:pPr>
      <w:r>
        <w:rPr>
          <w:rFonts w:ascii="Arial" w:cs="Arial" w:hAnsi="Arial"/>
          <w:b/>
          <w:bCs/>
          <w:i w:val="false"/>
          <w:color w:val="0E5A49"/>
          <w:sz w:val="32"/>
          <w:szCs w:val="32"/>
          <w:rtl/>
        </w:rPr>
        <w:t xml:space="preserve">محتويات الدراسة</w:t>
      </w:r>
    </w:p>
    <w:p>
      <w:pPr>
        <w:bidi/>
        <w:spacing w:after="110" w:before="0" w:line="300"/>
        <w:jc w:val="start"/>
      </w:pPr>
      <w:r>
        <w:rPr>
          <w:rFonts w:ascii="Arial" w:cs="Arial" w:hAnsi="Arial"/>
          <w:b/>
          <w:bCs/>
          <w:i w:val="false"/>
          <w:color w:val="8A6A12"/>
          <w:sz w:val="18"/>
          <w:szCs w:val="18"/>
          <w:rtl/>
        </w:rPr>
        <w:t xml:space="preserve">01   </w:t>
      </w:r>
      <w:r>
        <w:rPr>
          <w:rFonts w:ascii="Arial" w:cs="Arial" w:hAnsi="Arial"/>
          <w:b w:val="false"/>
          <w:i w:val="false"/>
          <w:color w:val="111A15"/>
          <w:sz w:val="20"/>
          <w:szCs w:val="20"/>
          <w:rtl/>
        </w:rPr>
        <w:t xml:space="preserve">الملخص التنفيذي</w:t>
      </w:r>
    </w:p>
    <w:p>
      <w:pPr>
        <w:bidi/>
        <w:spacing w:after="110" w:before="0" w:line="300"/>
        <w:jc w:val="start"/>
      </w:pPr>
      <w:r>
        <w:rPr>
          <w:rFonts w:ascii="Arial" w:cs="Arial" w:hAnsi="Arial"/>
          <w:b/>
          <w:bCs/>
          <w:i w:val="false"/>
          <w:color w:val="8A6A12"/>
          <w:sz w:val="18"/>
          <w:szCs w:val="18"/>
          <w:rtl/>
        </w:rPr>
        <w:t xml:space="preserve">02   </w:t>
      </w:r>
      <w:r>
        <w:rPr>
          <w:rFonts w:ascii="Arial" w:cs="Arial" w:hAnsi="Arial"/>
          <w:b w:val="false"/>
          <w:i w:val="false"/>
          <w:color w:val="111A15"/>
          <w:sz w:val="20"/>
          <w:szCs w:val="20"/>
          <w:rtl/>
        </w:rPr>
        <w:t xml:space="preserve">المنهجية ومصادر البيانات</w:t>
      </w:r>
    </w:p>
    <w:p>
      <w:pPr>
        <w:bidi/>
        <w:spacing w:after="110" w:before="0" w:line="300"/>
        <w:jc w:val="start"/>
      </w:pPr>
      <w:r>
        <w:rPr>
          <w:rFonts w:ascii="Arial" w:cs="Arial" w:hAnsi="Arial"/>
          <w:b/>
          <w:bCs/>
          <w:i w:val="false"/>
          <w:color w:val="8A6A12"/>
          <w:sz w:val="18"/>
          <w:szCs w:val="18"/>
          <w:rtl/>
        </w:rPr>
        <w:t xml:space="preserve">03   </w:t>
      </w:r>
      <w:r>
        <w:rPr>
          <w:rFonts w:ascii="Arial" w:cs="Arial" w:hAnsi="Arial"/>
          <w:b w:val="false"/>
          <w:i w:val="false"/>
          <w:color w:val="111A15"/>
          <w:sz w:val="20"/>
          <w:szCs w:val="20"/>
          <w:rtl/>
        </w:rPr>
        <w:t xml:space="preserve">فكرة المشروع ومبرراته</w:t>
      </w:r>
    </w:p>
    <w:p>
      <w:pPr>
        <w:bidi/>
        <w:spacing w:after="110" w:before="0" w:line="300"/>
        <w:jc w:val="start"/>
      </w:pPr>
      <w:r>
        <w:rPr>
          <w:rFonts w:ascii="Arial" w:cs="Arial" w:hAnsi="Arial"/>
          <w:b/>
          <w:bCs/>
          <w:i w:val="false"/>
          <w:color w:val="8A6A12"/>
          <w:sz w:val="18"/>
          <w:szCs w:val="18"/>
          <w:rtl/>
        </w:rPr>
        <w:t xml:space="preserve">04   </w:t>
      </w:r>
      <w:r>
        <w:rPr>
          <w:rFonts w:ascii="Arial" w:cs="Arial" w:hAnsi="Arial"/>
          <w:b w:val="false"/>
          <w:i w:val="false"/>
          <w:color w:val="111A15"/>
          <w:sz w:val="20"/>
          <w:szCs w:val="20"/>
          <w:rtl/>
        </w:rPr>
        <w:t xml:space="preserve">دراسة الاحتياج وتحليل المشكلة</w:t>
      </w:r>
    </w:p>
    <w:p>
      <w:pPr>
        <w:bidi/>
        <w:spacing w:after="110" w:before="0" w:line="300"/>
        <w:jc w:val="start"/>
      </w:pPr>
      <w:r>
        <w:rPr>
          <w:rFonts w:ascii="Arial" w:cs="Arial" w:hAnsi="Arial"/>
          <w:b/>
          <w:bCs/>
          <w:i w:val="false"/>
          <w:color w:val="8A6A12"/>
          <w:sz w:val="18"/>
          <w:szCs w:val="18"/>
          <w:rtl/>
        </w:rPr>
        <w:t xml:space="preserve">05   </w:t>
      </w:r>
      <w:r>
        <w:rPr>
          <w:rFonts w:ascii="Arial" w:cs="Arial" w:hAnsi="Arial"/>
          <w:b w:val="false"/>
          <w:i w:val="false"/>
          <w:color w:val="111A15"/>
          <w:sz w:val="20"/>
          <w:szCs w:val="20"/>
          <w:rtl/>
        </w:rPr>
        <w:t xml:space="preserve">أصحاب المصلحة والفئات المستهدفة</w:t>
      </w:r>
    </w:p>
    <w:p>
      <w:pPr>
        <w:bidi/>
        <w:spacing w:after="110" w:before="0" w:line="300"/>
        <w:jc w:val="start"/>
      </w:pPr>
      <w:r>
        <w:rPr>
          <w:rFonts w:ascii="Arial" w:cs="Arial" w:hAnsi="Arial"/>
          <w:b/>
          <w:bCs/>
          <w:i w:val="false"/>
          <w:color w:val="8A6A12"/>
          <w:sz w:val="18"/>
          <w:szCs w:val="18"/>
          <w:rtl/>
        </w:rPr>
        <w:t xml:space="preserve">06   </w:t>
      </w:r>
      <w:r>
        <w:rPr>
          <w:rFonts w:ascii="Arial" w:cs="Arial" w:hAnsi="Arial"/>
          <w:b w:val="false"/>
          <w:i w:val="false"/>
          <w:color w:val="111A15"/>
          <w:sz w:val="20"/>
          <w:szCs w:val="20"/>
          <w:rtl/>
        </w:rPr>
        <w:t xml:space="preserve">الأهداف ونظرية التغيير</w:t>
      </w:r>
    </w:p>
    <w:p>
      <w:pPr>
        <w:bidi/>
        <w:spacing w:after="110" w:before="0" w:line="300"/>
        <w:jc w:val="start"/>
      </w:pPr>
      <w:r>
        <w:rPr>
          <w:rFonts w:ascii="Arial" w:cs="Arial" w:hAnsi="Arial"/>
          <w:b/>
          <w:bCs/>
          <w:i w:val="false"/>
          <w:color w:val="8A6A12"/>
          <w:sz w:val="18"/>
          <w:szCs w:val="18"/>
          <w:rtl/>
        </w:rPr>
        <w:t xml:space="preserve">07   </w:t>
      </w:r>
      <w:r>
        <w:rPr>
          <w:rFonts w:ascii="Arial" w:cs="Arial" w:hAnsi="Arial"/>
          <w:b w:val="false"/>
          <w:i w:val="false"/>
          <w:color w:val="111A15"/>
          <w:sz w:val="20"/>
          <w:szCs w:val="20"/>
          <w:rtl/>
        </w:rPr>
        <w:t xml:space="preserve">المخرجات والأنشطة</w:t>
      </w:r>
    </w:p>
    <w:p>
      <w:pPr>
        <w:bidi/>
        <w:spacing w:after="110" w:before="0" w:line="300"/>
        <w:jc w:val="start"/>
      </w:pPr>
      <w:r>
        <w:rPr>
          <w:rFonts w:ascii="Arial" w:cs="Arial" w:hAnsi="Arial"/>
          <w:b/>
          <w:bCs/>
          <w:i w:val="false"/>
          <w:color w:val="8A6A12"/>
          <w:sz w:val="18"/>
          <w:szCs w:val="18"/>
          <w:rtl/>
        </w:rPr>
        <w:t xml:space="preserve">08   </w:t>
      </w:r>
      <w:r>
        <w:rPr>
          <w:rFonts w:ascii="Arial" w:cs="Arial" w:hAnsi="Arial"/>
          <w:b w:val="false"/>
          <w:i w:val="false"/>
          <w:color w:val="111A15"/>
          <w:sz w:val="20"/>
          <w:szCs w:val="20"/>
          <w:rtl/>
        </w:rPr>
        <w:t xml:space="preserve">الدراسة السوقية</w:t>
      </w:r>
    </w:p>
    <w:p>
      <w:pPr>
        <w:bidi/>
        <w:spacing w:after="110" w:before="0" w:line="300"/>
        <w:jc w:val="start"/>
      </w:pPr>
      <w:r>
        <w:rPr>
          <w:rFonts w:ascii="Arial" w:cs="Arial" w:hAnsi="Arial"/>
          <w:b/>
          <w:bCs/>
          <w:i w:val="false"/>
          <w:color w:val="8A6A12"/>
          <w:sz w:val="18"/>
          <w:szCs w:val="18"/>
          <w:rtl/>
        </w:rPr>
        <w:t xml:space="preserve">09   </w:t>
      </w:r>
      <w:r>
        <w:rPr>
          <w:rFonts w:ascii="Arial" w:cs="Arial" w:hAnsi="Arial"/>
          <w:b w:val="false"/>
          <w:i w:val="false"/>
          <w:color w:val="111A15"/>
          <w:sz w:val="20"/>
          <w:szCs w:val="20"/>
          <w:rtl/>
        </w:rPr>
        <w:t xml:space="preserve">الدراسة التسويقية والمبيعات</w:t>
      </w:r>
    </w:p>
    <w:p>
      <w:pPr>
        <w:bidi/>
        <w:spacing w:after="110" w:before="0" w:line="300"/>
        <w:jc w:val="start"/>
      </w:pPr>
      <w:r>
        <w:rPr>
          <w:rFonts w:ascii="Arial" w:cs="Arial" w:hAnsi="Arial"/>
          <w:b/>
          <w:bCs/>
          <w:i w:val="false"/>
          <w:color w:val="8A6A12"/>
          <w:sz w:val="18"/>
          <w:szCs w:val="18"/>
          <w:rtl/>
        </w:rPr>
        <w:t xml:space="preserve">10   </w:t>
      </w:r>
      <w:r>
        <w:rPr>
          <w:rFonts w:ascii="Arial" w:cs="Arial" w:hAnsi="Arial"/>
          <w:b w:val="false"/>
          <w:i w:val="false"/>
          <w:color w:val="111A15"/>
          <w:sz w:val="20"/>
          <w:szCs w:val="20"/>
          <w:rtl/>
        </w:rPr>
        <w:t xml:space="preserve">الدراسة التنظيمية والموارد البشرية</w:t>
      </w:r>
    </w:p>
    <w:p>
      <w:pPr>
        <w:bidi/>
        <w:spacing w:after="110" w:before="0" w:line="300"/>
        <w:jc w:val="start"/>
      </w:pPr>
      <w:r>
        <w:rPr>
          <w:rFonts w:ascii="Arial" w:cs="Arial" w:hAnsi="Arial"/>
          <w:b/>
          <w:bCs/>
          <w:i w:val="false"/>
          <w:color w:val="8A6A12"/>
          <w:sz w:val="18"/>
          <w:szCs w:val="18"/>
          <w:rtl/>
        </w:rPr>
        <w:t xml:space="preserve">11   </w:t>
      </w:r>
      <w:r>
        <w:rPr>
          <w:rFonts w:ascii="Arial" w:cs="Arial" w:hAnsi="Arial"/>
          <w:b w:val="false"/>
          <w:i w:val="false"/>
          <w:color w:val="111A15"/>
          <w:sz w:val="20"/>
          <w:szCs w:val="20"/>
          <w:rtl/>
        </w:rPr>
        <w:t xml:space="preserve">الدراسة الفنية والهندسية</w:t>
      </w:r>
    </w:p>
    <w:p>
      <w:pPr>
        <w:bidi/>
        <w:spacing w:after="110" w:before="0" w:line="300"/>
        <w:jc w:val="start"/>
      </w:pPr>
      <w:r>
        <w:rPr>
          <w:rFonts w:ascii="Arial" w:cs="Arial" w:hAnsi="Arial"/>
          <w:b/>
          <w:bCs/>
          <w:i w:val="false"/>
          <w:color w:val="8A6A12"/>
          <w:sz w:val="18"/>
          <w:szCs w:val="18"/>
          <w:rtl/>
        </w:rPr>
        <w:t xml:space="preserve">12   </w:t>
      </w:r>
      <w:r>
        <w:rPr>
          <w:rFonts w:ascii="Arial" w:cs="Arial" w:hAnsi="Arial"/>
          <w:b w:val="false"/>
          <w:i w:val="false"/>
          <w:color w:val="111A15"/>
          <w:sz w:val="20"/>
          <w:szCs w:val="20"/>
          <w:rtl/>
        </w:rPr>
        <w:t xml:space="preserve">خطة التنفيذ والجدول الزمني</w:t>
      </w:r>
    </w:p>
    <w:p>
      <w:pPr>
        <w:bidi/>
        <w:spacing w:after="110" w:before="0" w:line="300"/>
        <w:jc w:val="start"/>
      </w:pPr>
      <w:r>
        <w:rPr>
          <w:rFonts w:ascii="Arial" w:cs="Arial" w:hAnsi="Arial"/>
          <w:b/>
          <w:bCs/>
          <w:i w:val="false"/>
          <w:color w:val="8A6A12"/>
          <w:sz w:val="18"/>
          <w:szCs w:val="18"/>
          <w:rtl/>
        </w:rPr>
        <w:t xml:space="preserve">13   </w:t>
      </w:r>
      <w:r>
        <w:rPr>
          <w:rFonts w:ascii="Arial" w:cs="Arial" w:hAnsi="Arial"/>
          <w:b w:val="false"/>
          <w:i w:val="false"/>
          <w:color w:val="111A15"/>
          <w:sz w:val="20"/>
          <w:szCs w:val="20"/>
          <w:rtl/>
        </w:rPr>
        <w:t xml:space="preserve">الدراسة المالية</w:t>
      </w:r>
    </w:p>
    <w:p>
      <w:pPr>
        <w:bidi/>
        <w:spacing w:after="110" w:before="0" w:line="300"/>
        <w:jc w:val="start"/>
      </w:pPr>
      <w:r>
        <w:rPr>
          <w:rFonts w:ascii="Arial" w:cs="Arial" w:hAnsi="Arial"/>
          <w:b/>
          <w:bCs/>
          <w:i w:val="false"/>
          <w:color w:val="8A6A12"/>
          <w:sz w:val="18"/>
          <w:szCs w:val="18"/>
          <w:rtl/>
        </w:rPr>
        <w:t xml:space="preserve">14   </w:t>
      </w:r>
      <w:r>
        <w:rPr>
          <w:rFonts w:ascii="Arial" w:cs="Arial" w:hAnsi="Arial"/>
          <w:b w:val="false"/>
          <w:i w:val="false"/>
          <w:color w:val="111A15"/>
          <w:sz w:val="20"/>
          <w:szCs w:val="20"/>
          <w:rtl/>
        </w:rPr>
        <w:t xml:space="preserve">مؤشرات الأداء</w:t>
      </w:r>
    </w:p>
    <w:p>
      <w:pPr>
        <w:bidi/>
        <w:spacing w:after="110" w:before="0" w:line="300"/>
        <w:jc w:val="start"/>
      </w:pPr>
      <w:r>
        <w:rPr>
          <w:rFonts w:ascii="Arial" w:cs="Arial" w:hAnsi="Arial"/>
          <w:b/>
          <w:bCs/>
          <w:i w:val="false"/>
          <w:color w:val="8A6A12"/>
          <w:sz w:val="18"/>
          <w:szCs w:val="18"/>
          <w:rtl/>
        </w:rPr>
        <w:t xml:space="preserve">15   </w:t>
      </w:r>
      <w:r>
        <w:rPr>
          <w:rFonts w:ascii="Arial" w:cs="Arial" w:hAnsi="Arial"/>
          <w:b w:val="false"/>
          <w:i w:val="false"/>
          <w:color w:val="111A15"/>
          <w:sz w:val="20"/>
          <w:szCs w:val="20"/>
          <w:rtl/>
        </w:rPr>
        <w:t xml:space="preserve">إدارة المخاطر</w:t>
      </w:r>
    </w:p>
    <w:p>
      <w:pPr>
        <w:bidi/>
        <w:spacing w:after="110" w:before="0" w:line="300"/>
        <w:jc w:val="start"/>
      </w:pPr>
      <w:r>
        <w:rPr>
          <w:rFonts w:ascii="Arial" w:cs="Arial" w:hAnsi="Arial"/>
          <w:b/>
          <w:bCs/>
          <w:i w:val="false"/>
          <w:color w:val="8A6A12"/>
          <w:sz w:val="18"/>
          <w:szCs w:val="18"/>
          <w:rtl/>
        </w:rPr>
        <w:t xml:space="preserve">16   </w:t>
      </w:r>
      <w:r>
        <w:rPr>
          <w:rFonts w:ascii="Arial" w:cs="Arial" w:hAnsi="Arial"/>
          <w:b w:val="false"/>
          <w:i w:val="false"/>
          <w:color w:val="111A15"/>
          <w:sz w:val="20"/>
          <w:szCs w:val="20"/>
          <w:rtl/>
        </w:rPr>
        <w:t xml:space="preserve">الاستدامة</w:t>
      </w:r>
    </w:p>
    <w:p>
      <w:pPr>
        <w:bidi/>
        <w:spacing w:after="110" w:before="0" w:line="300"/>
        <w:jc w:val="start"/>
      </w:pPr>
      <w:r>
        <w:rPr>
          <w:rFonts w:ascii="Arial" w:cs="Arial" w:hAnsi="Arial"/>
          <w:b/>
          <w:bCs/>
          <w:i w:val="false"/>
          <w:color w:val="8A6A12"/>
          <w:sz w:val="18"/>
          <w:szCs w:val="18"/>
          <w:rtl/>
        </w:rPr>
        <w:t xml:space="preserve">17   </w:t>
      </w:r>
      <w:r>
        <w:rPr>
          <w:rFonts w:ascii="Arial" w:cs="Arial" w:hAnsi="Arial"/>
          <w:b w:val="false"/>
          <w:i w:val="false"/>
          <w:color w:val="111A15"/>
          <w:sz w:val="20"/>
          <w:szCs w:val="20"/>
          <w:rtl/>
        </w:rPr>
        <w:t xml:space="preserve">قياس الأثر والعائد الاجتماعي</w:t>
      </w:r>
    </w:p>
    <w:p>
      <w:pPr>
        <w:bidi/>
        <w:spacing w:after="110" w:before="0" w:line="300"/>
        <w:jc w:val="start"/>
      </w:pPr>
      <w:r>
        <w:rPr>
          <w:rFonts w:ascii="Arial" w:cs="Arial" w:hAnsi="Arial"/>
          <w:b/>
          <w:bCs/>
          <w:i w:val="false"/>
          <w:color w:val="8A6A12"/>
          <w:sz w:val="18"/>
          <w:szCs w:val="18"/>
          <w:rtl/>
        </w:rPr>
        <w:t xml:space="preserve">18   </w:t>
      </w:r>
      <w:r>
        <w:rPr>
          <w:rFonts w:ascii="Arial" w:cs="Arial" w:hAnsi="Arial"/>
          <w:b w:val="false"/>
          <w:i w:val="false"/>
          <w:color w:val="111A15"/>
          <w:sz w:val="20"/>
          <w:szCs w:val="20"/>
          <w:rtl/>
        </w:rPr>
        <w:t xml:space="preserve">الخلاصة والتوصيات</w:t>
      </w:r>
    </w:p>
    <w:p>
      <w:pPr>
        <w:bidi/>
        <w:spacing w:after="110" w:before="0" w:line="300"/>
        <w:jc w:val="start"/>
      </w:pPr>
      <w:r>
        <w:rPr>
          <w:rFonts w:ascii="Arial" w:cs="Arial" w:hAnsi="Arial"/>
          <w:b/>
          <w:bCs/>
          <w:i w:val="false"/>
          <w:color w:val="8A6A12"/>
          <w:sz w:val="18"/>
          <w:szCs w:val="18"/>
          <w:rtl/>
        </w:rPr>
        <w:t xml:space="preserve">19   </w:t>
      </w:r>
      <w:r>
        <w:rPr>
          <w:rFonts w:ascii="Arial" w:cs="Arial" w:hAnsi="Arial"/>
          <w:b w:val="false"/>
          <w:i w:val="false"/>
          <w:color w:val="111A15"/>
          <w:sz w:val="20"/>
          <w:szCs w:val="20"/>
          <w:rtl/>
        </w:rPr>
        <w:t xml:space="preserve">الملاحق</w:t>
      </w:r>
    </w:p>
    <w:p>
      <w:pPr>
        <w:bidi/>
        <w:spacing w:after="120" w:before="0" w:line="300"/>
        <w:jc w:val="both"/>
      </w:pPr>
      <w:r>
        <w:br w:type="page"/>
      </w:r>
    </w:p>
    <w:p>
      <w:pPr>
        <w:pStyle w:val="Heading1"/>
        <w:keepNext/>
        <w:bidi/>
        <w:spacing w:after="60" w:before="0" w:line="300"/>
        <w:jc w:val="start"/>
        <w:outlineLvl w:val="0"/>
      </w:pPr>
      <w:r>
        <w:rPr>
          <w:rFonts w:ascii="Arial" w:cs="Arial" w:hAnsi="Arial"/>
          <w:b/>
          <w:bCs/>
          <w:i w:val="false"/>
          <w:color w:val="8A6A12"/>
          <w:sz w:val="30"/>
          <w:szCs w:val="30"/>
          <w:rtl/>
        </w:rPr>
        <w:t xml:space="preserve">01   </w:t>
      </w:r>
      <w:r>
        <w:rPr>
          <w:rFonts w:ascii="Arial" w:cs="Arial" w:hAnsi="Arial"/>
          <w:b/>
          <w:bCs/>
          <w:i w:val="false"/>
          <w:color w:val="0E5A49"/>
          <w:sz w:val="30"/>
          <w:szCs w:val="30"/>
          <w:rtl/>
        </w:rPr>
        <w:t xml:space="preserve">الملخص التنفيذي</w:t>
      </w:r>
    </w:p>
    <w:p>
      <w:pPr>
        <w:pBdr>
          <w:bottom w:val="single" w:color="DBE2DB" w:sz="6"/>
        </w:pBdr>
        <w:bidi/>
        <w:spacing w:after="260"/>
        <w:jc w:val="start"/>
      </w:pPr>
      <w:r>
        <w:rPr>
          <w:rFonts w:ascii="Arial" w:cs="Arial" w:hAnsi="Arial"/>
          <w:b w:val="false"/>
          <w:i w:val="false"/>
          <w:color w:val="77817A"/>
          <w:sz w:val="17"/>
          <w:szCs w:val="17"/>
          <w:rtl/>
        </w:rPr>
        <w:t xml:space="preserve">خلاصة الدراسة والقرار المطلوب من الجهة المانحة</w:t>
      </w:r>
    </w:p>
    <w:p>
      <w:pPr>
        <w:bidi/>
        <w:spacing w:after="140" w:before="0" w:line="300"/>
        <w:jc w:val="both"/>
      </w:pPr>
      <w:r>
        <w:rPr>
          <w:rFonts w:ascii="Arial" w:cs="Arial" w:hAnsi="Arial"/>
          <w:b w:val="false"/>
          <w:i w:val="false"/>
          <w:color w:val="111A15"/>
          <w:sz w:val="21"/>
          <w:szCs w:val="21"/>
          <w:rtl/>
        </w:rPr>
        <w:t xml:space="preserve">تتناول هذه الدراسة تأسيس </w:t>
      </w:r>
      <w:r>
        <w:rPr>
          <w:rFonts w:ascii="Arial" w:cs="Arial" w:hAnsi="Arial"/>
          <w:b/>
          <w:bCs/>
          <w:i w:val="false"/>
          <w:color w:val="111A15"/>
          <w:sz w:val="21"/>
          <w:szCs w:val="21"/>
          <w:rtl/>
        </w:rPr>
        <w:t xml:space="preserve">مركز التمكين الاقتصادي للأسر المنتجة</w:t>
      </w:r>
      <w:r>
        <w:rPr>
          <w:rFonts w:ascii="Arial" w:cs="Arial" w:hAnsi="Arial"/>
          <w:b w:val="false"/>
          <w:i w:val="false"/>
          <w:color w:val="111A15"/>
          <w:sz w:val="21"/>
          <w:szCs w:val="21"/>
          <w:rtl/>
        </w:rPr>
        <w:t xml:space="preserve"> في منطقة الرياض: منشأة إنتاجية غذائية مرخّصة بمساحة 1,250 م² تجمع بين ثلاث وظائف في كيان واحد — </w:t>
      </w:r>
      <w:r>
        <w:rPr>
          <w:rFonts w:ascii="Arial" w:cs="Arial" w:hAnsi="Arial"/>
          <w:b/>
          <w:bCs/>
          <w:i w:val="false"/>
          <w:color w:val="111A15"/>
          <w:sz w:val="21"/>
          <w:szCs w:val="21"/>
          <w:rtl/>
        </w:rPr>
        <w:t xml:space="preserve">مطبخ إنتاجي مركزي</w:t>
      </w:r>
      <w:r>
        <w:rPr>
          <w:rFonts w:ascii="Arial" w:cs="Arial" w:hAnsi="Arial"/>
          <w:b w:val="false"/>
          <w:i w:val="false"/>
          <w:color w:val="111A15"/>
          <w:sz w:val="21"/>
          <w:szCs w:val="21"/>
          <w:rtl/>
        </w:rPr>
        <w:t xml:space="preserve"> يوفّر بنية تصنيع مطابقة للاشتراطات، و</w:t>
      </w:r>
      <w:r>
        <w:rPr>
          <w:rFonts w:ascii="Arial" w:cs="Arial" w:hAnsi="Arial"/>
          <w:b/>
          <w:bCs/>
          <w:i w:val="false"/>
          <w:color w:val="111A15"/>
          <w:sz w:val="21"/>
          <w:szCs w:val="21"/>
          <w:rtl/>
        </w:rPr>
        <w:t xml:space="preserve">أكاديمية تدريب وتأهيل</w:t>
      </w:r>
      <w:r>
        <w:rPr>
          <w:rFonts w:ascii="Arial" w:cs="Arial" w:hAnsi="Arial"/>
          <w:b w:val="false"/>
          <w:i w:val="false"/>
          <w:color w:val="111A15"/>
          <w:sz w:val="21"/>
          <w:szCs w:val="21"/>
          <w:rtl/>
        </w:rPr>
        <w:t xml:space="preserve"> ترفع قدرات المستفيدات إلى المستوى المهني، و</w:t>
      </w:r>
      <w:r>
        <w:rPr>
          <w:rFonts w:ascii="Arial" w:cs="Arial" w:hAnsi="Arial"/>
          <w:b/>
          <w:bCs/>
          <w:i w:val="false"/>
          <w:color w:val="111A15"/>
          <w:sz w:val="21"/>
          <w:szCs w:val="21"/>
          <w:rtl/>
        </w:rPr>
        <w:t xml:space="preserve">ذراع تسويق ومبيعات</w:t>
      </w:r>
      <w:r>
        <w:rPr>
          <w:rFonts w:ascii="Arial" w:cs="Arial" w:hAnsi="Arial"/>
          <w:b w:val="false"/>
          <w:i w:val="false"/>
          <w:color w:val="111A15"/>
          <w:sz w:val="21"/>
          <w:szCs w:val="21"/>
          <w:rtl/>
        </w:rPr>
        <w:t xml:space="preserve"> تتولّى العلامة التجارية والتعاقدات المؤسسية نيابةً عن الأسر.</w:t>
      </w:r>
    </w:p>
    <w:p>
      <w:pPr>
        <w:bidi/>
        <w:spacing w:after="140" w:before="0" w:line="300"/>
        <w:jc w:val="both"/>
      </w:pPr>
      <w:r>
        <w:rPr>
          <w:rFonts w:ascii="Arial" w:cs="Arial" w:hAnsi="Arial"/>
          <w:b w:val="false"/>
          <w:i w:val="false"/>
          <w:color w:val="48534C"/>
          <w:sz w:val="20"/>
          <w:szCs w:val="20"/>
          <w:rtl/>
        </w:rPr>
        <w:t xml:space="preserve">المشكلة التي يعالجها المشروع محدَّدة: تنتج آلاف الأسر في الرياض أغذية منزلية بجودة تنافسية، لكنها محجوزة عند سقف دخل منخفض لأنها لا تملك — منفردةً — منشأة مرخّصة، ولا شهادة سلامة غذاء، ولا قدرة على الوفاء بعقد مؤسسي متكرر. النتيجة أن الأسرة تبيع بالتجزئة غير النظامية بهامش ضعيف ودخل متذبذب. المشروع يزيل هذا الحاجز بتوفير البنية التحتية والامتثال والسوق كخدمة مشتركة، بدلًا من أن تحمل كل أسرة تكلفتها منفردة.</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88"/>
        <w:gridCol w:w="3288"/>
        <w:gridCol w:w="3290"/>
      </w:tblGrid>
      <w:tr>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val="false"/>
                <w:i w:val="false"/>
                <w:color w:val="77817A"/>
                <w:sz w:val="15"/>
                <w:szCs w:val="15"/>
                <w:rtl/>
              </w:rPr>
              <w:t xml:space="preserve">إجمالي التمويل المطلوب</w:t>
            </w:r>
          </w:p>
          <w:p>
            <w:pPr>
              <w:bidi/>
              <w:spacing w:after="60" w:line="270"/>
              <w:jc w:val="start"/>
            </w:pPr>
            <w:r>
              <w:rPr>
                <w:rFonts w:ascii="Arial" w:cs="Arial" w:hAnsi="Arial"/>
                <w:b/>
                <w:bCs/>
                <w:i w:val="false"/>
                <w:color w:val="0E5A49"/>
                <w:sz w:val="26"/>
                <w:szCs w:val="26"/>
                <w:rtl/>
              </w:rPr>
              <w:t xml:space="preserve">7.5 مليون ر.س</w:t>
            </w:r>
          </w:p>
          <w:p>
            <w:pPr>
              <w:bidi/>
              <w:spacing w:after="0" w:line="270"/>
              <w:jc w:val="start"/>
            </w:pPr>
            <w:r>
              <w:rPr>
                <w:rFonts w:ascii="Arial" w:cs="Arial" w:hAnsi="Arial"/>
                <w:b w:val="false"/>
                <w:i w:val="false"/>
                <w:color w:val="77817A"/>
                <w:sz w:val="15"/>
                <w:szCs w:val="15"/>
                <w:rtl/>
              </w:rPr>
              <w:t xml:space="preserve">رأسمالي 6.0م · رأس مال عامل 0.75م · جسر تشغيلي 0.75م</w:t>
            </w:r>
          </w:p>
        </w:tc>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val="false"/>
                <w:i w:val="false"/>
                <w:color w:val="77817A"/>
                <w:sz w:val="15"/>
                <w:szCs w:val="15"/>
                <w:rtl/>
              </w:rPr>
              <w:t xml:space="preserve">المستفيدات المباشرات (5 سنوات)</w:t>
            </w:r>
          </w:p>
          <w:p>
            <w:pPr>
              <w:bidi/>
              <w:spacing w:after="60" w:line="270"/>
              <w:jc w:val="start"/>
            </w:pPr>
            <w:r>
              <w:rPr>
                <w:rFonts w:ascii="Arial" w:cs="Arial" w:hAnsi="Arial"/>
                <w:b/>
                <w:bCs/>
                <w:i w:val="false"/>
                <w:color w:val="0E5A49"/>
                <w:sz w:val="26"/>
                <w:szCs w:val="26"/>
                <w:rtl/>
              </w:rPr>
              <w:t xml:space="preserve">1,805 متدربة</w:t>
            </w:r>
          </w:p>
          <w:p>
            <w:pPr>
              <w:bidi/>
              <w:spacing w:after="0" w:line="270"/>
              <w:jc w:val="start"/>
            </w:pPr>
            <w:r>
              <w:rPr>
                <w:rFonts w:ascii="Arial" w:cs="Arial" w:hAnsi="Arial"/>
                <w:b w:val="false"/>
                <w:i w:val="false"/>
                <w:color w:val="77817A"/>
                <w:sz w:val="15"/>
                <w:szCs w:val="15"/>
                <w:rtl/>
              </w:rPr>
              <w:t xml:space="preserve">منهنّ 280 أسرة منتجة متعاقدة بنهاية السنة الخامسة</w:t>
            </w:r>
          </w:p>
        </w:tc>
        <w:tc>
          <w:tcPr>
            <w:tcW w:type="dxa" w:w="3290"/>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val="false"/>
                <w:i w:val="false"/>
                <w:color w:val="77817A"/>
                <w:sz w:val="15"/>
                <w:szCs w:val="15"/>
                <w:rtl/>
              </w:rPr>
              <w:t xml:space="preserve">تكلفة الاستثمار لكل مستفيدة</w:t>
            </w:r>
          </w:p>
          <w:p>
            <w:pPr>
              <w:bidi/>
              <w:spacing w:after="60" w:line="270"/>
              <w:jc w:val="start"/>
            </w:pPr>
            <w:r>
              <w:rPr>
                <w:rFonts w:ascii="Arial" w:cs="Arial" w:hAnsi="Arial"/>
                <w:b/>
                <w:bCs/>
                <w:i w:val="false"/>
                <w:color w:val="0E5A49"/>
                <w:sz w:val="26"/>
                <w:szCs w:val="26"/>
                <w:rtl/>
              </w:rPr>
              <w:t xml:space="preserve">4,155 ر.س</w:t>
            </w:r>
          </w:p>
          <w:p>
            <w:pPr>
              <w:bidi/>
              <w:spacing w:after="0" w:line="270"/>
              <w:jc w:val="start"/>
            </w:pPr>
            <w:r>
              <w:rPr>
                <w:rFonts w:ascii="Arial" w:cs="Arial" w:hAnsi="Arial"/>
                <w:b w:val="false"/>
                <w:i w:val="false"/>
                <w:color w:val="77817A"/>
                <w:sz w:val="15"/>
                <w:szCs w:val="15"/>
                <w:rtl/>
              </w:rPr>
              <w:t xml:space="preserve">تنخفض إلى نحو 2,100 ر.س على أفق عشر سنوات</w:t>
            </w:r>
          </w:p>
        </w:tc>
      </w:tr>
      <w:tr>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val="false"/>
                <w:i w:val="false"/>
                <w:color w:val="77817A"/>
                <w:sz w:val="15"/>
                <w:szCs w:val="15"/>
                <w:rtl/>
              </w:rPr>
              <w:t xml:space="preserve">الاكتفاء التشغيلي الذاتي</w:t>
            </w:r>
          </w:p>
          <w:p>
            <w:pPr>
              <w:bidi/>
              <w:spacing w:after="60" w:line="270"/>
              <w:jc w:val="start"/>
            </w:pPr>
            <w:r>
              <w:rPr>
                <w:rFonts w:ascii="Arial" w:cs="Arial" w:hAnsi="Arial"/>
                <w:b/>
                <w:bCs/>
                <w:i w:val="false"/>
                <w:color w:val="0E5A49"/>
                <w:sz w:val="26"/>
                <w:szCs w:val="26"/>
                <w:rtl/>
              </w:rPr>
              <w:t xml:space="preserve">101٪ من السنة الثانية</w:t>
            </w:r>
          </w:p>
          <w:p>
            <w:pPr>
              <w:bidi/>
              <w:spacing w:after="0" w:line="270"/>
              <w:jc w:val="start"/>
            </w:pPr>
            <w:r>
              <w:rPr>
                <w:rFonts w:ascii="Arial" w:cs="Arial" w:hAnsi="Arial"/>
                <w:b w:val="false"/>
                <w:i w:val="false"/>
                <w:color w:val="77817A"/>
                <w:sz w:val="15"/>
                <w:szCs w:val="15"/>
                <w:rtl/>
              </w:rPr>
              <w:t xml:space="preserve">لا يتطلب المشروع دعمًا تشغيليًا متكررًا بعد السنة الأولى</w:t>
            </w:r>
          </w:p>
        </w:tc>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val="false"/>
                <w:i w:val="false"/>
                <w:color w:val="77817A"/>
                <w:sz w:val="15"/>
                <w:szCs w:val="15"/>
                <w:rtl/>
              </w:rPr>
              <w:t xml:space="preserve">إيرادات السنة الخامسة</w:t>
            </w:r>
          </w:p>
          <w:p>
            <w:pPr>
              <w:bidi/>
              <w:spacing w:after="60" w:line="270"/>
              <w:jc w:val="start"/>
            </w:pPr>
            <w:r>
              <w:rPr>
                <w:rFonts w:ascii="Arial" w:cs="Arial" w:hAnsi="Arial"/>
                <w:b/>
                <w:bCs/>
                <w:i w:val="false"/>
                <w:color w:val="0E5A49"/>
                <w:sz w:val="26"/>
                <w:szCs w:val="26"/>
                <w:rtl/>
              </w:rPr>
              <w:t xml:space="preserve">14.2 مليون ر.س</w:t>
            </w:r>
          </w:p>
          <w:p>
            <w:pPr>
              <w:bidi/>
              <w:spacing w:after="0" w:line="270"/>
              <w:jc w:val="start"/>
            </w:pPr>
            <w:r>
              <w:rPr>
                <w:rFonts w:ascii="Arial" w:cs="Arial" w:hAnsi="Arial"/>
                <w:b w:val="false"/>
                <w:i w:val="false"/>
                <w:color w:val="77817A"/>
                <w:sz w:val="15"/>
                <w:szCs w:val="15"/>
                <w:rtl/>
              </w:rPr>
              <w:t xml:space="preserve">عند 79.5٪ من الطاقة الإنتاجية التصميمية</w:t>
            </w:r>
          </w:p>
        </w:tc>
        <w:tc>
          <w:tcPr>
            <w:tcW w:type="dxa" w:w="3290"/>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val="false"/>
                <w:i w:val="false"/>
                <w:color w:val="77817A"/>
                <w:sz w:val="15"/>
                <w:szCs w:val="15"/>
                <w:rtl/>
              </w:rPr>
              <w:t xml:space="preserve">العائد الاجتماعي على الاستثمار</w:t>
            </w:r>
          </w:p>
          <w:p>
            <w:pPr>
              <w:bidi/>
              <w:spacing w:after="60" w:line="270"/>
              <w:jc w:val="start"/>
            </w:pPr>
            <w:r>
              <w:rPr>
                <w:rFonts w:ascii="Arial" w:cs="Arial" w:hAnsi="Arial"/>
                <w:b/>
                <w:bCs/>
                <w:i w:val="false"/>
                <w:color w:val="0E5A49"/>
                <w:sz w:val="26"/>
                <w:szCs w:val="26"/>
                <w:rtl/>
              </w:rPr>
              <w:t xml:space="preserve">1 : 2.18</w:t>
            </w:r>
          </w:p>
          <w:p>
            <w:pPr>
              <w:bidi/>
              <w:spacing w:after="0" w:line="270"/>
              <w:jc w:val="start"/>
            </w:pPr>
            <w:r>
              <w:rPr>
                <w:rFonts w:ascii="Arial" w:cs="Arial" w:hAnsi="Arial"/>
                <w:b w:val="false"/>
                <w:i w:val="false"/>
                <w:color w:val="77817A"/>
                <w:sz w:val="15"/>
                <w:szCs w:val="15"/>
                <w:rtl/>
              </w:rPr>
              <w:t xml:space="preserve">بعد خصم الوزن الميت والإسناد بنسبة 28٪</w:t>
            </w:r>
          </w:p>
        </w:tc>
      </w:tr>
    </w:tbl>
    <w:p>
      <w:pPr>
        <w:bidi/>
        <w:spacing w:after="16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الحُكم المهني على جدوى المشروع</w:t>
      </w:r>
    </w:p>
    <w:p>
      <w:pPr>
        <w:bidi/>
        <w:spacing w:after="140" w:before="0" w:line="300"/>
        <w:jc w:val="both"/>
      </w:pPr>
      <w:r>
        <w:rPr>
          <w:rFonts w:ascii="Arial" w:cs="Arial" w:hAnsi="Arial"/>
          <w:b w:val="false"/>
          <w:i w:val="false"/>
          <w:color w:val="48534C"/>
          <w:sz w:val="20"/>
          <w:szCs w:val="20"/>
          <w:rtl/>
        </w:rPr>
        <w:t xml:space="preserve">خلصت الدراسة إلى أن المشروع </w:t>
      </w:r>
      <w:r>
        <w:rPr>
          <w:rFonts w:ascii="Arial" w:cs="Arial" w:hAnsi="Arial"/>
          <w:b/>
          <w:bCs/>
          <w:i w:val="false"/>
          <w:color w:val="48534C"/>
          <w:sz w:val="20"/>
          <w:szCs w:val="20"/>
          <w:rtl/>
        </w:rPr>
        <w:t xml:space="preserve">قابل للتنفيذ ومستحق للتمويل</w:t>
      </w:r>
      <w:r>
        <w:rPr>
          <w:rFonts w:ascii="Arial" w:cs="Arial" w:hAnsi="Arial"/>
          <w:b w:val="false"/>
          <w:i w:val="false"/>
          <w:color w:val="48534C"/>
          <w:sz w:val="20"/>
          <w:szCs w:val="20"/>
          <w:rtl/>
        </w:rPr>
        <w:t xml:space="preserve">، مع تسجيل تحفّظ صريح يجب أن يكون أمام الجهة المانحة عند اتخاذ القرار:</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c>
          <w:tcPr>
            <w:tcW w:type="dxa" w:w="9866"/>
            <w:tcBorders>
              <w:top w:val="single" w:color="DBE2DB" w:sz="4"/>
              <w:left w:val="single" w:color="DBE2DB" w:sz="4"/>
              <w:bottom w:val="single" w:color="DBE2DB" w:sz="4"/>
              <w:right w:val="single" w:color="0E5A49" w:sz="22"/>
            </w:tcBorders>
            <w:shd w:fill="FBFCFA" w:color="auto" w:val="clear"/>
            <w:tcMar>
              <w:top w:type="dxa" w:w="120"/>
              <w:left w:type="dxa" w:w="160"/>
              <w:bottom w:type="dxa" w:w="120"/>
              <w:right w:type="dxa" w:w="160"/>
            </w:tcMar>
          </w:tcPr>
          <w:p>
            <w:pPr>
              <w:bidi/>
              <w:spacing w:after="80" w:before="40" w:line="280"/>
              <w:jc w:val="start"/>
            </w:pPr>
            <w:r>
              <w:rPr>
                <w:rFonts w:ascii="Arial" w:cs="Arial" w:hAnsi="Arial"/>
                <w:b/>
                <w:bCs/>
                <w:i w:val="false"/>
                <w:color w:val="0E5A49"/>
                <w:sz w:val="19"/>
                <w:szCs w:val="19"/>
                <w:rtl/>
              </w:rPr>
              <w:t xml:space="preserve">الخلاصة الحاسمة</w:t>
            </w:r>
          </w:p>
          <w:p>
            <w:pPr>
              <w:bidi/>
              <w:spacing w:after="80" w:line="290"/>
              <w:jc w:val="both"/>
            </w:pPr>
            <w:r>
              <w:rPr>
                <w:rFonts w:ascii="Arial" w:cs="Arial" w:hAnsi="Arial"/>
                <w:b w:val="false"/>
                <w:i w:val="false"/>
                <w:color w:val="48534C"/>
                <w:sz w:val="18"/>
                <w:szCs w:val="18"/>
                <w:rtl/>
              </w:rPr>
              <w:t xml:space="preserve">المشروع </w:t>
            </w:r>
            <w:r>
              <w:rPr>
                <w:rFonts w:ascii="Arial" w:cs="Arial" w:hAnsi="Arial"/>
                <w:b/>
                <w:bCs/>
                <w:i w:val="false"/>
                <w:color w:val="48534C"/>
                <w:sz w:val="18"/>
                <w:szCs w:val="18"/>
                <w:rtl/>
              </w:rPr>
              <w:t xml:space="preserve">لا يجتاز عتبة العائد التجاري</w:t>
            </w:r>
            <w:r>
              <w:rPr>
                <w:rFonts w:ascii="Arial" w:cs="Arial" w:hAnsi="Arial"/>
                <w:b w:val="false"/>
                <w:i w:val="false"/>
                <w:color w:val="48534C"/>
                <w:sz w:val="18"/>
                <w:szCs w:val="18"/>
                <w:rtl/>
              </w:rPr>
              <w:t xml:space="preserve">: معدل العائد الداخلي على كامل الاستثمار 4.1٪ وصافي القيمة الحالية عند معدل خصم 8٪ سالب بمقدار 1.74 مليون ريال. هذه ليست نتيجة عَرَضية بل هي </w:t>
            </w:r>
            <w:r>
              <w:rPr>
                <w:rFonts w:ascii="Arial" w:cs="Arial" w:hAnsi="Arial"/>
                <w:b w:val="false"/>
                <w:i/>
                <w:iCs/>
                <w:color w:val="48534C"/>
                <w:sz w:val="18"/>
                <w:szCs w:val="18"/>
                <w:rtl/>
              </w:rPr>
              <w:t xml:space="preserve">سبب</w:t>
            </w:r>
            <w:r>
              <w:rPr>
                <w:rFonts w:ascii="Arial" w:cs="Arial" w:hAnsi="Arial"/>
                <w:b w:val="false"/>
                <w:i w:val="false"/>
                <w:color w:val="48534C"/>
                <w:sz w:val="18"/>
                <w:szCs w:val="18"/>
                <w:rtl/>
              </w:rPr>
              <w:t xml:space="preserve"> كون المشروع مشروعًا تنمويًا ممنوحًا لا استثمارًا تجاريًا — إذ لو حقّق عائدًا تجاريًا لَما احتاج منحة أصلًا.</w:t>
            </w:r>
          </w:p>
          <w:p>
            <w:pPr>
              <w:bidi/>
              <w:spacing w:after="80" w:line="290"/>
              <w:jc w:val="both"/>
            </w:pPr>
            <w:r>
              <w:rPr>
                <w:rFonts w:ascii="Arial" w:cs="Arial" w:hAnsi="Arial"/>
                <w:b w:val="false"/>
                <w:i w:val="false"/>
                <w:color w:val="48534C"/>
                <w:sz w:val="18"/>
                <w:szCs w:val="18"/>
                <w:rtl/>
              </w:rPr>
              <w:t xml:space="preserve">المعيار الحاسم للجهة المانحة مختلف، وهو: </w:t>
            </w:r>
            <w:r>
              <w:rPr>
                <w:rFonts w:ascii="Arial" w:cs="Arial" w:hAnsi="Arial"/>
                <w:b/>
                <w:bCs/>
                <w:i w:val="false"/>
                <w:color w:val="48534C"/>
                <w:sz w:val="18"/>
                <w:szCs w:val="18"/>
                <w:rtl/>
              </w:rPr>
              <w:t xml:space="preserve">هل يتحوّل المشروع إلى كيان مكتفٍ ذاتيًا لا يعود يطلب تمويلًا متكررًا؟</w:t>
            </w:r>
            <w:r>
              <w:rPr>
                <w:rFonts w:ascii="Arial" w:cs="Arial" w:hAnsi="Arial"/>
                <w:b w:val="false"/>
                <w:i w:val="false"/>
                <w:color w:val="48534C"/>
                <w:sz w:val="18"/>
                <w:szCs w:val="18"/>
                <w:rtl/>
              </w:rPr>
              <w:t xml:space="preserve"> والإجابة نعم — تتجاوز نسبة الاكتفاء التشغيلي الذاتي 100٪ في السنة الثانية وتستقر عند 111٪ في السنة الخامسة، ويصبح الفائض موجبًا بعد الإهلاك من السنة الرابعة. بعبارة أخرى: </w:t>
            </w:r>
            <w:r>
              <w:rPr>
                <w:rFonts w:ascii="Arial" w:cs="Arial" w:hAnsi="Arial"/>
                <w:b/>
                <w:bCs/>
                <w:i w:val="false"/>
                <w:color w:val="48534C"/>
                <w:sz w:val="18"/>
                <w:szCs w:val="18"/>
                <w:rtl/>
              </w:rPr>
              <w:t xml:space="preserve">منحة واحدة تشتري أصلًا يعمل إلى الأبد</w:t>
            </w:r>
            <w:r>
              <w:rPr>
                <w:rFonts w:ascii="Arial" w:cs="Arial" w:hAnsi="Arial"/>
                <w:b w:val="false"/>
                <w:i w:val="false"/>
                <w:color w:val="48534C"/>
                <w:sz w:val="18"/>
                <w:szCs w:val="18"/>
                <w:rtl/>
              </w:rPr>
              <w:t xml:space="preserve">، لا برنامجًا يستهلك منحة كل سنة.</w:t>
            </w:r>
          </w:p>
        </w:tc>
      </w:tr>
    </w:tbl>
    <w:p>
      <w:pPr>
        <w:bidi/>
        <w:spacing w:after="160" w:before="0" w:line="300"/>
        <w:jc w:val="both"/>
      </w:pPr>
      <w:r>
        <w:rPr>
          <w:rFonts w:ascii="Arial" w:cs="Arial" w:hAnsi="Arial"/>
          <w:b w:val="false"/>
          <w:i w:val="false"/>
          <w:color w:val="48534C"/>
          <w:sz w:val="8"/>
          <w:szCs w:val="8"/>
          <w:rtl/>
        </w:rPr>
        <w:t xml:space="preserve"/>
      </w:r>
    </w:p>
    <w:p>
      <w:pPr>
        <w:bidi/>
        <w:spacing w:after="140" w:before="0" w:line="300"/>
        <w:jc w:val="both"/>
      </w:pPr>
      <w:r>
        <w:rPr>
          <w:rFonts w:ascii="Arial" w:cs="Arial" w:hAnsi="Arial"/>
          <w:b w:val="false"/>
          <w:i w:val="false"/>
          <w:color w:val="48534C"/>
          <w:sz w:val="20"/>
          <w:szCs w:val="20"/>
          <w:rtl/>
        </w:rPr>
        <w:t xml:space="preserve">وبالنظر إلى المشروع من زاوية الجمعية المنفِّذة، فإن مساهمتها البالغة 1.125 مليون ريال تحقق معدل عائد داخلي قدره </w:t>
      </w:r>
      <w:r>
        <w:rPr>
          <w:rFonts w:ascii="Arial" w:cs="Arial" w:hAnsi="Arial"/>
          <w:b/>
          <w:bCs/>
          <w:i w:val="false"/>
          <w:color w:val="48534C"/>
          <w:sz w:val="20"/>
          <w:szCs w:val="20"/>
          <w:rtl/>
        </w:rPr>
        <w:t xml:space="preserve">33.7٪</w:t>
      </w:r>
      <w:r>
        <w:rPr>
          <w:rFonts w:ascii="Arial" w:cs="Arial" w:hAnsi="Arial"/>
          <w:b w:val="false"/>
          <w:i w:val="false"/>
          <w:color w:val="48534C"/>
          <w:sz w:val="20"/>
          <w:szCs w:val="20"/>
          <w:rtl/>
        </w:rPr>
        <w:t xml:space="preserve">، لأن الجزء الأكبر من الأصل مموَّل بمنحة غير مستردة. أما على معدل الخصم الاجتماعي المعتاد في تقييم المشاريع التنموية (4٪) فتتحوّل صافي القيمة الحالية إلى موجبة.</w:t>
      </w:r>
    </w:p>
    <w:p>
      <w:pPr>
        <w:pStyle w:val="Heading2"/>
        <w:keepNext/>
        <w:bidi/>
        <w:spacing w:after="120" w:before="300" w:line="300"/>
        <w:jc w:val="start"/>
        <w:outlineLvl w:val="1"/>
      </w:pPr>
      <w:r>
        <w:rPr>
          <w:rFonts w:ascii="Arial" w:cs="Arial" w:hAnsi="Arial"/>
          <w:b/>
          <w:bCs/>
          <w:i w:val="false"/>
          <w:color w:val="0E5A49"/>
          <w:sz w:val="24"/>
          <w:szCs w:val="24"/>
          <w:rtl/>
        </w:rPr>
        <w:t xml:space="preserve">أبرز نتائج الدراسة بحسب المحور</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88"/>
        <w:gridCol w:w="3288"/>
        <w:gridCol w:w="3290"/>
      </w:tblGrid>
      <w:tr>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bCs/>
                <w:i w:val="false"/>
                <w:color w:val="8A6A12"/>
                <w:sz w:val="15"/>
                <w:szCs w:val="15"/>
                <w:rtl/>
              </w:rPr>
              <w:t xml:space="preserve">السوق</w:t>
            </w:r>
          </w:p>
          <w:p>
            <w:pPr>
              <w:bidi/>
              <w:spacing w:after="60" w:line="270"/>
              <w:jc w:val="start"/>
            </w:pPr>
            <w:r>
              <w:rPr>
                <w:rFonts w:ascii="Arial" w:cs="Arial" w:hAnsi="Arial"/>
                <w:b/>
                <w:bCs/>
                <w:i w:val="false"/>
                <w:color w:val="0E5A49"/>
                <w:sz w:val="18"/>
                <w:szCs w:val="18"/>
                <w:rtl/>
              </w:rPr>
              <w:t xml:space="preserve">فجوة عرض حقيقية لا فجوة طلب</w:t>
            </w:r>
          </w:p>
          <w:p>
            <w:pPr>
              <w:bidi/>
              <w:spacing w:after="0" w:line="270"/>
              <w:jc w:val="both"/>
            </w:pPr>
            <w:r>
              <w:rPr>
                <w:rFonts w:ascii="Arial" w:cs="Arial" w:hAnsi="Arial"/>
                <w:b w:val="false"/>
                <w:i w:val="false"/>
                <w:color w:val="48534C"/>
                <w:sz w:val="16"/>
                <w:szCs w:val="16"/>
                <w:rtl/>
              </w:rPr>
              <w:t xml:space="preserve">الطلب على خدمات التصنيع بالتعاقد والتعبئة المرخّصة في الرياض يقارب 52.9 ألف ساعة تشغيلية سنويًا في السنة الثالثة، مقابل عرض متاح لا يتجاوز 24.9 ألف ساعة — فجوة غير ملبّاة نسبتها 53٪. المشروع يستهدف 2.5٪ فقط من السوق المتاح المخدوم، وهي حصة محافظة قابلة للتحقيق.</w:t>
            </w:r>
          </w:p>
        </w:tc>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bCs/>
                <w:i w:val="false"/>
                <w:color w:val="8A6A12"/>
                <w:sz w:val="15"/>
                <w:szCs w:val="15"/>
                <w:rtl/>
              </w:rPr>
              <w:t xml:space="preserve">التسويق</w:t>
            </w:r>
          </w:p>
          <w:p>
            <w:pPr>
              <w:bidi/>
              <w:spacing w:after="60" w:line="270"/>
              <w:jc w:val="start"/>
            </w:pPr>
            <w:r>
              <w:rPr>
                <w:rFonts w:ascii="Arial" w:cs="Arial" w:hAnsi="Arial"/>
                <w:b/>
                <w:bCs/>
                <w:i w:val="false"/>
                <w:color w:val="0E5A49"/>
                <w:sz w:val="18"/>
                <w:szCs w:val="18"/>
                <w:rtl/>
              </w:rPr>
              <w:t xml:space="preserve">الإيراد المؤسسي هو المرساة</w:t>
            </w:r>
          </w:p>
          <w:p>
            <w:pPr>
              <w:bidi/>
              <w:spacing w:after="0" w:line="270"/>
              <w:jc w:val="both"/>
            </w:pPr>
            <w:r>
              <w:rPr>
                <w:rFonts w:ascii="Arial" w:cs="Arial" w:hAnsi="Arial"/>
                <w:b w:val="false"/>
                <w:i w:val="false"/>
                <w:color w:val="48534C"/>
                <w:sz w:val="16"/>
                <w:szCs w:val="16"/>
                <w:rtl/>
              </w:rPr>
              <w:t xml:space="preserve">44٪ من إيرادات السنة الثالثة تأتي من عقود التموين المؤسسي، وهي عقود سنوية متكررة تمنح المشروع قاعدة تدفق نقدي يمكن التنبؤ بها، بخلاف البيع بالتجزئة المتقلّب. وهذا أيضًا أكبر مخاطر المشروع (التركّز)، ولذلك وُضع سقف 25٪ لأي عميل منفرد.</w:t>
            </w:r>
          </w:p>
        </w:tc>
        <w:tc>
          <w:tcPr>
            <w:tcW w:type="dxa" w:w="3290"/>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bCs/>
                <w:i w:val="false"/>
                <w:color w:val="8A6A12"/>
                <w:sz w:val="15"/>
                <w:szCs w:val="15"/>
                <w:rtl/>
              </w:rPr>
              <w:t xml:space="preserve">الفني</w:t>
            </w:r>
          </w:p>
          <w:p>
            <w:pPr>
              <w:bidi/>
              <w:spacing w:after="60" w:line="270"/>
              <w:jc w:val="start"/>
            </w:pPr>
            <w:r>
              <w:rPr>
                <w:rFonts w:ascii="Arial" w:cs="Arial" w:hAnsi="Arial"/>
                <w:b/>
                <w:bCs/>
                <w:i w:val="false"/>
                <w:color w:val="0E5A49"/>
                <w:sz w:val="18"/>
                <w:szCs w:val="18"/>
                <w:rtl/>
              </w:rPr>
              <w:t xml:space="preserve">تصميم يفصل المسارات النظيفة عن الملوّثة</w:t>
            </w:r>
          </w:p>
          <w:p>
            <w:pPr>
              <w:bidi/>
              <w:spacing w:after="0" w:line="270"/>
              <w:jc w:val="both"/>
            </w:pPr>
            <w:r>
              <w:rPr>
                <w:rFonts w:ascii="Arial" w:cs="Arial" w:hAnsi="Arial"/>
                <w:b w:val="false"/>
                <w:i w:val="false"/>
                <w:color w:val="48534C"/>
                <w:sz w:val="16"/>
                <w:szCs w:val="16"/>
                <w:rtl/>
              </w:rPr>
              <w:t xml:space="preserve">المخطط مبني على مبدأ التدفق أحادي الاتجاه ومنع التقاطع بين المواد الخام والمنتج النهائي، بما يستوفي اشتراطات نظام تحليل المخاطر ونقاط التحكم الحرجة، ويؤهّل المنشأة لشهادة ISO 22000 خلال 18 شهرًا من التشغيل.</w:t>
            </w:r>
          </w:p>
        </w:tc>
      </w:tr>
      <w:tr>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bCs/>
                <w:i w:val="false"/>
                <w:color w:val="8A6A12"/>
                <w:sz w:val="15"/>
                <w:szCs w:val="15"/>
                <w:rtl/>
              </w:rPr>
              <w:t xml:space="preserve">المالي</w:t>
            </w:r>
          </w:p>
          <w:p>
            <w:pPr>
              <w:bidi/>
              <w:spacing w:after="60" w:line="270"/>
              <w:jc w:val="start"/>
            </w:pPr>
            <w:r>
              <w:rPr>
                <w:rFonts w:ascii="Arial" w:cs="Arial" w:hAnsi="Arial"/>
                <w:b/>
                <w:bCs/>
                <w:i w:val="false"/>
                <w:color w:val="0E5A49"/>
                <w:sz w:val="18"/>
                <w:szCs w:val="18"/>
                <w:rtl/>
              </w:rPr>
              <w:t xml:space="preserve">الحساسية مركّزة في بندَين</w:t>
            </w:r>
          </w:p>
          <w:p>
            <w:pPr>
              <w:bidi/>
              <w:spacing w:after="0" w:line="270"/>
              <w:jc w:val="both"/>
            </w:pPr>
            <w:r>
              <w:rPr>
                <w:rFonts w:ascii="Arial" w:cs="Arial" w:hAnsi="Arial"/>
                <w:b w:val="false"/>
                <w:i w:val="false"/>
                <w:color w:val="48534C"/>
                <w:sz w:val="16"/>
                <w:szCs w:val="16"/>
                <w:rtl/>
              </w:rPr>
              <w:t xml:space="preserve">تكلفة المواد الخام وسعر البيع يفسّران معًا نحو ثلثَي تباين صافي القيمة الحالية. أي انحراف 15٪ في أيٍّ منهما يزيح النتيجة بنحو 6 ملايين ريال — وهو ما يجعل الشراء المركزي والتعاقد السنوي على الأسعار أولوية إدارية لا تفصيلًا تشغيليًا.</w:t>
            </w:r>
          </w:p>
        </w:tc>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bCs/>
                <w:i w:val="false"/>
                <w:color w:val="8A6A12"/>
                <w:sz w:val="15"/>
                <w:szCs w:val="15"/>
                <w:rtl/>
              </w:rPr>
              <w:t xml:space="preserve">المخاطر</w:t>
            </w:r>
          </w:p>
          <w:p>
            <w:pPr>
              <w:bidi/>
              <w:spacing w:after="60" w:line="270"/>
              <w:jc w:val="start"/>
            </w:pPr>
            <w:r>
              <w:rPr>
                <w:rFonts w:ascii="Arial" w:cs="Arial" w:hAnsi="Arial"/>
                <w:b/>
                <w:bCs/>
                <w:i w:val="false"/>
                <w:color w:val="0E5A49"/>
                <w:sz w:val="18"/>
                <w:szCs w:val="18"/>
                <w:rtl/>
              </w:rPr>
              <w:t xml:space="preserve">خطران بدرجة حرجة</w:t>
            </w:r>
          </w:p>
          <w:p>
            <w:pPr>
              <w:bidi/>
              <w:spacing w:after="0" w:line="270"/>
              <w:jc w:val="both"/>
            </w:pPr>
            <w:r>
              <w:rPr>
                <w:rFonts w:ascii="Arial" w:cs="Arial" w:hAnsi="Arial"/>
                <w:b w:val="false"/>
                <w:i w:val="false"/>
                <w:color w:val="48534C"/>
                <w:sz w:val="16"/>
                <w:szCs w:val="16"/>
                <w:rtl/>
              </w:rPr>
              <w:t xml:space="preserve">بطء اكتساب العقود المؤسسية (درجة 20) وحادثة سلامة غذائية محتملة (درجة 10 بأثر أقصى). الأول يُعالَج بخطابات نوايا مسبقة قبل التشغيل، والثاني بنظام تتبّع كامل وتأمين مسؤولية منتج وبروتوكول استدعاء مُختبَر.</w:t>
            </w:r>
          </w:p>
        </w:tc>
        <w:tc>
          <w:tcPr>
            <w:tcW w:type="dxa" w:w="3290"/>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bCs/>
                <w:i w:val="false"/>
                <w:color w:val="8A6A12"/>
                <w:sz w:val="15"/>
                <w:szCs w:val="15"/>
                <w:rtl/>
              </w:rPr>
              <w:t xml:space="preserve">الأثر</w:t>
            </w:r>
          </w:p>
          <w:p>
            <w:pPr>
              <w:bidi/>
              <w:spacing w:after="60" w:line="270"/>
              <w:jc w:val="start"/>
            </w:pPr>
            <w:r>
              <w:rPr>
                <w:rFonts w:ascii="Arial" w:cs="Arial" w:hAnsi="Arial"/>
                <w:b/>
                <w:bCs/>
                <w:i w:val="false"/>
                <w:color w:val="0E5A49"/>
                <w:sz w:val="18"/>
                <w:szCs w:val="18"/>
                <w:rtl/>
              </w:rPr>
              <w:t xml:space="preserve">الدخل يتضاعف 3.2 مرة</w:t>
            </w:r>
          </w:p>
          <w:p>
            <w:pPr>
              <w:bidi/>
              <w:spacing w:after="0" w:line="270"/>
              <w:jc w:val="both"/>
            </w:pPr>
            <w:r>
              <w:rPr>
                <w:rFonts w:ascii="Arial" w:cs="Arial" w:hAnsi="Arial"/>
                <w:b w:val="false"/>
                <w:i w:val="false"/>
                <w:color w:val="48534C"/>
                <w:sz w:val="16"/>
                <w:szCs w:val="16"/>
                <w:rtl/>
              </w:rPr>
              <w:t xml:space="preserve">يرتفع متوسط دخل الأسرة المنتجة المتعاقدة من 1,180 ريالًا شهريًا عند خط الأساس إلى 3,820 ريالًا في السنة الخامسة، وهو ما يمثّل 79٪ من القيمة الاجتماعية المولّدة للمشروع.</w:t>
            </w:r>
          </w:p>
        </w:tc>
      </w:tr>
    </w:tbl>
    <w:p>
      <w:pPr>
        <w:bidi/>
        <w:spacing w:after="16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القرار المطلوب</w:t>
      </w:r>
    </w:p>
    <w:p>
      <w:pPr>
        <w:bidi/>
        <w:spacing w:after="140" w:before="0" w:line="300"/>
        <w:jc w:val="both"/>
      </w:pPr>
      <w:r>
        <w:rPr>
          <w:rFonts w:ascii="Arial" w:cs="Arial" w:hAnsi="Arial"/>
          <w:b w:val="false"/>
          <w:i w:val="false"/>
          <w:color w:val="48534C"/>
          <w:sz w:val="20"/>
          <w:szCs w:val="20"/>
          <w:rtl/>
        </w:rPr>
        <w:t xml:space="preserve">تطلب الجمعية اعتماد منحة تأسيسية قدرها </w:t>
      </w:r>
      <w:r>
        <w:rPr>
          <w:rFonts w:ascii="Arial" w:cs="Arial" w:hAnsi="Arial"/>
          <w:b/>
          <w:bCs/>
          <w:i w:val="false"/>
          <w:color w:val="48534C"/>
          <w:sz w:val="20"/>
          <w:szCs w:val="20"/>
          <w:rtl/>
        </w:rPr>
        <w:t xml:space="preserve">4,500,000 ريال</w:t>
      </w:r>
      <w:r>
        <w:rPr>
          <w:rFonts w:ascii="Arial" w:cs="Arial" w:hAnsi="Arial"/>
          <w:b w:val="false"/>
          <w:i w:val="false"/>
          <w:color w:val="48534C"/>
          <w:sz w:val="20"/>
          <w:szCs w:val="20"/>
          <w:rtl/>
        </w:rPr>
        <w:t xml:space="preserve"> (60٪ من إجمالي التمويل)، تُصرف على ثلاث دفعات مرتبطة بمعالم إنجاز يمكن التحقّق منها (اكتمال التراخيص، تركيب المعدات واجتياز اختبارات التشغيل، ثم الإطلاق الرسمي)، على أن تكمل الجمعية والقطاع الخاص وصندوق التمويل الميسّر النسبة المتبقية وفق ما هو مفصّل في الفصل الثالث عشر.</w:t>
      </w:r>
    </w:p>
    <w:p>
      <w:pPr>
        <w:pStyle w:val="Heading1"/>
        <w:keepNext/>
        <w:pageBreakBefore/>
        <w:bidi/>
        <w:spacing w:after="60" w:before="0" w:line="300"/>
        <w:jc w:val="start"/>
        <w:outlineLvl w:val="0"/>
      </w:pPr>
      <w:r>
        <w:rPr>
          <w:rFonts w:ascii="Arial" w:cs="Arial" w:hAnsi="Arial"/>
          <w:b/>
          <w:bCs/>
          <w:i w:val="false"/>
          <w:color w:val="8A6A12"/>
          <w:sz w:val="30"/>
          <w:szCs w:val="30"/>
          <w:rtl/>
        </w:rPr>
        <w:t xml:space="preserve">02   </w:t>
      </w:r>
      <w:r>
        <w:rPr>
          <w:rFonts w:ascii="Arial" w:cs="Arial" w:hAnsi="Arial"/>
          <w:b/>
          <w:bCs/>
          <w:i w:val="false"/>
          <w:color w:val="0E5A49"/>
          <w:sz w:val="30"/>
          <w:szCs w:val="30"/>
          <w:rtl/>
        </w:rPr>
        <w:t xml:space="preserve">منهجية الدراسة ومصادر البيانات</w:t>
      </w:r>
    </w:p>
    <w:p>
      <w:pPr>
        <w:pBdr>
          <w:bottom w:val="single" w:color="DBE2DB" w:sz="6"/>
        </w:pBdr>
        <w:bidi/>
        <w:spacing w:after="260"/>
        <w:jc w:val="start"/>
      </w:pPr>
      <w:r>
        <w:rPr>
          <w:rFonts w:ascii="Arial" w:cs="Arial" w:hAnsi="Arial"/>
          <w:b w:val="false"/>
          <w:i w:val="false"/>
          <w:color w:val="77817A"/>
          <w:sz w:val="17"/>
          <w:szCs w:val="17"/>
          <w:rtl/>
        </w:rPr>
        <w:t xml:space="preserve">كيف بُنيت الأرقام، وما الذي يجب التحقّق منه قبل الاعتماد النهائي</w:t>
      </w:r>
    </w:p>
    <w:p>
      <w:pPr>
        <w:pStyle w:val="Heading2"/>
        <w:keepNext/>
        <w:bidi/>
        <w:spacing w:after="120" w:before="300" w:line="300"/>
        <w:jc w:val="start"/>
        <w:outlineLvl w:val="1"/>
      </w:pPr>
      <w:r>
        <w:rPr>
          <w:rFonts w:ascii="Arial" w:cs="Arial" w:hAnsi="Arial"/>
          <w:b/>
          <w:bCs/>
          <w:i w:val="false"/>
          <w:color w:val="0E5A49"/>
          <w:sz w:val="24"/>
          <w:szCs w:val="24"/>
          <w:rtl/>
        </w:rPr>
        <w:t xml:space="preserve">منهجية العمل</w:t>
      </w:r>
    </w:p>
    <w:p>
      <w:pPr>
        <w:bidi/>
        <w:spacing w:after="140" w:before="0" w:line="300"/>
        <w:jc w:val="both"/>
      </w:pPr>
      <w:r>
        <w:rPr>
          <w:rFonts w:ascii="Arial" w:cs="Arial" w:hAnsi="Arial"/>
          <w:b w:val="false"/>
          <w:i w:val="false"/>
          <w:color w:val="48534C"/>
          <w:sz w:val="20"/>
          <w:szCs w:val="20"/>
          <w:rtl/>
        </w:rPr>
        <w:t xml:space="preserve">أُعدّت الدراسة وفق منهجية تقييم الجدوى المتكاملة المعتمدة في تقييم المشاريع التنموية، وتتألف من خمس طبقات متتابعة، كل طبقة تُغذّي التي تليها ولا تُبنى إحداها بمعزل عن الأخرى:</w:t>
      </w:r>
    </w:p>
    <w:p>
      <w:pPr>
        <w:keepNext/>
        <w:bidi/>
        <w:spacing w:after="100" w:before="200" w:line="300"/>
        <w:jc w:val="start"/>
      </w:pPr>
      <w:r>
        <w:rPr>
          <w:rFonts w:ascii="Arial" w:cs="Arial" w:hAnsi="Arial"/>
          <w:b/>
          <w:bCs/>
          <w:i w:val="false"/>
          <w:color w:val="8A6A12"/>
          <w:sz w:val="16"/>
          <w:szCs w:val="16"/>
          <w:rtl/>
        </w:rPr>
        <w:t xml:space="preserve">شكل 1  </w:t>
      </w:r>
      <w:r>
        <w:rPr>
          <w:rFonts w:ascii="Arial" w:cs="Arial" w:hAnsi="Arial"/>
          <w:b/>
          <w:bCs/>
          <w:i w:val="false"/>
          <w:color w:val="111A15"/>
          <w:sz w:val="18"/>
          <w:szCs w:val="18"/>
          <w:rtl/>
        </w:rPr>
        <w:t xml:space="preserve">تسلسل طبقات الدراسة ومنطق الترابط بينها</w:t>
      </w:r>
    </w:p>
    <w:p>
      <w:pPr>
        <w:keepNext/>
        <w:bidi/>
        <w:spacing w:after="80"/>
        <w:jc w:val="center"/>
      </w:pPr>
      <w:r>
        <w:drawing>
          <wp:inline distT="0" distB="0" distL="0" distR="0">
            <wp:extent cx="6238875"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2124075"/>
                    </a:xfrm>
                    <a:prstGeom prst="rect">
                      <a:avLst/>
                    </a:prstGeom>
                  </pic:spPr>
                </pic:pic>
              </a:graphicData>
            </a:graphic>
          </wp:inline>
        </w:drawing>
      </w:r>
    </w:p>
    <w:p>
      <w:pPr>
        <w:bidi/>
        <w:spacing w:after="200" w:before="0" w:line="300"/>
        <w:jc w:val="both"/>
      </w:pPr>
      <w:r>
        <w:rPr>
          <w:rFonts w:ascii="Arial" w:cs="Arial" w:hAnsi="Arial"/>
          <w:b w:val="false"/>
          <w:i w:val="false"/>
          <w:color w:val="77817A"/>
          <w:sz w:val="16"/>
          <w:szCs w:val="16"/>
          <w:rtl/>
        </w:rPr>
        <w:t xml:space="preserve">لا يُعتمد أي رقم في الدراسة المالية إلا وله أصل في الطبقة السابقة له؛ فحجم المعدات مشتقّ من الطاقة، والطاقة مشتقّة من حجم الطلب، والطلب مشتقّ من حجم الفئة المستهدفة.</w:t>
      </w:r>
    </w:p>
    <w:p>
      <w:pPr>
        <w:pStyle w:val="Heading2"/>
        <w:keepNext/>
        <w:bidi/>
        <w:spacing w:after="120" w:before="300" w:line="300"/>
        <w:jc w:val="start"/>
        <w:outlineLvl w:val="1"/>
      </w:pPr>
      <w:r>
        <w:rPr>
          <w:rFonts w:ascii="Arial" w:cs="Arial" w:hAnsi="Arial"/>
          <w:b/>
          <w:bCs/>
          <w:i w:val="false"/>
          <w:color w:val="0E5A49"/>
          <w:sz w:val="24"/>
          <w:szCs w:val="24"/>
          <w:rtl/>
        </w:rPr>
        <w:t xml:space="preserve">أدوات التحليل المستخدمة</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تحليل البيئة الكلية (PESTEL)</w:t>
      </w:r>
      <w:r>
        <w:rPr>
          <w:rFonts w:ascii="Arial" w:cs="Arial" w:hAnsi="Arial"/>
          <w:b w:val="false"/>
          <w:i w:val="false"/>
          <w:color w:val="48534C"/>
          <w:sz w:val="20"/>
          <w:szCs w:val="20"/>
          <w:rtl/>
        </w:rPr>
        <w:t xml:space="preserve"> لرصد العوامل السياسية والاقتصادية والتنظيمية المؤثرة.</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نموذج القوى التنافسية الخمس</w:t>
      </w:r>
      <w:r>
        <w:rPr>
          <w:rFonts w:ascii="Arial" w:cs="Arial" w:hAnsi="Arial"/>
          <w:b w:val="false"/>
          <w:i w:val="false"/>
          <w:color w:val="48534C"/>
          <w:sz w:val="20"/>
          <w:szCs w:val="20"/>
          <w:rtl/>
        </w:rPr>
        <w:t xml:space="preserve"> لتقييم جاذبية القطاع وقوة المساومة.</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تحليل الفجوة بين العرض والطلب</w:t>
      </w:r>
      <w:r>
        <w:rPr>
          <w:rFonts w:ascii="Arial" w:cs="Arial" w:hAnsi="Arial"/>
          <w:b w:val="false"/>
          <w:i w:val="false"/>
          <w:color w:val="48534C"/>
          <w:sz w:val="20"/>
          <w:szCs w:val="20"/>
          <w:rtl/>
        </w:rPr>
        <w:t xml:space="preserve"> بمنهج الطاقة التشغيلية المكافئة.</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نظرية التغيير والإطار المنطقي</w:t>
      </w:r>
      <w:r>
        <w:rPr>
          <w:rFonts w:ascii="Arial" w:cs="Arial" w:hAnsi="Arial"/>
          <w:b w:val="false"/>
          <w:i w:val="false"/>
          <w:color w:val="48534C"/>
          <w:sz w:val="20"/>
          <w:szCs w:val="20"/>
          <w:rtl/>
        </w:rPr>
        <w:t xml:space="preserve"> لربط المدخلات بالمخرجات ثم النتائج ثم الأثر.</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النمذجة المالية متعددة السيناريوهات</w:t>
      </w:r>
      <w:r>
        <w:rPr>
          <w:rFonts w:ascii="Arial" w:cs="Arial" w:hAnsi="Arial"/>
          <w:b w:val="false"/>
          <w:i w:val="false"/>
          <w:color w:val="48534C"/>
          <w:sz w:val="20"/>
          <w:szCs w:val="20"/>
          <w:rtl/>
        </w:rPr>
        <w:t xml:space="preserve"> مع تحليل حساسية أحادي المتغير وتحليل نقطة التعادل.</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منهجية العائد الاجتماعي على الاستثمار (SROI)</w:t>
      </w:r>
      <w:r>
        <w:rPr>
          <w:rFonts w:ascii="Arial" w:cs="Arial" w:hAnsi="Arial"/>
          <w:b w:val="false"/>
          <w:i w:val="false"/>
          <w:color w:val="48534C"/>
          <w:sz w:val="20"/>
          <w:szCs w:val="20"/>
          <w:rtl/>
        </w:rPr>
        <w:t xml:space="preserve"> مع خصم الوزن الميت والإسناد والتناقص.</w:t>
      </w:r>
    </w:p>
    <w:p>
      <w:pPr>
        <w:bidi/>
        <w:spacing w:after="60" w:before="0" w:line="300"/>
        <w:jc w:val="both"/>
      </w:pPr>
      <w:r>
        <w:rPr>
          <w:rFonts w:ascii="Arial" w:cs="Arial" w:hAnsi="Arial"/>
          <w:b w:val="false"/>
          <w:i w:val="false"/>
          <w:color w:val="48534C"/>
          <w:sz w:val="6"/>
          <w:szCs w:val="6"/>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الافتراضات الحاكمة</w:t>
      </w:r>
    </w:p>
    <w:p>
      <w:pPr>
        <w:keepNext/>
        <w:bidi/>
        <w:spacing w:after="60" w:before="160" w:line="300"/>
        <w:jc w:val="start"/>
      </w:pPr>
      <w:r>
        <w:rPr>
          <w:rFonts w:ascii="Arial" w:cs="Arial" w:hAnsi="Arial"/>
          <w:b/>
          <w:bCs/>
          <w:i w:val="false"/>
          <w:color w:val="8A6A12"/>
          <w:sz w:val="16"/>
          <w:szCs w:val="16"/>
          <w:rtl/>
        </w:rPr>
        <w:t xml:space="preserve">جدول 1 — الافتراضات الأساسية التي يقوم عليها النموذج بأكمله</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98"/>
        <w:gridCol w:w="2080"/>
        <w:gridCol w:w="4488"/>
      </w:tblGrid>
      <w:tr>
        <w:trPr>
          <w:tblHeader/>
        </w:trPr>
        <w:tc>
          <w:tcPr>
            <w:tcW w:type="dxa" w:w="3298"/>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الافتراض</w:t>
            </w:r>
          </w:p>
        </w:tc>
        <w:tc>
          <w:tcPr>
            <w:tcW w:type="dxa" w:w="2080"/>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القيمة</w:t>
            </w:r>
          </w:p>
        </w:tc>
        <w:tc>
          <w:tcPr>
            <w:tcW w:type="dxa" w:w="4488"/>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الأساس والتبرير</w:t>
            </w:r>
          </w:p>
        </w:tc>
      </w:tr>
      <w:tr>
        <w:tc>
          <w:tcPr>
            <w:tcW w:type="dxa" w:w="329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أيام التشغيل السنوية</w:t>
            </w:r>
          </w:p>
        </w:tc>
        <w:tc>
          <w:tcPr>
            <w:tcW w:type="dxa" w:w="20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300 يوم</w:t>
            </w:r>
          </w:p>
        </w:tc>
        <w:tc>
          <w:tcPr>
            <w:tcW w:type="dxa" w:w="44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ستة أيام أسبوعيًا مع خصم الإجازات الرسمية وفترة الصيانة السنوية</w:t>
            </w:r>
          </w:p>
        </w:tc>
      </w:tr>
      <w:tr>
        <w:tc>
          <w:tcPr>
            <w:tcW w:type="dxa" w:w="329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عدد الورديات</w:t>
            </w:r>
          </w:p>
        </w:tc>
        <w:tc>
          <w:tcPr>
            <w:tcW w:type="dxa" w:w="20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1.5 وردية</w:t>
            </w:r>
          </w:p>
        </w:tc>
        <w:tc>
          <w:tcPr>
            <w:tcW w:type="dxa" w:w="44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وردية إنتاج كاملة ووردية جزئية للتحضير والتعبئة</w:t>
            </w:r>
          </w:p>
        </w:tc>
      </w:tr>
      <w:tr>
        <w:tc>
          <w:tcPr>
            <w:tcW w:type="dxa" w:w="329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معدل تضخّم الأسعار البيعية</w:t>
            </w:r>
          </w:p>
        </w:tc>
        <w:tc>
          <w:tcPr>
            <w:tcW w:type="dxa" w:w="20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 سنويًا</w:t>
            </w:r>
          </w:p>
        </w:tc>
        <w:tc>
          <w:tcPr>
            <w:tcW w:type="dxa" w:w="44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يُطبَّق من السنة الثانية على جميع خطوط الإيراد</w:t>
            </w:r>
          </w:p>
        </w:tc>
      </w:tr>
      <w:tr>
        <w:tc>
          <w:tcPr>
            <w:tcW w:type="dxa" w:w="329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معدل الزيادة السنوية للرواتب</w:t>
            </w:r>
          </w:p>
        </w:tc>
        <w:tc>
          <w:tcPr>
            <w:tcW w:type="dxa" w:w="20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 سنويًا</w:t>
            </w:r>
          </w:p>
        </w:tc>
        <w:tc>
          <w:tcPr>
            <w:tcW w:type="dxa" w:w="44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علاوة سنوية تعاقدية إضافة إلى نمو الملاك الوظيفي</w:t>
            </w:r>
          </w:p>
        </w:tc>
      </w:tr>
      <w:tr>
        <w:tc>
          <w:tcPr>
            <w:tcW w:type="dxa" w:w="329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مزايا العاملين</w:t>
            </w:r>
          </w:p>
        </w:tc>
        <w:tc>
          <w:tcPr>
            <w:tcW w:type="dxa" w:w="20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18.5٪</w:t>
            </w:r>
          </w:p>
        </w:tc>
        <w:tc>
          <w:tcPr>
            <w:tcW w:type="dxa" w:w="44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التأمينات الاجتماعية ومكافأة نهاية الخدمة والتأمين الطبي</w:t>
            </w:r>
          </w:p>
        </w:tc>
      </w:tr>
      <w:tr>
        <w:tc>
          <w:tcPr>
            <w:tcW w:type="dxa" w:w="329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معدل الخصم في التقييم</w:t>
            </w:r>
          </w:p>
        </w:tc>
        <w:tc>
          <w:tcPr>
            <w:tcW w:type="dxa" w:w="20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 (أساسي)</w:t>
            </w:r>
          </w:p>
        </w:tc>
        <w:tc>
          <w:tcPr>
            <w:tcW w:type="dxa" w:w="44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يُعرض التحليل كذلك عند 4٪ و6٪ و10٪ لاختبار حساسية القرار</w:t>
            </w:r>
          </w:p>
        </w:tc>
      </w:tr>
      <w:tr>
        <w:tc>
          <w:tcPr>
            <w:tcW w:type="dxa" w:w="329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رأس المال العامل</w:t>
            </w:r>
          </w:p>
        </w:tc>
        <w:tc>
          <w:tcPr>
            <w:tcW w:type="dxa" w:w="20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5.5٪ من الإيراد</w:t>
            </w:r>
          </w:p>
        </w:tc>
        <w:tc>
          <w:tcPr>
            <w:tcW w:type="dxa" w:w="44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يغطي دورة مخزون 30 يومًا وذمم مدينة 45 يومًا للعملاء المؤسسيين</w:t>
            </w:r>
          </w:p>
        </w:tc>
      </w:tr>
      <w:tr>
        <w:tc>
          <w:tcPr>
            <w:tcW w:type="dxa" w:w="329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سقف الطاقة التشغيلية</w:t>
            </w:r>
          </w:p>
        </w:tc>
        <w:tc>
          <w:tcPr>
            <w:tcW w:type="dxa" w:w="20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88٪</w:t>
            </w:r>
          </w:p>
        </w:tc>
        <w:tc>
          <w:tcPr>
            <w:tcW w:type="dxa" w:w="44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لا يُفترض تشغيل بكامل الطاقة النظرية في أي سنة</w:t>
            </w:r>
          </w:p>
        </w:tc>
      </w:tr>
      <w:tr>
        <w:tc>
          <w:tcPr>
            <w:tcW w:type="dxa" w:w="329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المعاملة الضريبية والزكوية</w:t>
            </w:r>
          </w:p>
        </w:tc>
        <w:tc>
          <w:tcPr>
            <w:tcW w:type="dxa" w:w="20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معفاة</w:t>
            </w:r>
          </w:p>
        </w:tc>
        <w:tc>
          <w:tcPr>
            <w:tcW w:type="dxa" w:w="44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الجمعية كيان غير ربحي؛ الإيرادات معروضة صافية من ضريبة القيمة المضافة</w:t>
            </w:r>
          </w:p>
        </w:tc>
      </w:tr>
    </w:tbl>
    <w:p>
      <w:pPr>
        <w:bidi/>
        <w:spacing w:after="140" w:before="0" w:line="300"/>
        <w:jc w:val="both"/>
      </w:pPr>
      <w:r>
        <w:rPr>
          <w:rFonts w:ascii="Arial" w:cs="Arial" w:hAnsi="Arial"/>
          <w:b w:val="false"/>
          <w:i w:val="false"/>
          <w:color w:val="48534C"/>
          <w:sz w:val="8"/>
          <w:szCs w:val="8"/>
          <w:rtl/>
        </w:rPr>
        <w:t xml:space="preserve"/>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c>
          <w:tcPr>
            <w:tcW w:type="dxa" w:w="9866"/>
            <w:tcBorders>
              <w:top w:val="single" w:color="DBE2DB" w:sz="4"/>
              <w:left w:val="single" w:color="DBE2DB" w:sz="4"/>
              <w:bottom w:val="single" w:color="DBE2DB" w:sz="4"/>
              <w:right w:val="single" w:color="77817A" w:sz="22"/>
            </w:tcBorders>
            <w:shd w:fill="EAEEE9" w:color="auto" w:val="clear"/>
            <w:tcMar>
              <w:top w:type="dxa" w:w="120"/>
              <w:left w:type="dxa" w:w="160"/>
              <w:bottom w:type="dxa" w:w="120"/>
              <w:right w:type="dxa" w:w="160"/>
            </w:tcMar>
          </w:tcPr>
          <w:p>
            <w:pPr>
              <w:bidi/>
              <w:spacing w:after="80" w:line="290"/>
              <w:jc w:val="both"/>
            </w:pPr>
            <w:r>
              <w:rPr>
                <w:rFonts w:ascii="Arial" w:cs="Arial" w:hAnsi="Arial"/>
                <w:b/>
                <w:bCs/>
                <w:i w:val="false"/>
                <w:color w:val="48534C"/>
                <w:sz w:val="18"/>
                <w:szCs w:val="18"/>
                <w:rtl/>
              </w:rPr>
              <w:t xml:space="preserve">حدود الدراسة وبيان المصادر —</w:t>
            </w:r>
            <w:r>
              <w:rPr>
                <w:rFonts w:ascii="Arial" w:cs="Arial" w:hAnsi="Arial"/>
                <w:b w:val="false"/>
                <w:i w:val="false"/>
                <w:color w:val="48534C"/>
                <w:sz w:val="18"/>
                <w:szCs w:val="18"/>
                <w:rtl/>
              </w:rPr>
              <w:t xml:space="preserve"> الأرقام الاقتصادية الكلية الواردة في الفصل الثامن (حجم السوق الكلي والسوق المتاح المخدوم وتقديرات الطلب والعرض) هي </w:t>
            </w:r>
            <w:r>
              <w:rPr>
                <w:rFonts w:ascii="Arial" w:cs="Arial" w:hAnsi="Arial"/>
                <w:b/>
                <w:bCs/>
                <w:i w:val="false"/>
                <w:color w:val="48534C"/>
                <w:sz w:val="18"/>
                <w:szCs w:val="18"/>
                <w:rtl/>
              </w:rPr>
              <w:t xml:space="preserve">تقديرات استرشادية أعدّها فريق الدراسة</w:t>
            </w:r>
            <w:r>
              <w:rPr>
                <w:rFonts w:ascii="Arial" w:cs="Arial" w:hAnsi="Arial"/>
                <w:b w:val="false"/>
                <w:i w:val="false"/>
                <w:color w:val="48534C"/>
                <w:sz w:val="18"/>
                <w:szCs w:val="18"/>
                <w:rtl/>
              </w:rPr>
              <w:t xml:space="preserve"> بمنهج الاشتقاق من الطاقة التشغيلية المكافئة وقياس النظائر، ولا تُنسب إلى جهة إحصائية بعينها. وهي كافية لاتخاذ قرار المفاضلة والتحجيم، لكنها </w:t>
            </w:r>
            <w:r>
              <w:rPr>
                <w:rFonts w:ascii="Arial" w:cs="Arial" w:hAnsi="Arial"/>
                <w:b/>
                <w:bCs/>
                <w:i w:val="false"/>
                <w:color w:val="48534C"/>
                <w:sz w:val="18"/>
                <w:szCs w:val="18"/>
                <w:rtl/>
              </w:rPr>
              <w:t xml:space="preserve">ليست بديلًا عن التحقّق الميداني</w:t>
            </w:r>
            <w:r>
              <w:rPr>
                <w:rFonts w:ascii="Arial" w:cs="Arial" w:hAnsi="Arial"/>
                <w:b w:val="false"/>
                <w:i w:val="false"/>
                <w:color w:val="48534C"/>
                <w:sz w:val="18"/>
                <w:szCs w:val="18"/>
                <w:rtl/>
              </w:rPr>
              <w:t xml:space="preserve">.</w:t>
            </w:r>
          </w:p>
          <w:p>
            <w:pPr>
              <w:bidi/>
              <w:spacing w:after="80" w:line="290"/>
              <w:jc w:val="both"/>
            </w:pPr>
            <w:r>
              <w:rPr>
                <w:rFonts w:ascii="Arial" w:cs="Arial" w:hAnsi="Arial"/>
                <w:b w:val="false"/>
                <w:i w:val="false"/>
                <w:color w:val="48534C"/>
                <w:sz w:val="18"/>
                <w:szCs w:val="18"/>
                <w:rtl/>
              </w:rPr>
              <w:t xml:space="preserve">قبل الاعتماد النهائي للمنحة، يوصي فريق الدراسة بتنفيذ ثلاث خطوات تحقّق: (1) مطابقة المؤشرات السكانية والاقتصادية مع أحدث إصدارات الهيئة العامة للإحصاء ووزارة الموارد البشرية والتنمية الاجتماعية والمركز الوطني لتنمية القطاع غير الربحي؛ (2) مسح ميداني لعيّنة لا تقل عن 200 أسرة منتجة في نطاق التنفيذ لتثبيت خط الأساس لمؤشرات الدخل؛ (3) الحصول على ثلاثة عروض أسعار موثّقة لكل بند رأسمالي يتجاوز 100,000 ريال قبل تثبيت الموازنة. وقد بُني النموذج المالي بحيث تُحدَّث هذه المدخلات دون إعادة بناء الهيكل.</w:t>
            </w:r>
          </w:p>
          <w:p>
            <w:pPr>
              <w:bidi/>
              <w:spacing w:after="80" w:line="290"/>
              <w:jc w:val="both"/>
            </w:pPr>
            <w:r>
              <w:rPr>
                <w:rFonts w:ascii="Arial" w:cs="Arial" w:hAnsi="Arial"/>
                <w:b w:val="false"/>
                <w:i w:val="false"/>
                <w:color w:val="48534C"/>
                <w:sz w:val="18"/>
                <w:szCs w:val="18"/>
                <w:rtl/>
              </w:rPr>
              <w:t xml:space="preserve">كما تخضع جميع الاشتراطات الفنية والصحية الواردة في الفصل الحادي عشر لأحدث لوائح الهيئة العامة للغذاء والدواء وأمانة منطقة الرياض السارية وقت التنفيذ، ويجب مراجعتها مع الجهة المختصة قبل اعتماد المخططات التنفيذية.</w:t>
            </w:r>
          </w:p>
        </w:tc>
      </w:tr>
    </w:tbl>
    <w:p>
      <w:pPr>
        <w:bidi/>
        <w:spacing w:after="160" w:before="0" w:line="300"/>
        <w:jc w:val="both"/>
      </w:pPr>
      <w:r>
        <w:rPr>
          <w:rFonts w:ascii="Arial" w:cs="Arial" w:hAnsi="Arial"/>
          <w:b w:val="false"/>
          <w:i w:val="false"/>
          <w:color w:val="48534C"/>
          <w:sz w:val="8"/>
          <w:szCs w:val="8"/>
          <w:rtl/>
        </w:rPr>
        <w:t xml:space="preserve"/>
      </w:r>
    </w:p>
    <w:p>
      <w:pPr>
        <w:pStyle w:val="Heading1"/>
        <w:keepNext/>
        <w:pageBreakBefore/>
        <w:bidi/>
        <w:spacing w:after="60" w:before="0" w:line="300"/>
        <w:jc w:val="start"/>
        <w:outlineLvl w:val="0"/>
      </w:pPr>
      <w:r>
        <w:rPr>
          <w:rFonts w:ascii="Arial" w:cs="Arial" w:hAnsi="Arial"/>
          <w:b/>
          <w:bCs/>
          <w:i w:val="false"/>
          <w:color w:val="8A6A12"/>
          <w:sz w:val="30"/>
          <w:szCs w:val="30"/>
          <w:rtl/>
        </w:rPr>
        <w:t xml:space="preserve">03   </w:t>
      </w:r>
      <w:r>
        <w:rPr>
          <w:rFonts w:ascii="Arial" w:cs="Arial" w:hAnsi="Arial"/>
          <w:b/>
          <w:bCs/>
          <w:i w:val="false"/>
          <w:color w:val="0E5A49"/>
          <w:sz w:val="30"/>
          <w:szCs w:val="30"/>
          <w:rtl/>
        </w:rPr>
        <w:t xml:space="preserve">فكرة المشروع ومبررات التأسيس</w:t>
      </w:r>
    </w:p>
    <w:p>
      <w:pPr>
        <w:pBdr>
          <w:bottom w:val="single" w:color="DBE2DB" w:sz="6"/>
        </w:pBdr>
        <w:bidi/>
        <w:spacing w:after="260"/>
        <w:jc w:val="start"/>
      </w:pPr>
      <w:r>
        <w:rPr>
          <w:rFonts w:ascii="Arial" w:cs="Arial" w:hAnsi="Arial"/>
          <w:b w:val="false"/>
          <w:i w:val="false"/>
          <w:color w:val="77817A"/>
          <w:sz w:val="17"/>
          <w:szCs w:val="17"/>
          <w:rtl/>
        </w:rPr>
        <w:t xml:space="preserve">ما الذي يفعله المركز بالضبط، ولماذا لا يمكن للأسرة أن تفعله وحدها</w:t>
      </w:r>
    </w:p>
    <w:p>
      <w:pPr>
        <w:pStyle w:val="Heading2"/>
        <w:keepNext/>
        <w:bidi/>
        <w:spacing w:after="120" w:before="300" w:line="300"/>
        <w:jc w:val="start"/>
        <w:outlineLvl w:val="1"/>
      </w:pPr>
      <w:r>
        <w:rPr>
          <w:rFonts w:ascii="Arial" w:cs="Arial" w:hAnsi="Arial"/>
          <w:b/>
          <w:bCs/>
          <w:i w:val="false"/>
          <w:color w:val="0E5A49"/>
          <w:sz w:val="24"/>
          <w:szCs w:val="24"/>
          <w:rtl/>
        </w:rPr>
        <w:t xml:space="preserve">وصف المشروع</w:t>
      </w:r>
    </w:p>
    <w:p>
      <w:pPr>
        <w:bidi/>
        <w:spacing w:after="140" w:before="0" w:line="300"/>
        <w:jc w:val="both"/>
      </w:pPr>
      <w:r>
        <w:rPr>
          <w:rFonts w:ascii="Arial" w:cs="Arial" w:hAnsi="Arial"/>
          <w:b w:val="false"/>
          <w:i w:val="false"/>
          <w:color w:val="111A15"/>
          <w:sz w:val="21"/>
          <w:szCs w:val="21"/>
          <w:rtl/>
        </w:rPr>
        <w:t xml:space="preserve">مركز التمكين الاقتصادي للأسر المنتجة منشأة غذائية مرخّصة تعمل بنموذج </w:t>
      </w:r>
      <w:r>
        <w:rPr>
          <w:rFonts w:ascii="Arial" w:cs="Arial" w:hAnsi="Arial"/>
          <w:b/>
          <w:bCs/>
          <w:i w:val="false"/>
          <w:color w:val="111A15"/>
          <w:sz w:val="21"/>
          <w:szCs w:val="21"/>
          <w:rtl/>
        </w:rPr>
        <w:t xml:space="preserve">«البنية التحتية المشتركة»</w:t>
      </w:r>
      <w:r>
        <w:rPr>
          <w:rFonts w:ascii="Arial" w:cs="Arial" w:hAnsi="Arial"/>
          <w:b w:val="false"/>
          <w:i w:val="false"/>
          <w:color w:val="111A15"/>
          <w:sz w:val="21"/>
          <w:szCs w:val="21"/>
          <w:rtl/>
        </w:rPr>
        <w:t xml:space="preserve">: بدلًا من أن تسعى كل أسرة منتجة إلى استيفاء اشتراطات منشأة غذائية كاملة — وهو ما يكلّف مئات الآلاف ويستحيل عمليًا على أسرة منفردة — يوفّر المركز هذه البنية مرة واحدة ويتيحها للأسر بنموذج تشاركي مقابل رسوم تشغيل ميسّرة أو حصة من المبيعات.</w:t>
      </w:r>
    </w:p>
    <w:p>
      <w:pPr>
        <w:bidi/>
        <w:spacing w:after="140" w:before="0" w:line="300"/>
        <w:jc w:val="both"/>
      </w:pPr>
      <w:r>
        <w:rPr>
          <w:rFonts w:ascii="Arial" w:cs="Arial" w:hAnsi="Arial"/>
          <w:b w:val="false"/>
          <w:i w:val="false"/>
          <w:color w:val="48534C"/>
          <w:sz w:val="20"/>
          <w:szCs w:val="20"/>
          <w:rtl/>
        </w:rPr>
        <w:t xml:space="preserve">ويعمل المركز في ثلاث وظائف متكاملة لا تنفصل:</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88"/>
        <w:gridCol w:w="3288"/>
        <w:gridCol w:w="3290"/>
      </w:tblGrid>
      <w:tr>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bCs/>
                <w:i w:val="false"/>
                <w:color w:val="8A6A12"/>
                <w:sz w:val="15"/>
                <w:szCs w:val="15"/>
                <w:rtl/>
              </w:rPr>
              <w:t xml:space="preserve">الوظيفة الأولى</w:t>
            </w:r>
          </w:p>
          <w:p>
            <w:pPr>
              <w:bidi/>
              <w:spacing w:after="60" w:line="270"/>
              <w:jc w:val="start"/>
            </w:pPr>
            <w:r>
              <w:rPr>
                <w:rFonts w:ascii="Arial" w:cs="Arial" w:hAnsi="Arial"/>
                <w:b/>
                <w:bCs/>
                <w:i w:val="false"/>
                <w:color w:val="0E5A49"/>
                <w:sz w:val="18"/>
                <w:szCs w:val="18"/>
                <w:rtl/>
              </w:rPr>
              <w:t xml:space="preserve">مطبخ إنتاجي مركزي مرخّص</w:t>
            </w:r>
          </w:p>
          <w:p>
            <w:pPr>
              <w:bidi/>
              <w:spacing w:after="0" w:line="270"/>
              <w:jc w:val="both"/>
            </w:pPr>
            <w:r>
              <w:rPr>
                <w:rFonts w:ascii="Arial" w:cs="Arial" w:hAnsi="Arial"/>
                <w:b w:val="false"/>
                <w:i w:val="false"/>
                <w:color w:val="48534C"/>
                <w:sz w:val="16"/>
                <w:szCs w:val="16"/>
                <w:rtl/>
              </w:rPr>
              <w:t xml:space="preserve">أربعة خطوط إنتاج (مخبوزات ومعجنات مجمّدة، تمور ومنتجات محفوظة، وجبات جاهزة وتموين، تعبئة وتغليف) بطاقة تصميمية إجمالية تعادل 15.9 مليون ريال من المبيعات السنوية، إضافة إلى 10 محطات تصنيع مؤجّرة بالساعة تعمل تحت رخصة المركز وإشراف مسؤول سلامة الغذاء.</w:t>
            </w:r>
          </w:p>
        </w:tc>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bCs/>
                <w:i w:val="false"/>
                <w:color w:val="8A6A12"/>
                <w:sz w:val="15"/>
                <w:szCs w:val="15"/>
                <w:rtl/>
              </w:rPr>
              <w:t xml:space="preserve">الوظيفة الثانية</w:t>
            </w:r>
          </w:p>
          <w:p>
            <w:pPr>
              <w:bidi/>
              <w:spacing w:after="60" w:line="270"/>
              <w:jc w:val="start"/>
            </w:pPr>
            <w:r>
              <w:rPr>
                <w:rFonts w:ascii="Arial" w:cs="Arial" w:hAnsi="Arial"/>
                <w:b/>
                <w:bCs/>
                <w:i w:val="false"/>
                <w:color w:val="0E5A49"/>
                <w:sz w:val="18"/>
                <w:szCs w:val="18"/>
                <w:rtl/>
              </w:rPr>
              <w:t xml:space="preserve">أكاديمية تدريب وتأهيل مهني</w:t>
            </w:r>
          </w:p>
          <w:p>
            <w:pPr>
              <w:bidi/>
              <w:spacing w:after="0" w:line="270"/>
              <w:jc w:val="both"/>
            </w:pPr>
            <w:r>
              <w:rPr>
                <w:rFonts w:ascii="Arial" w:cs="Arial" w:hAnsi="Arial"/>
                <w:b w:val="false"/>
                <w:i w:val="false"/>
                <w:color w:val="48534C"/>
                <w:sz w:val="16"/>
                <w:szCs w:val="16"/>
                <w:rtl/>
              </w:rPr>
              <w:t xml:space="preserve">قاعتا تدريب ومطبخ تدريبي، تقدّم مسارًا تأهيليًا من ثلاث مراحل ينتهي بشهادة مهنية معتمدة في سلامة الغذاء والتصنيع والتسعير وإدارة المشروع الصغير، بطاقة 420 متدربة سنويًا عند التشغيل الكامل.</w:t>
            </w:r>
          </w:p>
        </w:tc>
        <w:tc>
          <w:tcPr>
            <w:tcW w:type="dxa" w:w="3290"/>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bCs/>
                <w:i w:val="false"/>
                <w:color w:val="8A6A12"/>
                <w:sz w:val="15"/>
                <w:szCs w:val="15"/>
                <w:rtl/>
              </w:rPr>
              <w:t xml:space="preserve">الوظيفة الثالثة</w:t>
            </w:r>
          </w:p>
          <w:p>
            <w:pPr>
              <w:bidi/>
              <w:spacing w:after="60" w:line="270"/>
              <w:jc w:val="start"/>
            </w:pPr>
            <w:r>
              <w:rPr>
                <w:rFonts w:ascii="Arial" w:cs="Arial" w:hAnsi="Arial"/>
                <w:b/>
                <w:bCs/>
                <w:i w:val="false"/>
                <w:color w:val="0E5A49"/>
                <w:sz w:val="18"/>
                <w:szCs w:val="18"/>
                <w:rtl/>
              </w:rPr>
              <w:t xml:space="preserve">ذراع تسويق ومبيعات</w:t>
            </w:r>
          </w:p>
          <w:p>
            <w:pPr>
              <w:bidi/>
              <w:spacing w:after="0" w:line="270"/>
              <w:jc w:val="both"/>
            </w:pPr>
            <w:r>
              <w:rPr>
                <w:rFonts w:ascii="Arial" w:cs="Arial" w:hAnsi="Arial"/>
                <w:b w:val="false"/>
                <w:i w:val="false"/>
                <w:color w:val="48534C"/>
                <w:sz w:val="16"/>
                <w:szCs w:val="16"/>
                <w:rtl/>
              </w:rPr>
              <w:t xml:space="preserve">علامة تجارية جامعة، وفريق مبيعات مؤسسية، ومتجر إلكتروني، وشبكة توزيع مبرّدة — تتولّى ما لا تستطيع الأسرة توليه: التفاوض على العقود، والوفاء بالكميات المتكررة، والامتثال لمتطلبات المشتري المؤسسي من فوترة وتتبّع وضمان جودة.</w:t>
            </w:r>
          </w:p>
        </w:tc>
      </w:tr>
    </w:tbl>
    <w:p>
      <w:pPr>
        <w:bidi/>
        <w:spacing w:after="160" w:before="0" w:line="300"/>
        <w:jc w:val="both"/>
      </w:pPr>
      <w:r>
        <w:rPr>
          <w:rFonts w:ascii="Arial" w:cs="Arial" w:hAnsi="Arial"/>
          <w:b w:val="false"/>
          <w:i w:val="false"/>
          <w:color w:val="48534C"/>
          <w:sz w:val="8"/>
          <w:szCs w:val="8"/>
          <w:rtl/>
        </w:rPr>
        <w:t xml:space="preserve"/>
      </w:r>
    </w:p>
    <w:p>
      <w:pPr>
        <w:keepNext/>
        <w:bidi/>
        <w:spacing w:after="100" w:before="200" w:line="300"/>
        <w:jc w:val="start"/>
      </w:pPr>
      <w:r>
        <w:rPr>
          <w:rFonts w:ascii="Arial" w:cs="Arial" w:hAnsi="Arial"/>
          <w:b/>
          <w:bCs/>
          <w:i w:val="false"/>
          <w:color w:val="8A6A12"/>
          <w:sz w:val="16"/>
          <w:szCs w:val="16"/>
          <w:rtl/>
        </w:rPr>
        <w:t xml:space="preserve">شكل 2  </w:t>
      </w:r>
      <w:r>
        <w:rPr>
          <w:rFonts w:ascii="Arial" w:cs="Arial" w:hAnsi="Arial"/>
          <w:b/>
          <w:bCs/>
          <w:i w:val="false"/>
          <w:color w:val="111A15"/>
          <w:sz w:val="18"/>
          <w:szCs w:val="18"/>
          <w:rtl/>
        </w:rPr>
        <w:t xml:space="preserve">نموذج التشغيل وسلسلة القيمة — من الأسرة إلى السوق وعودة العائد</w:t>
      </w:r>
    </w:p>
    <w:p>
      <w:pPr>
        <w:keepNext/>
        <w:bidi/>
        <w:spacing w:after="80"/>
        <w:jc w:val="center"/>
      </w:pPr>
      <w:r>
        <w:drawing>
          <wp:inline distT="0" distB="0" distL="0" distR="0">
            <wp:extent cx="623887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38875" cy="2562225"/>
                    </a:xfrm>
                    <a:prstGeom prst="rect">
                      <a:avLst/>
                    </a:prstGeom>
                  </pic:spPr>
                </pic:pic>
              </a:graphicData>
            </a:graphic>
          </wp:inline>
        </w:drawing>
      </w:r>
    </w:p>
    <w:p>
      <w:pPr>
        <w:bidi/>
        <w:spacing w:after="200" w:before="0" w:line="300"/>
        <w:jc w:val="both"/>
      </w:pPr>
      <w:r>
        <w:rPr>
          <w:rFonts w:ascii="Arial" w:cs="Arial" w:hAnsi="Arial"/>
          <w:b w:val="false"/>
          <w:i w:val="false"/>
          <w:color w:val="77817A"/>
          <w:sz w:val="16"/>
          <w:szCs w:val="16"/>
          <w:rtl/>
        </w:rPr>
        <w:t xml:space="preserve">الحلقة المغلقة هي جوهر النموذج: العائد المتحقق من قنوات البيع يعود إلى الأسرة أجرًا وحصةً، بينما يحتفظ المركز بهامش يغطي تشغيله ويموّل توسّعه، فلا يعتمد على منحة متكررة.</w:t>
      </w:r>
    </w:p>
    <w:p>
      <w:pPr>
        <w:pStyle w:val="Heading2"/>
        <w:keepNext/>
        <w:bidi/>
        <w:spacing w:after="120" w:before="300" w:line="300"/>
        <w:jc w:val="start"/>
        <w:outlineLvl w:val="1"/>
      </w:pPr>
      <w:r>
        <w:rPr>
          <w:rFonts w:ascii="Arial" w:cs="Arial" w:hAnsi="Arial"/>
          <w:b/>
          <w:bCs/>
          <w:i w:val="false"/>
          <w:color w:val="0E5A49"/>
          <w:sz w:val="24"/>
          <w:szCs w:val="24"/>
          <w:rtl/>
        </w:rPr>
        <w:t xml:space="preserve">مبررات التأسيس</w:t>
      </w:r>
    </w:p>
    <w:p>
      <w:pPr>
        <w:bidi/>
        <w:spacing w:after="70" w:before="0" w:line="300"/>
        <w:ind w:start="280"/>
        <w:jc w:val="both"/>
      </w:pPr>
      <w:r>
        <w:rPr>
          <w:rFonts w:ascii="Arial" w:cs="Arial" w:hAnsi="Arial"/>
          <w:b/>
          <w:bCs/>
          <w:i w:val="false"/>
          <w:color w:val="8A6A12"/>
          <w:sz w:val="20"/>
          <w:szCs w:val="20"/>
          <w:rtl/>
        </w:rPr>
        <w:t xml:space="preserve">1.  </w:t>
      </w:r>
      <w:r>
        <w:rPr>
          <w:rFonts w:ascii="Arial" w:cs="Arial" w:hAnsi="Arial"/>
          <w:b/>
          <w:bCs/>
          <w:i w:val="false"/>
          <w:color w:val="48534C"/>
          <w:sz w:val="20"/>
          <w:szCs w:val="20"/>
          <w:rtl/>
        </w:rPr>
        <w:t xml:space="preserve">مبرر اقتصادي:</w:t>
      </w:r>
      <w:r>
        <w:rPr>
          <w:rFonts w:ascii="Arial" w:cs="Arial" w:hAnsi="Arial"/>
          <w:b w:val="false"/>
          <w:i w:val="false"/>
          <w:color w:val="48534C"/>
          <w:sz w:val="20"/>
          <w:szCs w:val="20"/>
          <w:rtl/>
        </w:rPr>
        <w:t xml:space="preserve"> تكلفة تأسيس منشأة غذائية مرخّصة لأسرة واحدة تتجاوز 400 ألف ريال، بينما تبلغ حصة الأسرة من البنية المشتركة في هذا المشروع نحو 27 ألف ريال — أي وفر يقارب 93٪ عبر تقاسم التكلفة الثابتة.</w:t>
      </w:r>
    </w:p>
    <w:p>
      <w:pPr>
        <w:bidi/>
        <w:spacing w:after="70" w:before="0" w:line="300"/>
        <w:ind w:start="280"/>
        <w:jc w:val="both"/>
      </w:pPr>
      <w:r>
        <w:rPr>
          <w:rFonts w:ascii="Arial" w:cs="Arial" w:hAnsi="Arial"/>
          <w:b/>
          <w:bCs/>
          <w:i w:val="false"/>
          <w:color w:val="8A6A12"/>
          <w:sz w:val="20"/>
          <w:szCs w:val="20"/>
          <w:rtl/>
        </w:rPr>
        <w:t xml:space="preserve">2.  </w:t>
      </w:r>
      <w:r>
        <w:rPr>
          <w:rFonts w:ascii="Arial" w:cs="Arial" w:hAnsi="Arial"/>
          <w:b/>
          <w:bCs/>
          <w:i w:val="false"/>
          <w:color w:val="48534C"/>
          <w:sz w:val="20"/>
          <w:szCs w:val="20"/>
          <w:rtl/>
        </w:rPr>
        <w:t xml:space="preserve">مبرر تنظيمي:</w:t>
      </w:r>
      <w:r>
        <w:rPr>
          <w:rFonts w:ascii="Arial" w:cs="Arial" w:hAnsi="Arial"/>
          <w:b w:val="false"/>
          <w:i w:val="false"/>
          <w:color w:val="48534C"/>
          <w:sz w:val="20"/>
          <w:szCs w:val="20"/>
          <w:rtl/>
        </w:rPr>
        <w:t xml:space="preserve"> الاشتراطات الصحية للمنشآت الغذائية لا يمكن استيفاؤها في مطبخ منزلي، ما يبقي الأسر خارج نطاق التعاقد المؤسسي بالكامل مهما بلغت جودة منتجها.</w:t>
      </w:r>
    </w:p>
    <w:p>
      <w:pPr>
        <w:bidi/>
        <w:spacing w:after="70" w:before="0" w:line="300"/>
        <w:ind w:start="280"/>
        <w:jc w:val="both"/>
      </w:pPr>
      <w:r>
        <w:rPr>
          <w:rFonts w:ascii="Arial" w:cs="Arial" w:hAnsi="Arial"/>
          <w:b/>
          <w:bCs/>
          <w:i w:val="false"/>
          <w:color w:val="8A6A12"/>
          <w:sz w:val="20"/>
          <w:szCs w:val="20"/>
          <w:rtl/>
        </w:rPr>
        <w:t xml:space="preserve">3.  </w:t>
      </w:r>
      <w:r>
        <w:rPr>
          <w:rFonts w:ascii="Arial" w:cs="Arial" w:hAnsi="Arial"/>
          <w:b/>
          <w:bCs/>
          <w:i w:val="false"/>
          <w:color w:val="48534C"/>
          <w:sz w:val="20"/>
          <w:szCs w:val="20"/>
          <w:rtl/>
        </w:rPr>
        <w:t xml:space="preserve">مبرر سوقي:</w:t>
      </w:r>
      <w:r>
        <w:rPr>
          <w:rFonts w:ascii="Arial" w:cs="Arial" w:hAnsi="Arial"/>
          <w:b w:val="false"/>
          <w:i w:val="false"/>
          <w:color w:val="48534C"/>
          <w:sz w:val="20"/>
          <w:szCs w:val="20"/>
          <w:rtl/>
        </w:rPr>
        <w:t xml:space="preserve"> المشتري المؤسسي (المدارس، المستشفيات، الشركات، شركات التموين) يشترط مورّدًا واحدًا قادرًا على الكمية والاستمرارية والفوترة النظامية — وهو ما لا توفّره الأسرة منفردة وتوفّره المنظومة المجمّعة.</w:t>
      </w:r>
    </w:p>
    <w:p>
      <w:pPr>
        <w:bidi/>
        <w:spacing w:after="70" w:before="0" w:line="300"/>
        <w:ind w:start="280"/>
        <w:jc w:val="both"/>
      </w:pPr>
      <w:r>
        <w:rPr>
          <w:rFonts w:ascii="Arial" w:cs="Arial" w:hAnsi="Arial"/>
          <w:b/>
          <w:bCs/>
          <w:i w:val="false"/>
          <w:color w:val="8A6A12"/>
          <w:sz w:val="20"/>
          <w:szCs w:val="20"/>
          <w:rtl/>
        </w:rPr>
        <w:t xml:space="preserve">4.  </w:t>
      </w:r>
      <w:r>
        <w:rPr>
          <w:rFonts w:ascii="Arial" w:cs="Arial" w:hAnsi="Arial"/>
          <w:b/>
          <w:bCs/>
          <w:i w:val="false"/>
          <w:color w:val="48534C"/>
          <w:sz w:val="20"/>
          <w:szCs w:val="20"/>
          <w:rtl/>
        </w:rPr>
        <w:t xml:space="preserve">مبرر مؤسسي:</w:t>
      </w:r>
      <w:r>
        <w:rPr>
          <w:rFonts w:ascii="Arial" w:cs="Arial" w:hAnsi="Arial"/>
          <w:b w:val="false"/>
          <w:i w:val="false"/>
          <w:color w:val="48534C"/>
          <w:sz w:val="20"/>
          <w:szCs w:val="20"/>
          <w:rtl/>
        </w:rPr>
        <w:t xml:space="preserve"> يمنح المشروع الجمعية مصدر دخل ذاتيًا مستدامًا يقلّل اعتمادها على التبرعات الموسمية، ويحوّلها من جهة موزِّعة للمساعدات إلى جهة بانية للقدرات الاقتصادية.</w:t>
      </w:r>
    </w:p>
    <w:p>
      <w:pPr>
        <w:bidi/>
        <w:spacing w:after="70" w:before="0" w:line="300"/>
        <w:ind w:start="280"/>
        <w:jc w:val="both"/>
      </w:pPr>
      <w:r>
        <w:rPr>
          <w:rFonts w:ascii="Arial" w:cs="Arial" w:hAnsi="Arial"/>
          <w:b/>
          <w:bCs/>
          <w:i w:val="false"/>
          <w:color w:val="8A6A12"/>
          <w:sz w:val="20"/>
          <w:szCs w:val="20"/>
          <w:rtl/>
        </w:rPr>
        <w:t xml:space="preserve">5.  </w:t>
      </w:r>
      <w:r>
        <w:rPr>
          <w:rFonts w:ascii="Arial" w:cs="Arial" w:hAnsi="Arial"/>
          <w:b/>
          <w:bCs/>
          <w:i w:val="false"/>
          <w:color w:val="48534C"/>
          <w:sz w:val="20"/>
          <w:szCs w:val="20"/>
          <w:rtl/>
        </w:rPr>
        <w:t xml:space="preserve">مبرر تنموي:</w:t>
      </w:r>
      <w:r>
        <w:rPr>
          <w:rFonts w:ascii="Arial" w:cs="Arial" w:hAnsi="Arial"/>
          <w:b w:val="false"/>
          <w:i w:val="false"/>
          <w:color w:val="48534C"/>
          <w:sz w:val="20"/>
          <w:szCs w:val="20"/>
          <w:rtl/>
        </w:rPr>
        <w:t xml:space="preserve"> يتوافق المشروع مع مستهدفات رفع مشاركة المرأة في سوق العمل ودعم المنشآت متناهية الصغر وتوطين سلاسل الغذاء ضمن توجهات رؤية المملكة 2030.</w:t>
      </w:r>
    </w:p>
    <w:p>
      <w:pPr>
        <w:bidi/>
        <w:spacing w:after="60" w:before="0" w:line="300"/>
        <w:jc w:val="both"/>
      </w:pPr>
      <w:r>
        <w:rPr>
          <w:rFonts w:ascii="Arial" w:cs="Arial" w:hAnsi="Arial"/>
          <w:b w:val="false"/>
          <w:i w:val="false"/>
          <w:color w:val="48534C"/>
          <w:sz w:val="6"/>
          <w:szCs w:val="6"/>
          <w:rtl/>
        </w:rPr>
        <w:t xml:space="preserve"/>
      </w:r>
    </w:p>
    <w:p>
      <w:pPr>
        <w:keepNext/>
        <w:bidi/>
        <w:spacing w:after="60" w:before="160" w:line="300"/>
        <w:jc w:val="start"/>
      </w:pPr>
      <w:r>
        <w:rPr>
          <w:rFonts w:ascii="Arial" w:cs="Arial" w:hAnsi="Arial"/>
          <w:b/>
          <w:bCs/>
          <w:i w:val="false"/>
          <w:color w:val="8A6A12"/>
          <w:sz w:val="16"/>
          <w:szCs w:val="16"/>
          <w:rtl/>
        </w:rPr>
        <w:t xml:space="preserve">جدول 2 — بطاقة تعريف المشروع</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98"/>
        <w:gridCol w:w="5668"/>
      </w:tblGrid>
      <w:tr>
        <w:tc>
          <w:tcPr>
            <w:tcW w:type="dxa" w:w="419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اسم المشروع</w:t>
            </w:r>
          </w:p>
        </w:tc>
        <w:tc>
          <w:tcPr>
            <w:tcW w:type="dxa" w:w="56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مركز التمكين الاقتصادي للأسر المنتجة</w:t>
            </w:r>
          </w:p>
        </w:tc>
      </w:tr>
      <w:tr>
        <w:tc>
          <w:tcPr>
            <w:tcW w:type="dxa" w:w="419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نوع المشروع</w:t>
            </w:r>
          </w:p>
        </w:tc>
        <w:tc>
          <w:tcPr>
            <w:tcW w:type="dxa" w:w="56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مشروع تنموي إنتاجي مدرّ للدخل (استثمار اجتماعي)</w:t>
            </w:r>
          </w:p>
        </w:tc>
      </w:tr>
      <w:tr>
        <w:tc>
          <w:tcPr>
            <w:tcW w:type="dxa" w:w="419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القطاع</w:t>
            </w:r>
          </w:p>
        </w:tc>
        <w:tc>
          <w:tcPr>
            <w:tcW w:type="dxa" w:w="56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التمكين الاقتصادي · الصناعات الغذائية · التدريب المهني</w:t>
            </w:r>
          </w:p>
        </w:tc>
      </w:tr>
      <w:tr>
        <w:tc>
          <w:tcPr>
            <w:tcW w:type="dxa" w:w="419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الموقع</w:t>
            </w:r>
          </w:p>
        </w:tc>
        <w:tc>
          <w:tcPr>
            <w:tcW w:type="dxa" w:w="56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منطقة الرياض — نطاق صناعي خفيف مرخّص للأنشطة الغذائية</w:t>
            </w:r>
          </w:p>
        </w:tc>
      </w:tr>
      <w:tr>
        <w:tc>
          <w:tcPr>
            <w:tcW w:type="dxa" w:w="419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المساحة</w:t>
            </w:r>
          </w:p>
        </w:tc>
        <w:tc>
          <w:tcPr>
            <w:tcW w:type="dxa" w:w="56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1,250 م² (إنتاج 525 م² · استلام وتخزين وتبريد 400 م² · إداري وخدمي 145 م² · تدريب 91 م² · شحن وممرات 89 م²)</w:t>
            </w:r>
          </w:p>
        </w:tc>
      </w:tr>
      <w:tr>
        <w:tc>
          <w:tcPr>
            <w:tcW w:type="dxa" w:w="419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الطاقة التصميمية</w:t>
            </w:r>
          </w:p>
        </w:tc>
        <w:tc>
          <w:tcPr>
            <w:tcW w:type="dxa" w:w="56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126 طنًا مخبوزات · 78 طنًا منتجات محفوظة · 420 ألف وجبة · 480 ألف عبوة سنويًا</w:t>
            </w:r>
          </w:p>
        </w:tc>
      </w:tr>
      <w:tr>
        <w:tc>
          <w:tcPr>
            <w:tcW w:type="dxa" w:w="419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الفئة المستهدفة</w:t>
            </w:r>
          </w:p>
        </w:tc>
        <w:tc>
          <w:tcPr>
            <w:tcW w:type="dxa" w:w="56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النساء المعيلات والأسر منخفضة الدخل المسجّلة في نطاق خدمة الجمعية</w:t>
            </w:r>
          </w:p>
        </w:tc>
      </w:tr>
      <w:tr>
        <w:tc>
          <w:tcPr>
            <w:tcW w:type="dxa" w:w="419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مدة التأسيس</w:t>
            </w:r>
          </w:p>
        </w:tc>
        <w:tc>
          <w:tcPr>
            <w:tcW w:type="dxa" w:w="56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18 شهرًا (14 شهرًا حتى الإطلاق الرسمي + 4 أشهر استقرار)</w:t>
            </w:r>
          </w:p>
        </w:tc>
      </w:tr>
      <w:tr>
        <w:tc>
          <w:tcPr>
            <w:tcW w:type="dxa" w:w="419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إجمالي التمويل</w:t>
            </w:r>
          </w:p>
        </w:tc>
        <w:tc>
          <w:tcPr>
            <w:tcW w:type="dxa" w:w="56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7,500,000 ريال سعودي</w:t>
            </w:r>
          </w:p>
        </w:tc>
      </w:tr>
      <w:tr>
        <w:tc>
          <w:tcPr>
            <w:tcW w:type="dxa" w:w="419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الوظائف المباشرة</w:t>
            </w:r>
          </w:p>
        </w:tc>
        <w:tc>
          <w:tcPr>
            <w:tcW w:type="dxa" w:w="56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17 وظيفة في السنة الأولى ترتفع إلى 32 وظيفة في السنة الخامسة</w:t>
            </w:r>
          </w:p>
        </w:tc>
      </w:tr>
      <w:tr>
        <w:tc>
          <w:tcPr>
            <w:tcW w:type="dxa" w:w="419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نموذج الاستدامة</w:t>
            </w:r>
          </w:p>
        </w:tc>
        <w:tc>
          <w:tcPr>
            <w:tcW w:type="dxa" w:w="56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اكتفاء تشغيلي ذاتي كامل من السنة الثانية دون دعم متكرر</w:t>
            </w:r>
          </w:p>
        </w:tc>
      </w:tr>
    </w:tbl>
    <w:p>
      <w:pPr>
        <w:bidi/>
        <w:spacing w:after="140" w:before="0" w:line="300"/>
        <w:jc w:val="both"/>
      </w:pPr>
      <w:r>
        <w:rPr>
          <w:rFonts w:ascii="Arial" w:cs="Arial" w:hAnsi="Arial"/>
          <w:b w:val="false"/>
          <w:i w:val="false"/>
          <w:color w:val="48534C"/>
          <w:sz w:val="8"/>
          <w:szCs w:val="8"/>
          <w:rtl/>
        </w:rPr>
        <w:t xml:space="preserve"/>
      </w:r>
    </w:p>
    <w:p>
      <w:pPr>
        <w:pStyle w:val="Heading1"/>
        <w:keepNext/>
        <w:pageBreakBefore/>
        <w:bidi/>
        <w:spacing w:after="60" w:before="0" w:line="300"/>
        <w:jc w:val="start"/>
        <w:outlineLvl w:val="0"/>
      </w:pPr>
      <w:r>
        <w:rPr>
          <w:rFonts w:ascii="Arial" w:cs="Arial" w:hAnsi="Arial"/>
          <w:b/>
          <w:bCs/>
          <w:i w:val="false"/>
          <w:color w:val="8A6A12"/>
          <w:sz w:val="30"/>
          <w:szCs w:val="30"/>
          <w:rtl/>
        </w:rPr>
        <w:t xml:space="preserve">04   </w:t>
      </w:r>
      <w:r>
        <w:rPr>
          <w:rFonts w:ascii="Arial" w:cs="Arial" w:hAnsi="Arial"/>
          <w:b/>
          <w:bCs/>
          <w:i w:val="false"/>
          <w:color w:val="0E5A49"/>
          <w:sz w:val="30"/>
          <w:szCs w:val="30"/>
          <w:rtl/>
        </w:rPr>
        <w:t xml:space="preserve">دراسة الاحتياج وتحليل المشكلة</w:t>
      </w:r>
    </w:p>
    <w:p>
      <w:pPr>
        <w:pBdr>
          <w:bottom w:val="single" w:color="DBE2DB" w:sz="6"/>
        </w:pBdr>
        <w:bidi/>
        <w:spacing w:after="260"/>
        <w:jc w:val="start"/>
      </w:pPr>
      <w:r>
        <w:rPr>
          <w:rFonts w:ascii="Arial" w:cs="Arial" w:hAnsi="Arial"/>
          <w:b w:val="false"/>
          <w:i w:val="false"/>
          <w:color w:val="77817A"/>
          <w:sz w:val="17"/>
          <w:szCs w:val="17"/>
          <w:rtl/>
        </w:rPr>
        <w:t xml:space="preserve">تشخيص المشكلة بجذورها لا بأعراضها</w:t>
      </w:r>
    </w:p>
    <w:p>
      <w:pPr>
        <w:bidi/>
        <w:spacing w:after="140" w:before="0" w:line="300"/>
        <w:jc w:val="both"/>
      </w:pPr>
      <w:r>
        <w:rPr>
          <w:rFonts w:ascii="Arial" w:cs="Arial" w:hAnsi="Arial"/>
          <w:b w:val="false"/>
          <w:i w:val="false"/>
          <w:color w:val="111A15"/>
          <w:sz w:val="21"/>
          <w:szCs w:val="21"/>
          <w:rtl/>
        </w:rPr>
        <w:t xml:space="preserve">الخطأ الشائع في مشاريع الأسر المنتجة أنها تعالج العَرَض — «ضعف الدخل» — بأدوات الإغاثة، فتقدّم ماكينة أو حقيبة إنتاج أو دورة تدريبية، ثم تتفاجأ بعودة الأسرة إلى نقطة البداية بعد أشهر. هذه الدراسة تنطلق من تشخيص مختلف: المشكلة ليست نقص المهارة ولا نقص الأداة، بل </w:t>
      </w:r>
      <w:r>
        <w:rPr>
          <w:rFonts w:ascii="Arial" w:cs="Arial" w:hAnsi="Arial"/>
          <w:b/>
          <w:bCs/>
          <w:i w:val="false"/>
          <w:color w:val="111A15"/>
          <w:sz w:val="21"/>
          <w:szCs w:val="21"/>
          <w:rtl/>
        </w:rPr>
        <w:t xml:space="preserve">انقطاع الأسرة عن السوق النظامي</w:t>
      </w:r>
      <w:r>
        <w:rPr>
          <w:rFonts w:ascii="Arial" w:cs="Arial" w:hAnsi="Arial"/>
          <w:b w:val="false"/>
          <w:i w:val="false"/>
          <w:color w:val="111A15"/>
          <w:sz w:val="21"/>
          <w:szCs w:val="21"/>
          <w:rtl/>
        </w:rPr>
        <w:t xml:space="preserve">، وهو انقطاع سببه هيكلي لا فردي.</w:t>
      </w:r>
    </w:p>
    <w:p>
      <w:pPr>
        <w:keepNext/>
        <w:bidi/>
        <w:spacing w:after="100" w:before="200" w:line="300"/>
        <w:jc w:val="start"/>
      </w:pPr>
      <w:r>
        <w:rPr>
          <w:rFonts w:ascii="Arial" w:cs="Arial" w:hAnsi="Arial"/>
          <w:b/>
          <w:bCs/>
          <w:i w:val="false"/>
          <w:color w:val="8A6A12"/>
          <w:sz w:val="16"/>
          <w:szCs w:val="16"/>
          <w:rtl/>
        </w:rPr>
        <w:t xml:space="preserve">شكل 3  </w:t>
      </w:r>
      <w:r>
        <w:rPr>
          <w:rFonts w:ascii="Arial" w:cs="Arial" w:hAnsi="Arial"/>
          <w:b/>
          <w:bCs/>
          <w:i w:val="false"/>
          <w:color w:val="111A15"/>
          <w:sz w:val="18"/>
          <w:szCs w:val="18"/>
          <w:rtl/>
        </w:rPr>
        <w:t xml:space="preserve">شجرة المشكلة — الجذور والمشكلة المحورية والآثار</w:t>
      </w:r>
    </w:p>
    <w:p>
      <w:pPr>
        <w:keepNext/>
        <w:bidi/>
        <w:spacing w:after="80"/>
        <w:jc w:val="center"/>
      </w:pPr>
      <w:r>
        <w:drawing>
          <wp:inline distT="0" distB="0" distL="0" distR="0">
            <wp:extent cx="6238875"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38875" cy="3724275"/>
                    </a:xfrm>
                    <a:prstGeom prst="rect">
                      <a:avLst/>
                    </a:prstGeom>
                  </pic:spPr>
                </pic:pic>
              </a:graphicData>
            </a:graphic>
          </wp:inline>
        </w:drawing>
      </w:r>
    </w:p>
    <w:p>
      <w:pPr>
        <w:bidi/>
        <w:spacing w:after="200" w:before="0" w:line="300"/>
        <w:jc w:val="both"/>
      </w:pPr>
      <w:r>
        <w:rPr>
          <w:rFonts w:ascii="Arial" w:cs="Arial" w:hAnsi="Arial"/>
          <w:b w:val="false"/>
          <w:i w:val="false"/>
          <w:color w:val="77817A"/>
          <w:sz w:val="16"/>
          <w:szCs w:val="16"/>
          <w:rtl/>
        </w:rPr>
        <w:t xml:space="preserve">الحواجز الأربعة ليست مستقلة: إزالة حاجز المهارة وحده — كما تفعل برامج التدريب التقليدية — لا يُنتج دخلًا، لأن الأسرة تصطدم بحاجز الترخيص فورًا بعد التخرّج. ولذلك صُمّم المشروع ليعالج الحواجز الأربعة في تدخّل واحد.</w:t>
      </w:r>
    </w:p>
    <w:p>
      <w:pPr>
        <w:pStyle w:val="Heading2"/>
        <w:keepNext/>
        <w:bidi/>
        <w:spacing w:after="120" w:before="300" w:line="300"/>
        <w:jc w:val="start"/>
        <w:outlineLvl w:val="1"/>
      </w:pPr>
      <w:r>
        <w:rPr>
          <w:rFonts w:ascii="Arial" w:cs="Arial" w:hAnsi="Arial"/>
          <w:b/>
          <w:bCs/>
          <w:i w:val="false"/>
          <w:color w:val="0E5A49"/>
          <w:sz w:val="24"/>
          <w:szCs w:val="24"/>
          <w:rtl/>
        </w:rPr>
        <w:t xml:space="preserve">مؤشرات الاحتياج</w:t>
      </w:r>
    </w:p>
    <w:p>
      <w:pPr>
        <w:bidi/>
        <w:spacing w:after="140" w:before="0" w:line="300"/>
        <w:jc w:val="both"/>
      </w:pPr>
      <w:r>
        <w:rPr>
          <w:rFonts w:ascii="Arial" w:cs="Arial" w:hAnsi="Arial"/>
          <w:b w:val="false"/>
          <w:i w:val="false"/>
          <w:color w:val="48534C"/>
          <w:sz w:val="20"/>
          <w:szCs w:val="20"/>
          <w:rtl/>
        </w:rPr>
        <w:t xml:space="preserve">يستند تقدير الاحتياج إلى أربعة مؤشرات، ثلاثة منها قابلة للتحقّق من سجلات الجمعية نفسها والرابع يحتاج مسحًا ميدانيًا لتثبيته (وهو ما توصي به الدراسة قبل الاعتماد النهائي):</w:t>
      </w:r>
    </w:p>
    <w:p>
      <w:pPr>
        <w:keepNext/>
        <w:bidi/>
        <w:spacing w:after="60" w:before="160" w:line="300"/>
        <w:jc w:val="start"/>
      </w:pPr>
      <w:r>
        <w:rPr>
          <w:rFonts w:ascii="Arial" w:cs="Arial" w:hAnsi="Arial"/>
          <w:b/>
          <w:bCs/>
          <w:i w:val="false"/>
          <w:color w:val="8A6A12"/>
          <w:sz w:val="16"/>
          <w:szCs w:val="16"/>
          <w:rtl/>
        </w:rPr>
        <w:t xml:space="preserve">جدول 3 — مؤشرات الاحتياج ومصدر التحقّق</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69"/>
        <w:gridCol w:w="1600"/>
        <w:gridCol w:w="2493"/>
        <w:gridCol w:w="2004"/>
      </w:tblGrid>
      <w:tr>
        <w:trPr>
          <w:tblHeader/>
        </w:trPr>
        <w:tc>
          <w:tcPr>
            <w:tcW w:type="dxa" w:w="376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المؤشر</w:t>
            </w:r>
          </w:p>
        </w:tc>
        <w:tc>
          <w:tcPr>
            <w:tcW w:type="dxa" w:w="1600"/>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التقدير</w:t>
            </w:r>
          </w:p>
        </w:tc>
        <w:tc>
          <w:tcPr>
            <w:tcW w:type="dxa" w:w="2493"/>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مصدر التحقّق</w:t>
            </w:r>
          </w:p>
        </w:tc>
        <w:tc>
          <w:tcPr>
            <w:tcW w:type="dxa" w:w="2004"/>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الحالة</w:t>
            </w:r>
          </w:p>
        </w:tc>
      </w:tr>
      <w:tr>
        <w:tc>
          <w:tcPr>
            <w:tcW w:type="dxa" w:w="37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أسر مسجّلة في نطاق خدمة الجمعية تمارس إنتاجًا غذائيًا منزليًا</w:t>
            </w:r>
          </w:p>
        </w:tc>
        <w:tc>
          <w:tcPr>
            <w:tcW w:type="dxa" w:w="160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1,400 – 1,800</w:t>
            </w:r>
          </w:p>
        </w:tc>
        <w:tc>
          <w:tcPr>
            <w:tcW w:type="dxa" w:w="249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سجل المستفيدين لدى الجمعية</w:t>
            </w:r>
          </w:p>
        </w:tc>
        <w:tc>
          <w:tcPr>
            <w:tcW w:type="dxa" w:w="200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قابل للتحقّق فورًا</w:t>
            </w:r>
          </w:p>
        </w:tc>
      </w:tr>
      <w:tr>
        <w:tc>
          <w:tcPr>
            <w:tcW w:type="dxa" w:w="37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من عبّرن عن استعداد للانتقال إلى إنتاج نظامي</w:t>
            </w:r>
          </w:p>
        </w:tc>
        <w:tc>
          <w:tcPr>
            <w:tcW w:type="dxa" w:w="160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62٪</w:t>
            </w:r>
          </w:p>
        </w:tc>
        <w:tc>
          <w:tcPr>
            <w:tcW w:type="dxa" w:w="249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مسح ميداني لعيّنة 200 أسرة</w:t>
            </w:r>
          </w:p>
        </w:tc>
        <w:tc>
          <w:tcPr>
            <w:tcW w:type="dxa" w:w="200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يتطلب مسحًا</w:t>
            </w:r>
          </w:p>
        </w:tc>
      </w:tr>
      <w:tr>
        <w:tc>
          <w:tcPr>
            <w:tcW w:type="dxa" w:w="37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متوسط الدخل الشهري الحالي من النشاط الإنتاجي</w:t>
            </w:r>
          </w:p>
        </w:tc>
        <w:tc>
          <w:tcPr>
            <w:tcW w:type="dxa" w:w="160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1,180 ر.س</w:t>
            </w:r>
          </w:p>
        </w:tc>
        <w:tc>
          <w:tcPr>
            <w:tcW w:type="dxa" w:w="249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استمارة خط الأساس</w:t>
            </w:r>
          </w:p>
        </w:tc>
        <w:tc>
          <w:tcPr>
            <w:tcW w:type="dxa" w:w="200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يتطلب مسحًا</w:t>
            </w:r>
          </w:p>
        </w:tc>
      </w:tr>
      <w:tr>
        <w:tc>
          <w:tcPr>
            <w:tcW w:type="dxa" w:w="37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عدد الأسر التي أوقفت نشاطها خلال 12 شهرًا لأسباب تشغيلية</w:t>
            </w:r>
          </w:p>
        </w:tc>
        <w:tc>
          <w:tcPr>
            <w:tcW w:type="dxa" w:w="160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31٪</w:t>
            </w:r>
          </w:p>
        </w:tc>
        <w:tc>
          <w:tcPr>
            <w:tcW w:type="dxa" w:w="249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سجل متابعة المستفيدين</w:t>
            </w:r>
          </w:p>
        </w:tc>
        <w:tc>
          <w:tcPr>
            <w:tcW w:type="dxa" w:w="200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قابل للتحقّق فورًا</w:t>
            </w:r>
          </w:p>
        </w:tc>
      </w:tr>
      <w:tr>
        <w:tc>
          <w:tcPr>
            <w:tcW w:type="dxa" w:w="37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منشآت تصنيع بالتعاقد مرخّصة تخدم صغار المنتجين في النطاق</w:t>
            </w:r>
          </w:p>
        </w:tc>
        <w:tc>
          <w:tcPr>
            <w:tcW w:type="dxa" w:w="160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أقل من 6</w:t>
            </w:r>
          </w:p>
        </w:tc>
        <w:tc>
          <w:tcPr>
            <w:tcW w:type="dxa" w:w="249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مسح مقدّمي الخدمة</w:t>
            </w:r>
          </w:p>
        </w:tc>
        <w:tc>
          <w:tcPr>
            <w:tcW w:type="dxa" w:w="200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تقدير الدراسة</w:t>
            </w:r>
          </w:p>
        </w:tc>
      </w:tr>
    </w:tbl>
    <w:p>
      <w:pPr>
        <w:bidi/>
        <w:spacing w:after="140" w:before="0" w:line="300"/>
        <w:jc w:val="both"/>
      </w:pPr>
      <w:r>
        <w:rPr>
          <w:rFonts w:ascii="Arial" w:cs="Arial" w:hAnsi="Arial"/>
          <w:b w:val="false"/>
          <w:i w:val="false"/>
          <w:color w:val="48534C"/>
          <w:sz w:val="8"/>
          <w:szCs w:val="8"/>
          <w:rtl/>
        </w:rPr>
        <w:t xml:space="preserve"/>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c>
          <w:tcPr>
            <w:tcW w:type="dxa" w:w="9866"/>
            <w:tcBorders>
              <w:top w:val="single" w:color="DBE2DB" w:sz="4"/>
              <w:left w:val="single" w:color="DBE2DB" w:sz="4"/>
              <w:bottom w:val="single" w:color="DBE2DB" w:sz="4"/>
              <w:right w:val="single" w:color="8A6A12" w:sz="22"/>
            </w:tcBorders>
            <w:shd w:fill="FBFCFA" w:color="auto" w:val="clear"/>
            <w:tcMar>
              <w:top w:type="dxa" w:w="120"/>
              <w:left w:type="dxa" w:w="160"/>
              <w:bottom w:type="dxa" w:w="120"/>
              <w:right w:type="dxa" w:w="160"/>
            </w:tcMar>
          </w:tcPr>
          <w:p>
            <w:pPr>
              <w:bidi/>
              <w:spacing w:after="80" w:before="40" w:line="280"/>
              <w:jc w:val="start"/>
            </w:pPr>
            <w:r>
              <w:rPr>
                <w:rFonts w:ascii="Arial" w:cs="Arial" w:hAnsi="Arial"/>
                <w:b/>
                <w:bCs/>
                <w:i w:val="false"/>
                <w:color w:val="8A6A12"/>
                <w:sz w:val="19"/>
                <w:szCs w:val="19"/>
                <w:rtl/>
              </w:rPr>
              <w:t xml:space="preserve">ملاحظة منهجية</w:t>
            </w:r>
          </w:p>
          <w:p>
            <w:pPr>
              <w:bidi/>
              <w:spacing w:after="80" w:line="290"/>
              <w:jc w:val="both"/>
            </w:pPr>
            <w:r>
              <w:rPr>
                <w:rFonts w:ascii="Arial" w:cs="Arial" w:hAnsi="Arial"/>
                <w:b w:val="false"/>
                <w:i w:val="false"/>
                <w:color w:val="48534C"/>
                <w:sz w:val="18"/>
                <w:szCs w:val="18"/>
                <w:rtl/>
              </w:rPr>
              <w:t xml:space="preserve">المؤشران المميّزان بـ«يتطلب مسحًا» يدخلان مباشرة في حساب الأثر والعائد الاجتماعي. توصي الدراسة بألا تُعتمد أرقام الأثر النهائية في تقارير الجهة المانحة قبل تثبيت خط الأساس ميدانيًا، وقد خُصّص لذلك بند في موازنة السنة الأولى ضمن نشاط «بناء خط الأساس ومنظومة المؤشرات».</w:t>
            </w:r>
          </w:p>
        </w:tc>
      </w:tr>
    </w:tbl>
    <w:p>
      <w:pPr>
        <w:bidi/>
        <w:spacing w:after="160" w:before="0" w:line="300"/>
        <w:jc w:val="both"/>
      </w:pPr>
      <w:r>
        <w:rPr>
          <w:rFonts w:ascii="Arial" w:cs="Arial" w:hAnsi="Arial"/>
          <w:b w:val="false"/>
          <w:i w:val="false"/>
          <w:color w:val="48534C"/>
          <w:sz w:val="8"/>
          <w:szCs w:val="8"/>
          <w:rtl/>
        </w:rPr>
        <w:t xml:space="preserve"/>
      </w:r>
    </w:p>
    <w:p>
      <w:pPr>
        <w:pStyle w:val="Heading1"/>
        <w:keepNext/>
        <w:pageBreakBefore/>
        <w:bidi/>
        <w:spacing w:after="60" w:before="0" w:line="300"/>
        <w:jc w:val="start"/>
        <w:outlineLvl w:val="0"/>
      </w:pPr>
      <w:r>
        <w:rPr>
          <w:rFonts w:ascii="Arial" w:cs="Arial" w:hAnsi="Arial"/>
          <w:b/>
          <w:bCs/>
          <w:i w:val="false"/>
          <w:color w:val="8A6A12"/>
          <w:sz w:val="30"/>
          <w:szCs w:val="30"/>
          <w:rtl/>
        </w:rPr>
        <w:t xml:space="preserve">05   </w:t>
      </w:r>
      <w:r>
        <w:rPr>
          <w:rFonts w:ascii="Arial" w:cs="Arial" w:hAnsi="Arial"/>
          <w:b/>
          <w:bCs/>
          <w:i w:val="false"/>
          <w:color w:val="0E5A49"/>
          <w:sz w:val="30"/>
          <w:szCs w:val="30"/>
          <w:rtl/>
        </w:rPr>
        <w:t xml:space="preserve">أصحاب المصلحة والفئات المستهدفة</w:t>
      </w:r>
    </w:p>
    <w:p>
      <w:pPr>
        <w:pBdr>
          <w:bottom w:val="single" w:color="DBE2DB" w:sz="6"/>
        </w:pBdr>
        <w:bidi/>
        <w:spacing w:after="260"/>
        <w:jc w:val="start"/>
      </w:pPr>
      <w:r>
        <w:rPr>
          <w:rFonts w:ascii="Arial" w:cs="Arial" w:hAnsi="Arial"/>
          <w:b w:val="false"/>
          <w:i w:val="false"/>
          <w:color w:val="77817A"/>
          <w:sz w:val="17"/>
          <w:szCs w:val="17"/>
          <w:rtl/>
        </w:rPr>
        <w:t xml:space="preserve">من يتأثر بالمشروع، ومن يملك القدرة على تعطيله أو تمكينه</w:t>
      </w:r>
    </w:p>
    <w:p>
      <w:pPr>
        <w:keepNext/>
        <w:bidi/>
        <w:spacing w:after="100" w:before="200" w:line="300"/>
        <w:jc w:val="start"/>
      </w:pPr>
      <w:r>
        <w:rPr>
          <w:rFonts w:ascii="Arial" w:cs="Arial" w:hAnsi="Arial"/>
          <w:b/>
          <w:bCs/>
          <w:i w:val="false"/>
          <w:color w:val="8A6A12"/>
          <w:sz w:val="16"/>
          <w:szCs w:val="16"/>
          <w:rtl/>
        </w:rPr>
        <w:t xml:space="preserve">شكل 4  </w:t>
      </w:r>
      <w:r>
        <w:rPr>
          <w:rFonts w:ascii="Arial" w:cs="Arial" w:hAnsi="Arial"/>
          <w:b/>
          <w:bCs/>
          <w:i w:val="false"/>
          <w:color w:val="111A15"/>
          <w:sz w:val="18"/>
          <w:szCs w:val="18"/>
          <w:rtl/>
        </w:rPr>
        <w:t xml:space="preserve">خريطة أصحاب المصلحة حسب النفوذ ودرجة الاهتمام</w:t>
      </w:r>
    </w:p>
    <w:p>
      <w:pPr>
        <w:keepNext/>
        <w:bidi/>
        <w:spacing w:after="80"/>
        <w:jc w:val="center"/>
      </w:pPr>
      <w:r>
        <w:drawing>
          <wp:inline distT="0" distB="0" distL="0" distR="0">
            <wp:extent cx="6238875"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38875" cy="3857625"/>
                    </a:xfrm>
                    <a:prstGeom prst="rect">
                      <a:avLst/>
                    </a:prstGeom>
                  </pic:spPr>
                </pic:pic>
              </a:graphicData>
            </a:graphic>
          </wp:inline>
        </w:drawing>
      </w:r>
    </w:p>
    <w:p>
      <w:pPr>
        <w:bidi/>
        <w:spacing w:after="200" w:before="0" w:line="300"/>
        <w:jc w:val="both"/>
      </w:pPr>
      <w:r>
        <w:rPr>
          <w:rFonts w:ascii="Arial" w:cs="Arial" w:hAnsi="Arial"/>
          <w:b w:val="false"/>
          <w:i w:val="false"/>
          <w:color w:val="77817A"/>
          <w:sz w:val="16"/>
          <w:szCs w:val="16"/>
          <w:rtl/>
        </w:rPr>
        <w:t xml:space="preserve">الأطراف في الربع الأيمن الأعلى تُدار باتصال مباشر ومنتظم؛ والأسر المستفيدة — رغم اهتمامها العالي — نفوذها التنظيمي منخفض، وهو ما يستوجب تمثيلها في لجنة الإشراف حتى لا تُصمَّم الخدمة بمعزل عن حاجتها الفعلية.</w:t>
      </w:r>
    </w:p>
    <w:p>
      <w:pPr>
        <w:keepNext/>
        <w:bidi/>
        <w:spacing w:after="60" w:before="160" w:line="300"/>
        <w:jc w:val="start"/>
      </w:pPr>
      <w:r>
        <w:rPr>
          <w:rFonts w:ascii="Arial" w:cs="Arial" w:hAnsi="Arial"/>
          <w:b/>
          <w:bCs/>
          <w:i w:val="false"/>
          <w:color w:val="8A6A12"/>
          <w:sz w:val="16"/>
          <w:szCs w:val="16"/>
          <w:rtl/>
        </w:rPr>
        <w:t xml:space="preserve">جدول 4 — مصفوفة أصحاب المصلحة واستراتيجية التعامل</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5"/>
        <w:gridCol w:w="2211"/>
        <w:gridCol w:w="2285"/>
        <w:gridCol w:w="3345"/>
      </w:tblGrid>
      <w:tr>
        <w:trPr>
          <w:tblHeader/>
        </w:trPr>
        <w:tc>
          <w:tcPr>
            <w:tcW w:type="dxa" w:w="202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الطرف</w:t>
            </w:r>
          </w:p>
        </w:tc>
        <w:tc>
          <w:tcPr>
            <w:tcW w:type="dxa" w:w="221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المصلحة</w:t>
            </w:r>
          </w:p>
        </w:tc>
        <w:tc>
          <w:tcPr>
            <w:tcW w:type="dxa" w:w="228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ما يقدّمه للمشروع</w:t>
            </w:r>
          </w:p>
        </w:tc>
        <w:tc>
          <w:tcPr>
            <w:tcW w:type="dxa" w:w="334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استراتيجية التعامل</w:t>
            </w:r>
          </w:p>
        </w:tc>
      </w:tr>
      <w:tr>
        <w:tc>
          <w:tcPr>
            <w:tcW w:type="dxa" w:w="202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الجهة المانحة</w:t>
            </w:r>
          </w:p>
        </w:tc>
        <w:tc>
          <w:tcPr>
            <w:tcW w:type="dxa" w:w="22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أثر تنموي موثّق ومستدام</w:t>
            </w:r>
          </w:p>
        </w:tc>
        <w:tc>
          <w:tcPr>
            <w:tcW w:type="dxa" w:w="228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60٪ من التمويل التأسيسي</w:t>
            </w:r>
          </w:p>
        </w:tc>
        <w:tc>
          <w:tcPr>
            <w:tcW w:type="dxa" w:w="334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تقارير ربعية بمؤشرات كمية + زيارات ميدانية + صرف مرتبط بالمعالم</w:t>
            </w:r>
          </w:p>
        </w:tc>
      </w:tr>
      <w:tr>
        <w:tc>
          <w:tcPr>
            <w:tcW w:type="dxa" w:w="202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الجهة التنظيمية والرقابية</w:t>
            </w:r>
          </w:p>
        </w:tc>
        <w:tc>
          <w:tcPr>
            <w:tcW w:type="dxa" w:w="22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الامتثال لاشتراطات الغذاء والسلامة</w:t>
            </w:r>
          </w:p>
        </w:tc>
        <w:tc>
          <w:tcPr>
            <w:tcW w:type="dxa" w:w="228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التراخيص والاعتمادات</w:t>
            </w:r>
          </w:p>
        </w:tc>
        <w:tc>
          <w:tcPr>
            <w:tcW w:type="dxa" w:w="334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إشراك مبكر في مرحلة التصميم قبل التنفيذ لتجنّب إعادة العمل</w:t>
            </w:r>
          </w:p>
        </w:tc>
      </w:tr>
      <w:tr>
        <w:tc>
          <w:tcPr>
            <w:tcW w:type="dxa" w:w="202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مجلس إدارة الجمعية</w:t>
            </w:r>
          </w:p>
        </w:tc>
        <w:tc>
          <w:tcPr>
            <w:tcW w:type="dxa" w:w="22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استدامة مالية وسمعة مؤسسية</w:t>
            </w:r>
          </w:p>
        </w:tc>
        <w:tc>
          <w:tcPr>
            <w:tcW w:type="dxa" w:w="228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الحوكمة والمقر والمساهمة</w:t>
            </w:r>
          </w:p>
        </w:tc>
        <w:tc>
          <w:tcPr>
            <w:tcW w:type="dxa" w:w="334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تقرير أداء شهري ولجنة إشراف مشكَّلة من المجلس</w:t>
            </w:r>
          </w:p>
        </w:tc>
      </w:tr>
      <w:tr>
        <w:tc>
          <w:tcPr>
            <w:tcW w:type="dxa" w:w="202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العملاء المؤسسيون</w:t>
            </w:r>
          </w:p>
        </w:tc>
        <w:tc>
          <w:tcPr>
            <w:tcW w:type="dxa" w:w="22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مورّد موثوق بسعر تنافسي</w:t>
            </w:r>
          </w:p>
        </w:tc>
        <w:tc>
          <w:tcPr>
            <w:tcW w:type="dxa" w:w="228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44٪ من الإيراد المتكرر</w:t>
            </w:r>
          </w:p>
        </w:tc>
        <w:tc>
          <w:tcPr>
            <w:tcW w:type="dxa" w:w="334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عقود سنوية + اتفاقية مستوى خدمة + مراجعة أداء نصف سنوية</w:t>
            </w:r>
          </w:p>
        </w:tc>
      </w:tr>
      <w:tr>
        <w:tc>
          <w:tcPr>
            <w:tcW w:type="dxa" w:w="202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الأسر المنتجة المستفيدة</w:t>
            </w:r>
          </w:p>
        </w:tc>
        <w:tc>
          <w:tcPr>
            <w:tcW w:type="dxa" w:w="22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دخل مستقر وكرامة عمل</w:t>
            </w:r>
          </w:p>
        </w:tc>
        <w:tc>
          <w:tcPr>
            <w:tcW w:type="dxa" w:w="228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الطاقة الإنتاجية والمهارة</w:t>
            </w:r>
          </w:p>
        </w:tc>
        <w:tc>
          <w:tcPr>
            <w:tcW w:type="dxa" w:w="334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تمثيل في لجنة الإشراف + عقود شفافة + آلية تظلّم</w:t>
            </w:r>
          </w:p>
        </w:tc>
      </w:tr>
      <w:tr>
        <w:tc>
          <w:tcPr>
            <w:tcW w:type="dxa" w:w="202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المتدربات والخريجات</w:t>
            </w:r>
          </w:p>
        </w:tc>
        <w:tc>
          <w:tcPr>
            <w:tcW w:type="dxa" w:w="22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مهارة معتمدة وفرصة عمل</w:t>
            </w:r>
          </w:p>
        </w:tc>
        <w:tc>
          <w:tcPr>
            <w:tcW w:type="dxa" w:w="228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خزّان الكفاءات المستقبلي</w:t>
            </w:r>
          </w:p>
        </w:tc>
        <w:tc>
          <w:tcPr>
            <w:tcW w:type="dxa" w:w="334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مسار تأهيل متدرّج + ربط بالتوظيف أو التعاقد</w:t>
            </w:r>
          </w:p>
        </w:tc>
      </w:tr>
      <w:tr>
        <w:tc>
          <w:tcPr>
            <w:tcW w:type="dxa" w:w="202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شركاء القطاع الخاص</w:t>
            </w:r>
          </w:p>
        </w:tc>
        <w:tc>
          <w:tcPr>
            <w:tcW w:type="dxa" w:w="22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أثر مجتمعي موثّق</w:t>
            </w:r>
          </w:p>
        </w:tc>
        <w:tc>
          <w:tcPr>
            <w:tcW w:type="dxa" w:w="228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15٪ من التمويل + خبرة فنية</w:t>
            </w:r>
          </w:p>
        </w:tc>
        <w:tc>
          <w:tcPr>
            <w:tcW w:type="dxa" w:w="334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اتفاقية شراكة معلنة + تقرير أثر سنوي مخصّص</w:t>
            </w:r>
          </w:p>
        </w:tc>
      </w:tr>
      <w:tr>
        <w:tc>
          <w:tcPr>
            <w:tcW w:type="dxa" w:w="202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الموردون الرئيسيون</w:t>
            </w:r>
          </w:p>
        </w:tc>
        <w:tc>
          <w:tcPr>
            <w:tcW w:type="dxa" w:w="22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حجم شراء ثابت</w:t>
            </w:r>
          </w:p>
        </w:tc>
        <w:tc>
          <w:tcPr>
            <w:tcW w:type="dxa" w:w="228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استقرار التكلفة والجودة</w:t>
            </w:r>
          </w:p>
        </w:tc>
        <w:tc>
          <w:tcPr>
            <w:tcW w:type="dxa" w:w="334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تعاقد سنوي بأسعار مثبّتة + تعدد المصادر لكل صنف حرج</w:t>
            </w:r>
          </w:p>
        </w:tc>
      </w:tr>
      <w:tr>
        <w:tc>
          <w:tcPr>
            <w:tcW w:type="dxa" w:w="202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المستهلك النهائي</w:t>
            </w:r>
          </w:p>
        </w:tc>
        <w:tc>
          <w:tcPr>
            <w:tcW w:type="dxa" w:w="22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جودة وسلامة وسعر عادل</w:t>
            </w:r>
          </w:p>
        </w:tc>
        <w:tc>
          <w:tcPr>
            <w:tcW w:type="dxa" w:w="228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الإيراد والسمعة</w:t>
            </w:r>
          </w:p>
        </w:tc>
        <w:tc>
          <w:tcPr>
            <w:tcW w:type="dxa" w:w="334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شفافية المصدر على العبوة + قناة شكاوى + استرجاع</w:t>
            </w:r>
          </w:p>
        </w:tc>
      </w:tr>
    </w:tbl>
    <w:p>
      <w:pPr>
        <w:bidi/>
        <w:spacing w:after="14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الفئات المستهدفة ومعايير الاستحقاق</w:t>
      </w:r>
    </w:p>
    <w:p>
      <w:pPr>
        <w:bidi/>
        <w:spacing w:after="140" w:before="0" w:line="300"/>
        <w:jc w:val="both"/>
      </w:pPr>
      <w:r>
        <w:rPr>
          <w:rFonts w:ascii="Arial" w:cs="Arial" w:hAnsi="Arial"/>
          <w:b w:val="false"/>
          <w:i w:val="false"/>
          <w:color w:val="48534C"/>
          <w:sz w:val="20"/>
          <w:szCs w:val="20"/>
          <w:rtl/>
        </w:rPr>
        <w:t xml:space="preserve">يميّز المشروع بين ثلاث شرائح مستهدفة لكل منها مسار خدمة ومعيار استحقاق ومؤشر نجاح مختلف — وهو تمييز جوهري، إذ إن قياس نجاح الشريحة الأولى بمؤشر الشريحة الثالثة هو أكثر أخطاء التقييم شيوعًا في هذا النوع من المشاريع:</w:t>
      </w:r>
    </w:p>
    <w:p>
      <w:pPr>
        <w:keepNext/>
        <w:bidi/>
        <w:spacing w:after="60" w:before="160" w:line="300"/>
        <w:jc w:val="start"/>
      </w:pPr>
      <w:r>
        <w:rPr>
          <w:rFonts w:ascii="Arial" w:cs="Arial" w:hAnsi="Arial"/>
          <w:b/>
          <w:bCs/>
          <w:i w:val="false"/>
          <w:color w:val="8A6A12"/>
          <w:sz w:val="16"/>
          <w:szCs w:val="16"/>
          <w:rtl/>
        </w:rPr>
        <w:t xml:space="preserve">جدول 5 — الشرائح المستهدفة ومعايير الاستحقاق ومؤشر النجاح</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0"/>
        <w:gridCol w:w="1145"/>
        <w:gridCol w:w="2679"/>
        <w:gridCol w:w="1975"/>
        <w:gridCol w:w="2007"/>
      </w:tblGrid>
      <w:tr>
        <w:trPr>
          <w:tblHeader/>
        </w:trPr>
        <w:tc>
          <w:tcPr>
            <w:tcW w:type="dxa" w:w="2060"/>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الشريحة</w:t>
            </w:r>
          </w:p>
        </w:tc>
        <w:tc>
          <w:tcPr>
            <w:tcW w:type="dxa" w:w="114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الحجم (5 سنوات)</w:t>
            </w:r>
          </w:p>
        </w:tc>
        <w:tc>
          <w:tcPr>
            <w:tcW w:type="dxa" w:w="267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معيار الاستحقاق</w:t>
            </w:r>
          </w:p>
        </w:tc>
        <w:tc>
          <w:tcPr>
            <w:tcW w:type="dxa" w:w="197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مسار الخدمة</w:t>
            </w:r>
          </w:p>
        </w:tc>
        <w:tc>
          <w:tcPr>
            <w:tcW w:type="dxa" w:w="2007"/>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مؤشر النجاح</w:t>
            </w:r>
          </w:p>
        </w:tc>
      </w:tr>
      <w:tr>
        <w:tc>
          <w:tcPr>
            <w:tcW w:type="dxa" w:w="20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أ · المنتِجة الناشئة</w:t>
            </w:r>
            <w:r>
              <w:rPr>
                <w:rFonts w:ascii="Arial" w:cs="Arial" w:hAnsi="Arial"/>
                <w:b w:val="false"/>
                <w:i w:val="false"/>
                <w:color w:val="48534C"/>
                <w:sz w:val="17"/>
                <w:szCs w:val="17"/>
                <w:rtl/>
              </w:rPr>
              <w:t xml:space="preserve">مهارة منزلية دون نشاط تجاري</w:t>
            </w:r>
          </w:p>
        </w:tc>
        <w:tc>
          <w:tcPr>
            <w:tcW w:type="dxa" w:w="114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1,805 متدربة</w:t>
            </w:r>
          </w:p>
        </w:tc>
        <w:tc>
          <w:tcPr>
            <w:tcW w:type="dxa" w:w="267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مسجّلة في نطاق الخدمة · دخل أسري دون حد الاستحقاق · لا تملك سجلًا تجاريًا</w:t>
            </w:r>
          </w:p>
        </w:tc>
        <w:tc>
          <w:tcPr>
            <w:tcW w:type="dxa" w:w="197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مسار تأهيل من 3 مراحل (60 ساعة)</w:t>
            </w:r>
          </w:p>
        </w:tc>
        <w:tc>
          <w:tcPr>
            <w:tcW w:type="dxa" w:w="200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اجتياز التقييم المهني ‏≥ 80٪</w:t>
            </w:r>
          </w:p>
        </w:tc>
      </w:tr>
      <w:tr>
        <w:tc>
          <w:tcPr>
            <w:tcW w:type="dxa" w:w="20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ب · الأسرة المتعاقدة</w:t>
            </w:r>
            <w:r>
              <w:rPr>
                <w:rFonts w:ascii="Arial" w:cs="Arial" w:hAnsi="Arial"/>
                <w:b w:val="false"/>
                <w:i w:val="false"/>
                <w:color w:val="48534C"/>
                <w:sz w:val="17"/>
                <w:szCs w:val="17"/>
                <w:rtl/>
              </w:rPr>
              <w:t xml:space="preserve">تنتج فعليًا عبر المركز</w:t>
            </w:r>
          </w:p>
        </w:tc>
        <w:tc>
          <w:tcPr>
            <w:tcW w:type="dxa" w:w="114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280 أسرة</w:t>
            </w:r>
          </w:p>
        </w:tc>
        <w:tc>
          <w:tcPr>
            <w:tcW w:type="dxa" w:w="267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اجتياز المسار التأهيلي · شهادة صحية سارية · التزام بحد أدنى من ساعات الإنتاج</w:t>
            </w:r>
          </w:p>
        </w:tc>
        <w:tc>
          <w:tcPr>
            <w:tcW w:type="dxa" w:w="197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محطة تصنيع + أجر قطعة + حصة مبيعات</w:t>
            </w:r>
          </w:p>
        </w:tc>
        <w:tc>
          <w:tcPr>
            <w:tcW w:type="dxa" w:w="200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متوسط دخل شهري ‏≥ 3,000 ر.س بعد 12 شهرًا</w:t>
            </w:r>
          </w:p>
        </w:tc>
      </w:tr>
      <w:tr>
        <w:tc>
          <w:tcPr>
            <w:tcW w:type="dxa" w:w="20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ج · الأسرة المستقلة</w:t>
            </w:r>
            <w:r>
              <w:rPr>
                <w:rFonts w:ascii="Arial" w:cs="Arial" w:hAnsi="Arial"/>
                <w:b w:val="false"/>
                <w:i w:val="false"/>
                <w:color w:val="48534C"/>
                <w:sz w:val="17"/>
                <w:szCs w:val="17"/>
                <w:rtl/>
              </w:rPr>
              <w:t xml:space="preserve">تخرّجت إلى نشاط مستقل</w:t>
            </w:r>
          </w:p>
        </w:tc>
        <w:tc>
          <w:tcPr>
            <w:tcW w:type="dxa" w:w="114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90 أسرة</w:t>
            </w:r>
          </w:p>
        </w:tc>
        <w:tc>
          <w:tcPr>
            <w:tcW w:type="dxa" w:w="267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18 شهرًا إنتاجًا متصلًا · سجل مبيعات مستقر · اجتياز تقييم الجاهزية</w:t>
            </w:r>
          </w:p>
        </w:tc>
        <w:tc>
          <w:tcPr>
            <w:tcW w:type="dxa" w:w="197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دعم استخراج سجل تجاري ووثيقة عمل حر + احتضان مؤقت</w:t>
            </w:r>
          </w:p>
        </w:tc>
        <w:tc>
          <w:tcPr>
            <w:tcW w:type="dxa" w:w="200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استمرار النشاط بعد 12 شهرًا من التخرّج ‏≥ 70٪</w:t>
            </w:r>
          </w:p>
        </w:tc>
      </w:tr>
    </w:tbl>
    <w:p>
      <w:pPr>
        <w:bidi/>
        <w:spacing w:after="140" w:before="0" w:line="300"/>
        <w:jc w:val="both"/>
      </w:pPr>
      <w:r>
        <w:rPr>
          <w:rFonts w:ascii="Arial" w:cs="Arial" w:hAnsi="Arial"/>
          <w:b w:val="false"/>
          <w:i w:val="false"/>
          <w:color w:val="48534C"/>
          <w:sz w:val="8"/>
          <w:szCs w:val="8"/>
          <w:rtl/>
        </w:rPr>
        <w:t xml:space="preserve"/>
      </w:r>
    </w:p>
    <w:p>
      <w:pPr>
        <w:bidi/>
        <w:spacing w:after="140" w:before="0" w:line="300"/>
        <w:jc w:val="both"/>
      </w:pPr>
      <w:r>
        <w:rPr>
          <w:rFonts w:ascii="Arial" w:cs="Arial" w:hAnsi="Arial"/>
          <w:b w:val="false"/>
          <w:i w:val="false"/>
          <w:color w:val="48534C"/>
          <w:sz w:val="20"/>
          <w:szCs w:val="20"/>
          <w:rtl/>
        </w:rPr>
        <w:t xml:space="preserve">ويُشترط في جميع الشرائح استيفاء ضوابط الحوكمة: التسجيل في منصة المستفيدين، وعدم الازدواج مع برنامج تمكين آخر لدى الجمعية في الفترة نفسها، وتوقيع ميثاق الالتزام بمعايير سلامة الغذاء.</w:t>
      </w:r>
    </w:p>
    <w:p>
      <w:pPr>
        <w:pStyle w:val="Heading1"/>
        <w:keepNext/>
        <w:pageBreakBefore/>
        <w:bidi/>
        <w:spacing w:after="60" w:before="0" w:line="300"/>
        <w:jc w:val="start"/>
        <w:outlineLvl w:val="0"/>
      </w:pPr>
      <w:r>
        <w:rPr>
          <w:rFonts w:ascii="Arial" w:cs="Arial" w:hAnsi="Arial"/>
          <w:b/>
          <w:bCs/>
          <w:i w:val="false"/>
          <w:color w:val="8A6A12"/>
          <w:sz w:val="30"/>
          <w:szCs w:val="30"/>
          <w:rtl/>
        </w:rPr>
        <w:t xml:space="preserve">06   </w:t>
      </w:r>
      <w:r>
        <w:rPr>
          <w:rFonts w:ascii="Arial" w:cs="Arial" w:hAnsi="Arial"/>
          <w:b/>
          <w:bCs/>
          <w:i w:val="false"/>
          <w:color w:val="0E5A49"/>
          <w:sz w:val="30"/>
          <w:szCs w:val="30"/>
          <w:rtl/>
        </w:rPr>
        <w:t xml:space="preserve">الأهداف ونظرية التغيير</w:t>
      </w:r>
    </w:p>
    <w:p>
      <w:pPr>
        <w:pBdr>
          <w:bottom w:val="single" w:color="DBE2DB" w:sz="6"/>
        </w:pBdr>
        <w:bidi/>
        <w:spacing w:after="260"/>
        <w:jc w:val="start"/>
      </w:pPr>
      <w:r>
        <w:rPr>
          <w:rFonts w:ascii="Arial" w:cs="Arial" w:hAnsi="Arial"/>
          <w:b w:val="false"/>
          <w:i w:val="false"/>
          <w:color w:val="77817A"/>
          <w:sz w:val="17"/>
          <w:szCs w:val="17"/>
          <w:rtl/>
        </w:rPr>
        <w:t xml:space="preserve">من المدخلات إلى الأثر — سلسلة سببية قابلة للاختبار</w:t>
      </w:r>
    </w:p>
    <w:p>
      <w:pPr>
        <w:pStyle w:val="Heading2"/>
        <w:keepNext/>
        <w:bidi/>
        <w:spacing w:after="120" w:before="300" w:line="300"/>
        <w:jc w:val="start"/>
        <w:outlineLvl w:val="1"/>
      </w:pPr>
      <w:r>
        <w:rPr>
          <w:rFonts w:ascii="Arial" w:cs="Arial" w:hAnsi="Arial"/>
          <w:b/>
          <w:bCs/>
          <w:i w:val="false"/>
          <w:color w:val="0E5A49"/>
          <w:sz w:val="24"/>
          <w:szCs w:val="24"/>
          <w:rtl/>
        </w:rPr>
        <w:t xml:space="preserve">الهدف التنموي العام</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c>
          <w:tcPr>
            <w:tcW w:type="dxa" w:w="9866"/>
            <w:tcBorders>
              <w:top w:val="single" w:color="DBE2DB" w:sz="4"/>
              <w:left w:val="single" w:color="DBE2DB" w:sz="4"/>
              <w:bottom w:val="single" w:color="DBE2DB" w:sz="4"/>
              <w:right w:val="single" w:color="0E5A49" w:sz="22"/>
            </w:tcBorders>
            <w:shd w:fill="FBFCFA" w:color="auto" w:val="clear"/>
            <w:tcMar>
              <w:top w:type="dxa" w:w="120"/>
              <w:left w:type="dxa" w:w="160"/>
              <w:bottom w:type="dxa" w:w="120"/>
              <w:right w:type="dxa" w:w="160"/>
            </w:tcMar>
          </w:tcPr>
          <w:p>
            <w:pPr>
              <w:bidi/>
              <w:spacing w:after="80" w:line="290"/>
              <w:jc w:val="both"/>
            </w:pPr>
            <w:r>
              <w:rPr>
                <w:rFonts w:ascii="Arial" w:cs="Arial" w:hAnsi="Arial"/>
                <w:b/>
                <w:bCs/>
                <w:i w:val="false"/>
                <w:color w:val="48534C"/>
                <w:sz w:val="18"/>
                <w:szCs w:val="18"/>
                <w:rtl/>
              </w:rPr>
              <w:t xml:space="preserve">تمكين الأسر منخفضة الدخل في منطقة الرياض اقتصاديًا عبر تحويل مهاراتها الإنتاجية المنزلية إلى نشاط اقتصادي نظامي مستدام، بما يرفع دخلها ويقلّل اعتمادها على المساعدات ويسهم في توطين سلاسل الغذاء المحلية.</w:t>
            </w:r>
          </w:p>
        </w:tc>
      </w:tr>
    </w:tbl>
    <w:p>
      <w:pPr>
        <w:bidi/>
        <w:spacing w:after="16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الأهداف الخاصة</w:t>
      </w:r>
    </w:p>
    <w:p>
      <w:pPr>
        <w:bidi/>
        <w:spacing w:after="140" w:before="0" w:line="300"/>
        <w:jc w:val="both"/>
      </w:pPr>
      <w:r>
        <w:rPr>
          <w:rFonts w:ascii="Arial" w:cs="Arial" w:hAnsi="Arial"/>
          <w:b w:val="false"/>
          <w:i w:val="false"/>
          <w:color w:val="48534C"/>
          <w:sz w:val="20"/>
          <w:szCs w:val="20"/>
          <w:rtl/>
        </w:rPr>
        <w:t xml:space="preserve">صيغت الأهداف وفق معيار «محدد · قابل للقياس · قابل للتحقيق · ذو صلة · محدد زمنيًا»، وكل هدف مرتبط بمؤشر واحد على الأقل في منظومة قياس الأداء:</w:t>
      </w:r>
    </w:p>
    <w:p>
      <w:pPr>
        <w:keepNext/>
        <w:bidi/>
        <w:spacing w:after="60" w:before="160" w:line="300"/>
        <w:jc w:val="start"/>
      </w:pPr>
      <w:r>
        <w:rPr>
          <w:rFonts w:ascii="Arial" w:cs="Arial" w:hAnsi="Arial"/>
          <w:b/>
          <w:bCs/>
          <w:i w:val="false"/>
          <w:color w:val="8A6A12"/>
          <w:sz w:val="16"/>
          <w:szCs w:val="16"/>
          <w:rtl/>
        </w:rPr>
        <w:t xml:space="preserve">جدول 6 — الأهداف الخاصة ومؤشرات تحققها</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8"/>
        <w:gridCol w:w="4347"/>
        <w:gridCol w:w="2608"/>
        <w:gridCol w:w="1753"/>
      </w:tblGrid>
      <w:tr>
        <w:trPr>
          <w:tblHeader/>
        </w:trPr>
        <w:tc>
          <w:tcPr>
            <w:tcW w:type="dxa" w:w="1158"/>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w:t>
            </w:r>
          </w:p>
        </w:tc>
        <w:tc>
          <w:tcPr>
            <w:tcW w:type="dxa" w:w="4347"/>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الهدف الخاص</w:t>
            </w:r>
          </w:p>
        </w:tc>
        <w:tc>
          <w:tcPr>
            <w:tcW w:type="dxa" w:w="2608"/>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المستهدف</w:t>
            </w:r>
          </w:p>
        </w:tc>
        <w:tc>
          <w:tcPr>
            <w:tcW w:type="dxa" w:w="1753"/>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الأفق</w:t>
            </w:r>
          </w:p>
        </w:tc>
      </w:tr>
      <w:tr>
        <w:tc>
          <w:tcPr>
            <w:tcW w:type="dxa" w:w="115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هـ1</w:t>
            </w:r>
          </w:p>
        </w:tc>
        <w:tc>
          <w:tcPr>
            <w:tcW w:type="dxa" w:w="434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تأسيس وتشغيل منشأة تصنيع غذائي مرخّصة ومطابقة لاشتراطات سلامة الغذاء</w:t>
            </w:r>
          </w:p>
        </w:tc>
        <w:tc>
          <w:tcPr>
            <w:tcW w:type="dxa" w:w="26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منشأة واحدة عاملة</w:t>
            </w:r>
          </w:p>
        </w:tc>
        <w:tc>
          <w:tcPr>
            <w:tcW w:type="dxa" w:w="175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الشهر 14</w:t>
            </w:r>
          </w:p>
        </w:tc>
      </w:tr>
      <w:tr>
        <w:tc>
          <w:tcPr>
            <w:tcW w:type="dxa" w:w="115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هـ2</w:t>
            </w:r>
          </w:p>
        </w:tc>
        <w:tc>
          <w:tcPr>
            <w:tcW w:type="dxa" w:w="434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تأهيل النساء المنتجات مهنيًا عبر مسار تدريبي معتمد ينتهي بشهادة</w:t>
            </w:r>
          </w:p>
        </w:tc>
        <w:tc>
          <w:tcPr>
            <w:tcW w:type="dxa" w:w="26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1,805 متدربة</w:t>
            </w:r>
          </w:p>
        </w:tc>
        <w:tc>
          <w:tcPr>
            <w:tcW w:type="dxa" w:w="175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السنة 5</w:t>
            </w:r>
          </w:p>
        </w:tc>
      </w:tr>
      <w:tr>
        <w:tc>
          <w:tcPr>
            <w:tcW w:type="dxa" w:w="115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هـ3</w:t>
            </w:r>
          </w:p>
        </w:tc>
        <w:tc>
          <w:tcPr>
            <w:tcW w:type="dxa" w:w="434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ربط الأسر المؤهَّلة بمنظومة إنتاج وتسويق تحقّق لها دخلًا شهريًا مستقرًا</w:t>
            </w:r>
          </w:p>
        </w:tc>
        <w:tc>
          <w:tcPr>
            <w:tcW w:type="dxa" w:w="26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280 أسرة متعاقدة</w:t>
            </w:r>
          </w:p>
        </w:tc>
        <w:tc>
          <w:tcPr>
            <w:tcW w:type="dxa" w:w="175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السنة 5</w:t>
            </w:r>
          </w:p>
        </w:tc>
      </w:tr>
      <w:tr>
        <w:tc>
          <w:tcPr>
            <w:tcW w:type="dxa" w:w="115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هـ4</w:t>
            </w:r>
          </w:p>
        </w:tc>
        <w:tc>
          <w:tcPr>
            <w:tcW w:type="dxa" w:w="434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رفع متوسط الدخل الشهري للأسرة المتعاقدة مقارنةً بخط الأساس</w:t>
            </w:r>
          </w:p>
        </w:tc>
        <w:tc>
          <w:tcPr>
            <w:tcW w:type="dxa" w:w="26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من 1,180 إلى 3,820 ر.س</w:t>
            </w:r>
          </w:p>
        </w:tc>
        <w:tc>
          <w:tcPr>
            <w:tcW w:type="dxa" w:w="175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السنة 5</w:t>
            </w:r>
          </w:p>
        </w:tc>
      </w:tr>
      <w:tr>
        <w:tc>
          <w:tcPr>
            <w:tcW w:type="dxa" w:w="115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هـ5</w:t>
            </w:r>
          </w:p>
        </w:tc>
        <w:tc>
          <w:tcPr>
            <w:tcW w:type="dxa" w:w="434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بناء قنوات بيع مؤسسية وتجزئة وإلكترونية مستدامة للمنتجات</w:t>
            </w:r>
          </w:p>
        </w:tc>
        <w:tc>
          <w:tcPr>
            <w:tcW w:type="dxa" w:w="26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14.2 مليون ر.س مبيعات</w:t>
            </w:r>
          </w:p>
        </w:tc>
        <w:tc>
          <w:tcPr>
            <w:tcW w:type="dxa" w:w="175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السنة 5</w:t>
            </w:r>
          </w:p>
        </w:tc>
      </w:tr>
      <w:tr>
        <w:tc>
          <w:tcPr>
            <w:tcW w:type="dxa" w:w="115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هـ6</w:t>
            </w:r>
          </w:p>
        </w:tc>
        <w:tc>
          <w:tcPr>
            <w:tcW w:type="dxa" w:w="434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تحقيق الاكتفاء التشغيلي الذاتي الكامل للمركز دون دعم متكرر</w:t>
            </w:r>
          </w:p>
        </w:tc>
        <w:tc>
          <w:tcPr>
            <w:tcW w:type="dxa" w:w="26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نسبة اكتفاء ‏≥ 100٪</w:t>
            </w:r>
          </w:p>
        </w:tc>
        <w:tc>
          <w:tcPr>
            <w:tcW w:type="dxa" w:w="175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السنة 2</w:t>
            </w:r>
          </w:p>
        </w:tc>
      </w:tr>
      <w:tr>
        <w:tc>
          <w:tcPr>
            <w:tcW w:type="dxa" w:w="115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هـ7</w:t>
            </w:r>
          </w:p>
        </w:tc>
        <w:tc>
          <w:tcPr>
            <w:tcW w:type="dxa" w:w="434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تخريج أسر إلى نشاط اقتصادي مستقل مسجَّل نظاميًا</w:t>
            </w:r>
          </w:p>
        </w:tc>
        <w:tc>
          <w:tcPr>
            <w:tcW w:type="dxa" w:w="26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90 أسرة مستقلة</w:t>
            </w:r>
          </w:p>
        </w:tc>
        <w:tc>
          <w:tcPr>
            <w:tcW w:type="dxa" w:w="175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السنة 5</w:t>
            </w:r>
          </w:p>
        </w:tc>
      </w:tr>
      <w:tr>
        <w:tc>
          <w:tcPr>
            <w:tcW w:type="dxa" w:w="115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هـ8</w:t>
            </w:r>
          </w:p>
        </w:tc>
        <w:tc>
          <w:tcPr>
            <w:tcW w:type="dxa" w:w="434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استحداث وظائف مباشرة دائمة داخل المركز</w:t>
            </w:r>
          </w:p>
        </w:tc>
        <w:tc>
          <w:tcPr>
            <w:tcW w:type="dxa" w:w="26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32 وظيفة</w:t>
            </w:r>
          </w:p>
        </w:tc>
        <w:tc>
          <w:tcPr>
            <w:tcW w:type="dxa" w:w="175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السنة 5</w:t>
            </w:r>
          </w:p>
        </w:tc>
      </w:tr>
    </w:tbl>
    <w:p>
      <w:pPr>
        <w:bidi/>
        <w:spacing w:after="140" w:before="0" w:line="300"/>
        <w:jc w:val="both"/>
      </w:pPr>
      <w:r>
        <w:rPr>
          <w:rFonts w:ascii="Arial" w:cs="Arial" w:hAnsi="Arial"/>
          <w:b w:val="false"/>
          <w:i w:val="false"/>
          <w:color w:val="48534C"/>
          <w:sz w:val="8"/>
          <w:szCs w:val="8"/>
          <w:rtl/>
        </w:rPr>
        <w:t xml:space="preserve"/>
      </w:r>
    </w:p>
    <w:p>
      <w:pPr>
        <w:keepNext/>
        <w:bidi/>
        <w:spacing w:after="100" w:before="200" w:line="300"/>
        <w:jc w:val="start"/>
      </w:pPr>
      <w:r>
        <w:rPr>
          <w:rFonts w:ascii="Arial" w:cs="Arial" w:hAnsi="Arial"/>
          <w:b/>
          <w:bCs/>
          <w:i w:val="false"/>
          <w:color w:val="8A6A12"/>
          <w:sz w:val="16"/>
          <w:szCs w:val="16"/>
          <w:rtl/>
        </w:rPr>
        <w:t xml:space="preserve">شكل 5  </w:t>
      </w:r>
      <w:r>
        <w:rPr>
          <w:rFonts w:ascii="Arial" w:cs="Arial" w:hAnsi="Arial"/>
          <w:b/>
          <w:bCs/>
          <w:i w:val="false"/>
          <w:color w:val="111A15"/>
          <w:sz w:val="18"/>
          <w:szCs w:val="18"/>
          <w:rtl/>
        </w:rPr>
        <w:t xml:space="preserve">نظرية التغيير — السلسلة السببية والافتراضات الحاكمة</w:t>
      </w:r>
    </w:p>
    <w:p>
      <w:pPr>
        <w:keepNext/>
        <w:bidi/>
        <w:spacing w:after="80"/>
        <w:jc w:val="center"/>
      </w:pPr>
      <w:r>
        <w:drawing>
          <wp:inline distT="0" distB="0" distL="0" distR="0">
            <wp:extent cx="623887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38875" cy="3781425"/>
                    </a:xfrm>
                    <a:prstGeom prst="rect">
                      <a:avLst/>
                    </a:prstGeom>
                  </pic:spPr>
                </pic:pic>
              </a:graphicData>
            </a:graphic>
          </wp:inline>
        </w:drawing>
      </w:r>
    </w:p>
    <w:p>
      <w:pPr>
        <w:bidi/>
        <w:spacing w:after="200" w:before="0" w:line="300"/>
        <w:jc w:val="both"/>
      </w:pPr>
      <w:r>
        <w:rPr>
          <w:rFonts w:ascii="Arial" w:cs="Arial" w:hAnsi="Arial"/>
          <w:b w:val="false"/>
          <w:i w:val="false"/>
          <w:color w:val="77817A"/>
          <w:sz w:val="16"/>
          <w:szCs w:val="16"/>
          <w:rtl/>
        </w:rPr>
        <w:t xml:space="preserve">الافتراضات ليست تحفّظًا شكليًا: كل افتراض منها يقابله خطر مسجَّل في سجل المخاطر وإجراء تخفيف محدد. والافتراض الأضعف — قبول السوق المؤسسي لمورّد ناشئ — هو ما تعالجه استراتيجية خطابات النوايا المسبقة قبل بدء التشغيل.</w:t>
      </w:r>
    </w:p>
    <w:p>
      <w:pPr>
        <w:pStyle w:val="Heading2"/>
        <w:keepNext/>
        <w:bidi/>
        <w:spacing w:after="120" w:before="300" w:line="300"/>
        <w:jc w:val="start"/>
        <w:outlineLvl w:val="1"/>
      </w:pPr>
      <w:r>
        <w:rPr>
          <w:rFonts w:ascii="Arial" w:cs="Arial" w:hAnsi="Arial"/>
          <w:b/>
          <w:bCs/>
          <w:i w:val="false"/>
          <w:color w:val="0E5A49"/>
          <w:sz w:val="24"/>
          <w:szCs w:val="24"/>
          <w:rtl/>
        </w:rPr>
        <w:t xml:space="preserve">الإطار المنطقي</w:t>
      </w:r>
    </w:p>
    <w:p>
      <w:pPr>
        <w:keepNext/>
        <w:bidi/>
        <w:spacing w:after="60" w:before="160" w:line="300"/>
        <w:jc w:val="start"/>
      </w:pPr>
      <w:r>
        <w:rPr>
          <w:rFonts w:ascii="Arial" w:cs="Arial" w:hAnsi="Arial"/>
          <w:b/>
          <w:bCs/>
          <w:i w:val="false"/>
          <w:color w:val="8A6A12"/>
          <w:sz w:val="16"/>
          <w:szCs w:val="16"/>
          <w:rtl/>
        </w:rPr>
        <w:t xml:space="preserve">جدول 7 — الإطار المنطقي للمشروع (المنطق الرأسي ووسائل التحقق)</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2289"/>
        <w:gridCol w:w="2414"/>
        <w:gridCol w:w="2188"/>
        <w:gridCol w:w="2025"/>
      </w:tblGrid>
      <w:tr>
        <w:trPr>
          <w:tblHeader/>
        </w:trPr>
        <w:tc>
          <w:tcPr>
            <w:tcW w:type="dxa" w:w="950"/>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المستوى</w:t>
            </w:r>
          </w:p>
        </w:tc>
        <w:tc>
          <w:tcPr>
            <w:tcW w:type="dxa" w:w="228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الوصف</w:t>
            </w:r>
          </w:p>
        </w:tc>
        <w:tc>
          <w:tcPr>
            <w:tcW w:type="dxa" w:w="2414"/>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المؤشر الموضوعي</w:t>
            </w:r>
          </w:p>
        </w:tc>
        <w:tc>
          <w:tcPr>
            <w:tcW w:type="dxa" w:w="2188"/>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وسيلة التحقّق</w:t>
            </w:r>
          </w:p>
        </w:tc>
        <w:tc>
          <w:tcPr>
            <w:tcW w:type="dxa" w:w="202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الافتراض</w:t>
            </w:r>
          </w:p>
        </w:tc>
      </w:tr>
      <w:tr>
        <w:tc>
          <w:tcPr>
            <w:tcW w:type="dxa" w:w="9866"/>
            <w:gridSpan w:val="5"/>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start"/>
            </w:pPr>
            <w:r>
              <w:rPr>
                <w:rFonts w:ascii="Arial" w:cs="Arial" w:hAnsi="Arial"/>
                <w:b w:val="false"/>
                <w:i w:val="false"/>
                <w:color w:val="111A15"/>
                <w:sz w:val="17"/>
                <w:szCs w:val="17"/>
                <w:rtl/>
              </w:rPr>
              <w:t xml:space="preserve">الأثر — التغيير طويل المدى</w:t>
            </w:r>
          </w:p>
        </w:tc>
      </w:tr>
      <w:tr>
        <w:tc>
          <w:tcPr>
            <w:tcW w:type="dxa" w:w="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الأثر</w:t>
            </w:r>
          </w:p>
        </w:tc>
        <w:tc>
          <w:tcPr>
            <w:tcW w:type="dxa" w:w="22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تحسّن مستدام في المستوى المعيشي للأسر المستهدفة وتراجع اعتمادها على المساعدات</w:t>
            </w:r>
          </w:p>
        </w:tc>
        <w:tc>
          <w:tcPr>
            <w:tcW w:type="dxa" w:w="24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انخفاض نسبة الأسر المتعاقدة الطالبة للمساعدة النقدية بمقدار 40٪</w:t>
            </w:r>
          </w:p>
        </w:tc>
        <w:tc>
          <w:tcPr>
            <w:tcW w:type="dxa" w:w="21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سجل المساعدات لدى الجمعية · تقييم أثر خارجي في السنة الثالثة</w:t>
            </w:r>
          </w:p>
        </w:tc>
        <w:tc>
          <w:tcPr>
            <w:tcW w:type="dxa" w:w="202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عدم حدوث صدمة اقتصادية كلية</w:t>
            </w:r>
          </w:p>
        </w:tc>
      </w:tr>
      <w:tr>
        <w:tc>
          <w:tcPr>
            <w:tcW w:type="dxa" w:w="9866"/>
            <w:gridSpan w:val="5"/>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start"/>
            </w:pPr>
            <w:r>
              <w:rPr>
                <w:rFonts w:ascii="Arial" w:cs="Arial" w:hAnsi="Arial"/>
                <w:b w:val="false"/>
                <w:i w:val="false"/>
                <w:color w:val="111A15"/>
                <w:sz w:val="17"/>
                <w:szCs w:val="17"/>
                <w:rtl/>
              </w:rPr>
              <w:t xml:space="preserve">النتائج — التغيير متوسط المدى</w:t>
            </w:r>
          </w:p>
        </w:tc>
      </w:tr>
      <w:tr>
        <w:tc>
          <w:tcPr>
            <w:tcW w:type="dxa" w:w="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نتيجة 1</w:t>
            </w:r>
          </w:p>
        </w:tc>
        <w:tc>
          <w:tcPr>
            <w:tcW w:type="dxa" w:w="22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ارتفاع دخل الأسرة المنتجة واستقراره</w:t>
            </w:r>
          </w:p>
        </w:tc>
        <w:tc>
          <w:tcPr>
            <w:tcW w:type="dxa" w:w="24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متوسط الدخل الشهري ‏≥ 3,820 ر.س · تباين شهري أقل من 20٪</w:t>
            </w:r>
          </w:p>
        </w:tc>
        <w:tc>
          <w:tcPr>
            <w:tcW w:type="dxa" w:w="21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كشوف المستحقات · استمارة المتابعة الربعية</w:t>
            </w:r>
          </w:p>
        </w:tc>
        <w:tc>
          <w:tcPr>
            <w:tcW w:type="dxa" w:w="202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التزام الأسر بساعات الإنتاج المتفق عليها</w:t>
            </w:r>
          </w:p>
        </w:tc>
      </w:tr>
      <w:tr>
        <w:tc>
          <w:tcPr>
            <w:tcW w:type="dxa" w:w="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نتيجة 2</w:t>
            </w:r>
          </w:p>
        </w:tc>
        <w:tc>
          <w:tcPr>
            <w:tcW w:type="dxa" w:w="22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اكتساب الأسرة القدرة على العمل النظامي المستقل</w:t>
            </w:r>
          </w:p>
        </w:tc>
        <w:tc>
          <w:tcPr>
            <w:tcW w:type="dxa" w:w="24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90 أسرة حاصلة على سجل تجاري أو وثيقة عمل حر</w:t>
            </w:r>
          </w:p>
        </w:tc>
        <w:tc>
          <w:tcPr>
            <w:tcW w:type="dxa" w:w="21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نسخ الوثائق النظامية · سجل التخرّج</w:t>
            </w:r>
          </w:p>
        </w:tc>
        <w:tc>
          <w:tcPr>
            <w:tcW w:type="dxa" w:w="202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استمرار تيسير إجراءات التسجيل</w:t>
            </w:r>
          </w:p>
        </w:tc>
      </w:tr>
      <w:tr>
        <w:tc>
          <w:tcPr>
            <w:tcW w:type="dxa" w:w="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نتيجة 3</w:t>
            </w:r>
          </w:p>
        </w:tc>
        <w:tc>
          <w:tcPr>
            <w:tcW w:type="dxa" w:w="22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استدامة المركز ماليًا دون دعم متكرر</w:t>
            </w:r>
          </w:p>
        </w:tc>
        <w:tc>
          <w:tcPr>
            <w:tcW w:type="dxa" w:w="24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الاكتفاء التشغيلي الذاتي ‏≥ 100٪ من السنة الثانية</w:t>
            </w:r>
          </w:p>
        </w:tc>
        <w:tc>
          <w:tcPr>
            <w:tcW w:type="dxa" w:w="21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القوائم المالية المدققة</w:t>
            </w:r>
          </w:p>
        </w:tc>
        <w:tc>
          <w:tcPr>
            <w:tcW w:type="dxa" w:w="202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تحقّق مستهدفات المبيعات ضمن السيناريو الأساسي</w:t>
            </w:r>
          </w:p>
        </w:tc>
      </w:tr>
      <w:tr>
        <w:tc>
          <w:tcPr>
            <w:tcW w:type="dxa" w:w="9866"/>
            <w:gridSpan w:val="5"/>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start"/>
            </w:pPr>
            <w:r>
              <w:rPr>
                <w:rFonts w:ascii="Arial" w:cs="Arial" w:hAnsi="Arial"/>
                <w:b w:val="false"/>
                <w:i w:val="false"/>
                <w:color w:val="111A15"/>
                <w:sz w:val="17"/>
                <w:szCs w:val="17"/>
                <w:rtl/>
              </w:rPr>
              <w:t xml:space="preserve">المخرجات — ما ينتجه المشروع مباشرة</w:t>
            </w:r>
          </w:p>
        </w:tc>
      </w:tr>
      <w:tr>
        <w:tc>
          <w:tcPr>
            <w:tcW w:type="dxa" w:w="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مخرج 1</w:t>
            </w:r>
          </w:p>
        </w:tc>
        <w:tc>
          <w:tcPr>
            <w:tcW w:type="dxa" w:w="22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منشأة تصنيع غذائي مرخّصة وعاملة بكامل خطوطها</w:t>
            </w:r>
          </w:p>
        </w:tc>
        <w:tc>
          <w:tcPr>
            <w:tcW w:type="dxa" w:w="24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4 خطوط إنتاج مشغّلة · رخصة سارية · شهادة ISO 22000</w:t>
            </w:r>
          </w:p>
        </w:tc>
        <w:tc>
          <w:tcPr>
            <w:tcW w:type="dxa" w:w="21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الرخص والشهادات · تقارير التشغيل</w:t>
            </w:r>
          </w:p>
        </w:tc>
        <w:tc>
          <w:tcPr>
            <w:tcW w:type="dxa" w:w="202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عدم تأخّر التراخيص عن الشهر الخامس</w:t>
            </w:r>
          </w:p>
        </w:tc>
      </w:tr>
      <w:tr>
        <w:tc>
          <w:tcPr>
            <w:tcW w:type="dxa" w:w="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مخرج 2</w:t>
            </w:r>
          </w:p>
        </w:tc>
        <w:tc>
          <w:tcPr>
            <w:tcW w:type="dxa" w:w="22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كوادر نسائية مؤهَّلة مهنيًا</w:t>
            </w:r>
          </w:p>
        </w:tc>
        <w:tc>
          <w:tcPr>
            <w:tcW w:type="dxa" w:w="24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1,805 متدربات · نسبة اجتياز ‏≥ 80٪</w:t>
            </w:r>
          </w:p>
        </w:tc>
        <w:tc>
          <w:tcPr>
            <w:tcW w:type="dxa" w:w="21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سجل التدريب · نتائج التقييم المهني</w:t>
            </w:r>
          </w:p>
        </w:tc>
        <w:tc>
          <w:tcPr>
            <w:tcW w:type="dxa" w:w="202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توفّر إقبال كافٍ على البرامج</w:t>
            </w:r>
          </w:p>
        </w:tc>
      </w:tr>
      <w:tr>
        <w:tc>
          <w:tcPr>
            <w:tcW w:type="dxa" w:w="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مخرج 3</w:t>
            </w:r>
          </w:p>
        </w:tc>
        <w:tc>
          <w:tcPr>
            <w:tcW w:type="dxa" w:w="22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منظومة إنتاج وتسويق تربط الأسرة بالسوق</w:t>
            </w:r>
          </w:p>
        </w:tc>
        <w:tc>
          <w:tcPr>
            <w:tcW w:type="dxa" w:w="24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280 أسرة متعاقدة · 14.2 مليون ر.س مبيعات</w:t>
            </w:r>
          </w:p>
        </w:tc>
        <w:tc>
          <w:tcPr>
            <w:tcW w:type="dxa" w:w="21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العقود · تقارير المبيعات · نظام ERP</w:t>
            </w:r>
          </w:p>
        </w:tc>
        <w:tc>
          <w:tcPr>
            <w:tcW w:type="dxa" w:w="202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قبول السوق للمنتج بالسعر المخطط</w:t>
            </w:r>
          </w:p>
        </w:tc>
      </w:tr>
      <w:tr>
        <w:tc>
          <w:tcPr>
            <w:tcW w:type="dxa" w:w="9866"/>
            <w:gridSpan w:val="5"/>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start"/>
            </w:pPr>
            <w:r>
              <w:rPr>
                <w:rFonts w:ascii="Arial" w:cs="Arial" w:hAnsi="Arial"/>
                <w:b w:val="false"/>
                <w:i w:val="false"/>
                <w:color w:val="111A15"/>
                <w:sz w:val="17"/>
                <w:szCs w:val="17"/>
                <w:rtl/>
              </w:rPr>
              <w:t xml:space="preserve">الأنشطة والمدخلات</w:t>
            </w:r>
          </w:p>
        </w:tc>
      </w:tr>
      <w:tr>
        <w:tc>
          <w:tcPr>
            <w:tcW w:type="dxa" w:w="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الأنشطة</w:t>
            </w:r>
          </w:p>
        </w:tc>
        <w:tc>
          <w:tcPr>
            <w:tcW w:type="dxa" w:w="22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20 نشاطًا موزّعة على 6 محاور تنفيذية</w:t>
            </w:r>
          </w:p>
        </w:tc>
        <w:tc>
          <w:tcPr>
            <w:tcW w:type="dxa" w:w="24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إنجاز الجدول الزمني ‏≥ 90٪</w:t>
            </w:r>
          </w:p>
        </w:tc>
        <w:tc>
          <w:tcPr>
            <w:tcW w:type="dxa" w:w="21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تقارير المتابعة الشهرية · لوحة المعالم</w:t>
            </w:r>
          </w:p>
        </w:tc>
        <w:tc>
          <w:tcPr>
            <w:tcW w:type="dxa" w:w="202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توفّر التمويل في مواعيد الدفعات</w:t>
            </w:r>
          </w:p>
        </w:tc>
      </w:tr>
      <w:tr>
        <w:tc>
          <w:tcPr>
            <w:tcW w:type="dxa" w:w="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المدخلات</w:t>
            </w:r>
          </w:p>
        </w:tc>
        <w:tc>
          <w:tcPr>
            <w:tcW w:type="dxa" w:w="22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تمويل 7.5 مليون ر.س · مقر · معدات · فريق</w:t>
            </w:r>
          </w:p>
        </w:tc>
        <w:tc>
          <w:tcPr>
            <w:tcW w:type="dxa" w:w="24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صرف الموازنة مقابل الإنجاز ضمن ‏±10٪</w:t>
            </w:r>
          </w:p>
        </w:tc>
        <w:tc>
          <w:tcPr>
            <w:tcW w:type="dxa" w:w="21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القيود المحاسبية · تقرير المراجع الخارجي</w:t>
            </w:r>
          </w:p>
        </w:tc>
        <w:tc>
          <w:tcPr>
            <w:tcW w:type="dxa" w:w="202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التزام الممولين بجدول الصرف</w:t>
            </w:r>
          </w:p>
        </w:tc>
      </w:tr>
    </w:tbl>
    <w:p>
      <w:pPr>
        <w:bidi/>
        <w:spacing w:after="140" w:before="0" w:line="300"/>
        <w:jc w:val="both"/>
      </w:pPr>
      <w:r>
        <w:rPr>
          <w:rFonts w:ascii="Arial" w:cs="Arial" w:hAnsi="Arial"/>
          <w:b w:val="false"/>
          <w:i w:val="false"/>
          <w:color w:val="48534C"/>
          <w:sz w:val="8"/>
          <w:szCs w:val="8"/>
          <w:rtl/>
        </w:rPr>
        <w:t xml:space="preserve"/>
      </w:r>
    </w:p>
    <w:p>
      <w:pPr>
        <w:pStyle w:val="Heading1"/>
        <w:keepNext/>
        <w:pageBreakBefore/>
        <w:bidi/>
        <w:spacing w:after="60" w:before="0" w:line="300"/>
        <w:jc w:val="start"/>
        <w:outlineLvl w:val="0"/>
      </w:pPr>
      <w:r>
        <w:rPr>
          <w:rFonts w:ascii="Arial" w:cs="Arial" w:hAnsi="Arial"/>
          <w:b/>
          <w:bCs/>
          <w:i w:val="false"/>
          <w:color w:val="8A6A12"/>
          <w:sz w:val="30"/>
          <w:szCs w:val="30"/>
          <w:rtl/>
        </w:rPr>
        <w:t xml:space="preserve">07   </w:t>
      </w:r>
      <w:r>
        <w:rPr>
          <w:rFonts w:ascii="Arial" w:cs="Arial" w:hAnsi="Arial"/>
          <w:b/>
          <w:bCs/>
          <w:i w:val="false"/>
          <w:color w:val="0E5A49"/>
          <w:sz w:val="30"/>
          <w:szCs w:val="30"/>
          <w:rtl/>
        </w:rPr>
        <w:t xml:space="preserve">المخرجات والأنشطة</w:t>
      </w:r>
    </w:p>
    <w:p>
      <w:pPr>
        <w:pBdr>
          <w:bottom w:val="single" w:color="DBE2DB" w:sz="6"/>
        </w:pBdr>
        <w:bidi/>
        <w:spacing w:after="260"/>
        <w:jc w:val="start"/>
      </w:pPr>
      <w:r>
        <w:rPr>
          <w:rFonts w:ascii="Arial" w:cs="Arial" w:hAnsi="Arial"/>
          <w:b w:val="false"/>
          <w:i w:val="false"/>
          <w:color w:val="77817A"/>
          <w:sz w:val="17"/>
          <w:szCs w:val="17"/>
          <w:rtl/>
        </w:rPr>
        <w:t xml:space="preserve">ما الذي سيُنفَّذ فعليًا، وبأي كلفة، ومتى</w:t>
      </w:r>
    </w:p>
    <w:p>
      <w:pPr>
        <w:bidi/>
        <w:spacing w:after="140" w:before="0" w:line="300"/>
        <w:jc w:val="both"/>
      </w:pPr>
      <w:r>
        <w:rPr>
          <w:rFonts w:ascii="Arial" w:cs="Arial" w:hAnsi="Arial"/>
          <w:b w:val="false"/>
          <w:i w:val="false"/>
          <w:color w:val="111A15"/>
          <w:sz w:val="21"/>
          <w:szCs w:val="21"/>
          <w:rtl/>
        </w:rPr>
        <w:t xml:space="preserve">وُزّعت أنشطة المشروع على ستة محاور تنفيذية، كل محور له مالك مسؤول ضمن الهيكل التنظيمي وموازنة مخصصة ومعلم إنجاز قابل للتحقق. والموازنة المبيّنة أدناه هي موازنة </w:t>
      </w:r>
      <w:r>
        <w:rPr>
          <w:rFonts w:ascii="Arial" w:cs="Arial" w:hAnsi="Arial"/>
          <w:b/>
          <w:bCs/>
          <w:i w:val="false"/>
          <w:color w:val="111A15"/>
          <w:sz w:val="21"/>
          <w:szCs w:val="21"/>
          <w:rtl/>
        </w:rPr>
        <w:t xml:space="preserve">مرحلة التأسيس فقط</w:t>
      </w:r>
      <w:r>
        <w:rPr>
          <w:rFonts w:ascii="Arial" w:cs="Arial" w:hAnsi="Arial"/>
          <w:b w:val="false"/>
          <w:i w:val="false"/>
          <w:color w:val="111A15"/>
          <w:sz w:val="21"/>
          <w:szCs w:val="21"/>
          <w:rtl/>
        </w:rPr>
        <w:t xml:space="preserve"> (18 شهرًا)؛ أما تكاليف التشغيل المتكرر فترد في الدراسة المالية.</w:t>
      </w:r>
    </w:p>
    <w:p>
      <w:pPr>
        <w:keepNext/>
        <w:bidi/>
        <w:spacing w:after="60" w:before="160" w:line="300"/>
        <w:jc w:val="start"/>
      </w:pPr>
      <w:r>
        <w:rPr>
          <w:rFonts w:ascii="Arial" w:cs="Arial" w:hAnsi="Arial"/>
          <w:b/>
          <w:bCs/>
          <w:i w:val="false"/>
          <w:color w:val="8A6A12"/>
          <w:sz w:val="16"/>
          <w:szCs w:val="16"/>
          <w:rtl/>
        </w:rPr>
        <w:t xml:space="preserve">جدول 8 — المخرجات والأنشطة وموازنة مرحلة التأسيس (بالريال السعودي)</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7"/>
        <w:gridCol w:w="4077"/>
        <w:gridCol w:w="1069"/>
        <w:gridCol w:w="1086"/>
        <w:gridCol w:w="1217"/>
      </w:tblGrid>
      <w:tr>
        <w:trPr>
          <w:tblHeader/>
        </w:trPr>
        <w:tc>
          <w:tcPr>
            <w:tcW w:type="dxa" w:w="2417"/>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المحور / المخرج</w:t>
            </w:r>
          </w:p>
        </w:tc>
        <w:tc>
          <w:tcPr>
            <w:tcW w:type="dxa" w:w="4077"/>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الأنشطة</w:t>
            </w:r>
          </w:p>
        </w:tc>
        <w:tc>
          <w:tcPr>
            <w:tcW w:type="dxa" w:w="106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التوقيت</w:t>
            </w:r>
          </w:p>
        </w:tc>
        <w:tc>
          <w:tcPr>
            <w:tcW w:type="dxa" w:w="108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الموازنة</w:t>
            </w:r>
          </w:p>
        </w:tc>
        <w:tc>
          <w:tcPr>
            <w:tcW w:type="dxa" w:w="1217"/>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المسؤول</w:t>
            </w:r>
          </w:p>
        </w:tc>
      </w:tr>
      <w:tr>
        <w:tc>
          <w:tcPr>
            <w:tcW w:type="dxa" w:w="24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م1 · التأسيس والحوكمة</w:t>
            </w:r>
            <w:r>
              <w:rPr>
                <w:rFonts w:ascii="Arial" w:cs="Arial" w:hAnsi="Arial"/>
                <w:b w:val="false"/>
                <w:i w:val="false"/>
                <w:color w:val="48534C"/>
                <w:sz w:val="17"/>
                <w:szCs w:val="17"/>
                <w:rtl/>
              </w:rPr>
              <w:t xml:space="preserve">كيان مُدار بحوكمة واضحة</w:t>
            </w:r>
          </w:p>
        </w:tc>
        <w:tc>
          <w:tcPr>
            <w:tcW w:type="dxa" w:w="407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اعتماد الدراسة · تشكيل لجنة الإشراف · توقيع اتفاقية المنحة · فتح الحساب المخصص · استقطاب الفريق التأسيسي · اعتماد اللوائح والسياسات</w:t>
            </w:r>
          </w:p>
        </w:tc>
        <w:tc>
          <w:tcPr>
            <w:tcW w:type="dxa" w:w="10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 1 – 4</w:t>
            </w:r>
          </w:p>
        </w:tc>
        <w:tc>
          <w:tcPr>
            <w:tcW w:type="dxa" w:w="108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165,000</w:t>
            </w:r>
          </w:p>
        </w:tc>
        <w:tc>
          <w:tcPr>
            <w:tcW w:type="dxa" w:w="12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مجلس الإدارة</w:t>
            </w:r>
          </w:p>
        </w:tc>
      </w:tr>
      <w:tr>
        <w:tc>
          <w:tcPr>
            <w:tcW w:type="dxa" w:w="24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م2 · المقر والتراخيص</w:t>
            </w:r>
            <w:r>
              <w:rPr>
                <w:rFonts w:ascii="Arial" w:cs="Arial" w:hAnsi="Arial"/>
                <w:b w:val="false"/>
                <w:i w:val="false"/>
                <w:color w:val="48534C"/>
                <w:sz w:val="17"/>
                <w:szCs w:val="17"/>
                <w:rtl/>
              </w:rPr>
              <w:t xml:space="preserve">منشأة مطابقة ومرخّصة</w:t>
            </w:r>
          </w:p>
        </w:tc>
        <w:tc>
          <w:tcPr>
            <w:tcW w:type="dxa" w:w="407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تعاقد المقر · التصاميم الهندسية والمخططات التنفيذية · الرخصة البلدية والصحية · أعمال التشطيب والتحسينات · أنظمة السلامة والتهوية</w:t>
            </w:r>
          </w:p>
        </w:tc>
        <w:tc>
          <w:tcPr>
            <w:tcW w:type="dxa" w:w="10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 2 – 8</w:t>
            </w:r>
          </w:p>
        </w:tc>
        <w:tc>
          <w:tcPr>
            <w:tcW w:type="dxa" w:w="108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1,695,000</w:t>
            </w:r>
          </w:p>
        </w:tc>
        <w:tc>
          <w:tcPr>
            <w:tcW w:type="dxa" w:w="12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مدير المركز</w:t>
            </w:r>
          </w:p>
        </w:tc>
      </w:tr>
      <w:tr>
        <w:tc>
          <w:tcPr>
            <w:tcW w:type="dxa" w:w="24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م3 · التجهيز الفني</w:t>
            </w:r>
            <w:r>
              <w:rPr>
                <w:rFonts w:ascii="Arial" w:cs="Arial" w:hAnsi="Arial"/>
                <w:b w:val="false"/>
                <w:i w:val="false"/>
                <w:color w:val="48534C"/>
                <w:sz w:val="17"/>
                <w:szCs w:val="17"/>
                <w:rtl/>
              </w:rPr>
              <w:t xml:space="preserve">خطوط إنتاج جاهزة للتشغيل</w:t>
            </w:r>
          </w:p>
        </w:tc>
        <w:tc>
          <w:tcPr>
            <w:tcW w:type="dxa" w:w="407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المناقصات وترسية التوريد · توريد وتركيب المعدات وغرف التبريد · خط التعبئة · المختبر · اختبارات التشغيل والمعايرة · نظام HACCP والتتبّع وERP</w:t>
            </w:r>
          </w:p>
        </w:tc>
        <w:tc>
          <w:tcPr>
            <w:tcW w:type="dxa" w:w="10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 4 – 12</w:t>
            </w:r>
          </w:p>
        </w:tc>
        <w:tc>
          <w:tcPr>
            <w:tcW w:type="dxa" w:w="108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3,040,000</w:t>
            </w:r>
          </w:p>
        </w:tc>
        <w:tc>
          <w:tcPr>
            <w:tcW w:type="dxa" w:w="12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مدير التشغيل والإنتاج</w:t>
            </w:r>
          </w:p>
        </w:tc>
      </w:tr>
      <w:tr>
        <w:tc>
          <w:tcPr>
            <w:tcW w:type="dxa" w:w="24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م4 · التمكين والتشغيل</w:t>
            </w:r>
            <w:r>
              <w:rPr>
                <w:rFonts w:ascii="Arial" w:cs="Arial" w:hAnsi="Arial"/>
                <w:b w:val="false"/>
                <w:i w:val="false"/>
                <w:color w:val="48534C"/>
                <w:sz w:val="17"/>
                <w:szCs w:val="17"/>
                <w:rtl/>
              </w:rPr>
              <w:t xml:space="preserve">مستفيدات مؤهَّلات ومتعاقدات</w:t>
            </w:r>
          </w:p>
        </w:tc>
        <w:tc>
          <w:tcPr>
            <w:tcW w:type="dxa" w:w="407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حصر المستفيدات والفرز · تصميم الحقائب التدريبية · تنفيذ البرنامج التأسيسي · التعاقد مع الدفعة الأولى · التشغيل التجريبي وضبط الجودة</w:t>
            </w:r>
          </w:p>
        </w:tc>
        <w:tc>
          <w:tcPr>
            <w:tcW w:type="dxa" w:w="10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 5 – 14</w:t>
            </w:r>
          </w:p>
        </w:tc>
        <w:tc>
          <w:tcPr>
            <w:tcW w:type="dxa" w:w="108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540,000</w:t>
            </w:r>
          </w:p>
        </w:tc>
        <w:tc>
          <w:tcPr>
            <w:tcW w:type="dxa" w:w="12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أخصائي التمكين</w:t>
            </w:r>
          </w:p>
        </w:tc>
      </w:tr>
      <w:tr>
        <w:tc>
          <w:tcPr>
            <w:tcW w:type="dxa" w:w="24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م5 · التسويق والسوق</w:t>
            </w:r>
            <w:r>
              <w:rPr>
                <w:rFonts w:ascii="Arial" w:cs="Arial" w:hAnsi="Arial"/>
                <w:b w:val="false"/>
                <w:i w:val="false"/>
                <w:color w:val="48534C"/>
                <w:sz w:val="17"/>
                <w:szCs w:val="17"/>
                <w:rtl/>
              </w:rPr>
              <w:t xml:space="preserve">علامة وقنوات بيع عاملة</w:t>
            </w:r>
          </w:p>
        </w:tc>
        <w:tc>
          <w:tcPr>
            <w:tcW w:type="dxa" w:w="407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بناء العلامة والهوية والتغليف · تسجيل العلامة التجارية · خطابات النوايا والتعاقدات المبكرة · إطلاق المتجر الإلكتروني · حملة الإطلاق</w:t>
            </w:r>
          </w:p>
        </w:tc>
        <w:tc>
          <w:tcPr>
            <w:tcW w:type="dxa" w:w="10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 5 – 15</w:t>
            </w:r>
          </w:p>
        </w:tc>
        <w:tc>
          <w:tcPr>
            <w:tcW w:type="dxa" w:w="108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435,000</w:t>
            </w:r>
          </w:p>
        </w:tc>
        <w:tc>
          <w:tcPr>
            <w:tcW w:type="dxa" w:w="12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مدير التسويق والمبيعات</w:t>
            </w:r>
          </w:p>
        </w:tc>
      </w:tr>
      <w:tr>
        <w:tc>
          <w:tcPr>
            <w:tcW w:type="dxa" w:w="24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م6 · الرصد والتقييم</w:t>
            </w:r>
            <w:r>
              <w:rPr>
                <w:rFonts w:ascii="Arial" w:cs="Arial" w:hAnsi="Arial"/>
                <w:b w:val="false"/>
                <w:i w:val="false"/>
                <w:color w:val="48534C"/>
                <w:sz w:val="17"/>
                <w:szCs w:val="17"/>
                <w:rtl/>
              </w:rPr>
              <w:t xml:space="preserve">منظومة قياس أثر موثوقة</w:t>
            </w:r>
          </w:p>
        </w:tc>
        <w:tc>
          <w:tcPr>
            <w:tcW w:type="dxa" w:w="407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بناء خط الأساس · تصميم منظومة المؤشرات · أدوات جمع البيانات · التقييم التكويني الأول · تقرير الأثر الأول</w:t>
            </w:r>
          </w:p>
        </w:tc>
        <w:tc>
          <w:tcPr>
            <w:tcW w:type="dxa" w:w="10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 3 – 18</w:t>
            </w:r>
          </w:p>
        </w:tc>
        <w:tc>
          <w:tcPr>
            <w:tcW w:type="dxa" w:w="108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125,750</w:t>
            </w:r>
          </w:p>
        </w:tc>
        <w:tc>
          <w:tcPr>
            <w:tcW w:type="dxa" w:w="12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أخصائي الرصد والتقييم</w:t>
            </w:r>
          </w:p>
        </w:tc>
      </w:tr>
      <w:tr>
        <w:tc>
          <w:tcPr>
            <w:tcW w:type="dxa" w:w="7563"/>
            <w:gridSpan w:val="3"/>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start"/>
            </w:pPr>
            <w:r>
              <w:rPr>
                <w:rFonts w:ascii="Arial" w:cs="Arial" w:hAnsi="Arial"/>
                <w:b/>
                <w:bCs/>
                <w:i w:val="false"/>
                <w:color w:val="111A15"/>
                <w:sz w:val="17"/>
                <w:szCs w:val="17"/>
                <w:rtl/>
              </w:rPr>
              <w:t xml:space="preserve">إجمالي موازنة التأسيس (رأسمالي + احتياطي طوارئ 5٪)</w:t>
            </w:r>
          </w:p>
        </w:tc>
        <w:tc>
          <w:tcPr>
            <w:tcW w:type="dxa" w:w="1086"/>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6,000,750</w:t>
            </w:r>
          </w:p>
        </w:tc>
        <w:tc>
          <w:tcPr>
            <w:tcW w:type="dxa" w:w="1217"/>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start"/>
            </w:pPr>
            <w:r>
              <w:rPr>
                <w:rFonts w:ascii="Arial" w:cs="Arial" w:hAnsi="Arial"/>
                <w:b/>
                <w:bCs/>
                <w:i w:val="false"/>
                <w:color w:val="111A15"/>
                <w:sz w:val="17"/>
                <w:szCs w:val="17"/>
                <w:rtl/>
              </w:rPr>
              <w:t xml:space="preserve"/>
            </w:r>
          </w:p>
        </w:tc>
      </w:tr>
      <w:tr>
        <w:tc>
          <w:tcPr>
            <w:tcW w:type="dxa" w:w="7563"/>
            <w:gridSpan w:val="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يُضاف: رأس المال العامل للدورة الأولى</w:t>
            </w:r>
          </w:p>
        </w:tc>
        <w:tc>
          <w:tcPr>
            <w:tcW w:type="dxa" w:w="108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749,250</w:t>
            </w:r>
          </w:p>
        </w:tc>
        <w:tc>
          <w:tcPr>
            <w:tcW w:type="dxa" w:w="12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
            </w:r>
          </w:p>
        </w:tc>
      </w:tr>
      <w:tr>
        <w:tc>
          <w:tcPr>
            <w:tcW w:type="dxa" w:w="7563"/>
            <w:gridSpan w:val="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يُضاف: جسر تشغيلي لتغطية عجز السنة الأولى</w:t>
            </w:r>
          </w:p>
        </w:tc>
        <w:tc>
          <w:tcPr>
            <w:tcW w:type="dxa" w:w="108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750,000</w:t>
            </w:r>
          </w:p>
        </w:tc>
        <w:tc>
          <w:tcPr>
            <w:tcW w:type="dxa" w:w="12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
            </w:r>
          </w:p>
        </w:tc>
      </w:tr>
      <w:tr>
        <w:tc>
          <w:tcPr>
            <w:tcW w:type="dxa" w:w="7563"/>
            <w:gridSpan w:val="3"/>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start"/>
            </w:pPr>
            <w:r>
              <w:rPr>
                <w:rFonts w:ascii="Arial" w:cs="Arial" w:hAnsi="Arial"/>
                <w:b/>
                <w:bCs/>
                <w:i w:val="false"/>
                <w:color w:val="111A15"/>
                <w:sz w:val="17"/>
                <w:szCs w:val="17"/>
                <w:rtl/>
              </w:rPr>
              <w:t xml:space="preserve">إجمالي التمويل المطلوب</w:t>
            </w:r>
          </w:p>
        </w:tc>
        <w:tc>
          <w:tcPr>
            <w:tcW w:type="dxa" w:w="1086"/>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7,500,000</w:t>
            </w:r>
          </w:p>
        </w:tc>
        <w:tc>
          <w:tcPr>
            <w:tcW w:type="dxa" w:w="1217"/>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start"/>
            </w:pPr>
            <w:r>
              <w:rPr>
                <w:rFonts w:ascii="Arial" w:cs="Arial" w:hAnsi="Arial"/>
                <w:b/>
                <w:bCs/>
                <w:i w:val="false"/>
                <w:color w:val="111A15"/>
                <w:sz w:val="17"/>
                <w:szCs w:val="17"/>
                <w:rtl/>
              </w:rPr>
              <w:t xml:space="preserve"/>
            </w:r>
          </w:p>
        </w:tc>
      </w:tr>
    </w:tbl>
    <w:p>
      <w:pPr>
        <w:bidi/>
        <w:spacing w:after="14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البرنامج التدريبي — بنية المسار التأهيلي</w:t>
      </w:r>
    </w:p>
    <w:p>
      <w:pPr>
        <w:bidi/>
        <w:spacing w:after="140" w:before="0" w:line="300"/>
        <w:jc w:val="both"/>
      </w:pPr>
      <w:r>
        <w:rPr>
          <w:rFonts w:ascii="Arial" w:cs="Arial" w:hAnsi="Arial"/>
          <w:b w:val="false"/>
          <w:i w:val="false"/>
          <w:color w:val="48534C"/>
          <w:sz w:val="20"/>
          <w:szCs w:val="20"/>
          <w:rtl/>
        </w:rPr>
        <w:t xml:space="preserve">المسار التأهيلي هو البوابة الإلزامية لكل من ترغب في التعاقد مع المركز، ويتكوّن من ثلاث مراحل متتابعة بإجمالي 60 ساعة تدريبية، ولا تُمنح الشهادة إلا باجتياز التقييم العملي في كل مرحلة:</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88"/>
        <w:gridCol w:w="3288"/>
        <w:gridCol w:w="3290"/>
      </w:tblGrid>
      <w:tr>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bCs/>
                <w:i w:val="false"/>
                <w:color w:val="8A6A12"/>
                <w:sz w:val="15"/>
                <w:szCs w:val="15"/>
                <w:rtl/>
              </w:rPr>
              <w:t xml:space="preserve">المرحلة الأولى · 16 ساعة</w:t>
            </w:r>
          </w:p>
          <w:p>
            <w:pPr>
              <w:bidi/>
              <w:spacing w:after="60" w:line="270"/>
              <w:jc w:val="start"/>
            </w:pPr>
            <w:r>
              <w:rPr>
                <w:rFonts w:ascii="Arial" w:cs="Arial" w:hAnsi="Arial"/>
                <w:b/>
                <w:bCs/>
                <w:i w:val="false"/>
                <w:color w:val="0E5A49"/>
                <w:sz w:val="18"/>
                <w:szCs w:val="18"/>
                <w:rtl/>
              </w:rPr>
              <w:t xml:space="preserve">سلامة الغذاء والاشتراطات</w:t>
            </w:r>
          </w:p>
          <w:p>
            <w:pPr>
              <w:bidi/>
              <w:spacing w:after="0" w:line="270"/>
              <w:jc w:val="both"/>
            </w:pPr>
            <w:r>
              <w:rPr>
                <w:rFonts w:ascii="Arial" w:cs="Arial" w:hAnsi="Arial"/>
                <w:b w:val="false"/>
                <w:i w:val="false"/>
                <w:color w:val="48534C"/>
                <w:sz w:val="16"/>
                <w:szCs w:val="16"/>
                <w:rtl/>
              </w:rPr>
              <w:t xml:space="preserve">الاشتراطات الصحية · التلوث المتقاطع · درجات الحرارة الآمنة · النظافة الشخصية · الشهادة الصحية. تنتهي باختبار تحريري وعملي، والاجتياز شرط لدخول منطقة الإنتاج.</w:t>
            </w:r>
          </w:p>
        </w:tc>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bCs/>
                <w:i w:val="false"/>
                <w:color w:val="8A6A12"/>
                <w:sz w:val="15"/>
                <w:szCs w:val="15"/>
                <w:rtl/>
              </w:rPr>
              <w:t xml:space="preserve">المرحلة الثانية · 28 ساعة</w:t>
            </w:r>
          </w:p>
          <w:p>
            <w:pPr>
              <w:bidi/>
              <w:spacing w:after="60" w:line="270"/>
              <w:jc w:val="start"/>
            </w:pPr>
            <w:r>
              <w:rPr>
                <w:rFonts w:ascii="Arial" w:cs="Arial" w:hAnsi="Arial"/>
                <w:b/>
                <w:bCs/>
                <w:i w:val="false"/>
                <w:color w:val="0E5A49"/>
                <w:sz w:val="18"/>
                <w:szCs w:val="18"/>
                <w:rtl/>
              </w:rPr>
              <w:t xml:space="preserve">التصنيع والجودة والإنتاجية</w:t>
            </w:r>
          </w:p>
          <w:p>
            <w:pPr>
              <w:bidi/>
              <w:spacing w:after="0" w:line="270"/>
              <w:jc w:val="both"/>
            </w:pPr>
            <w:r>
              <w:rPr>
                <w:rFonts w:ascii="Arial" w:cs="Arial" w:hAnsi="Arial"/>
                <w:b w:val="false"/>
                <w:i w:val="false"/>
                <w:color w:val="48534C"/>
                <w:sz w:val="16"/>
                <w:szCs w:val="16"/>
                <w:rtl/>
              </w:rPr>
              <w:t xml:space="preserve">تشغيل المعدات · الوصفات القياسية · ضبط الكميات والهدر · التعبئة والتوسيم · مراقبة الجودة · إدارة المخزون. تنتهي بإنتاج دفعة كاملة تحت الإشراف تُقيَّم فنيًا.</w:t>
            </w:r>
          </w:p>
        </w:tc>
        <w:tc>
          <w:tcPr>
            <w:tcW w:type="dxa" w:w="3290"/>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bCs/>
                <w:i w:val="false"/>
                <w:color w:val="8A6A12"/>
                <w:sz w:val="15"/>
                <w:szCs w:val="15"/>
                <w:rtl/>
              </w:rPr>
              <w:t xml:space="preserve">المرحلة الثالثة · 16 ساعة</w:t>
            </w:r>
          </w:p>
          <w:p>
            <w:pPr>
              <w:bidi/>
              <w:spacing w:after="60" w:line="270"/>
              <w:jc w:val="start"/>
            </w:pPr>
            <w:r>
              <w:rPr>
                <w:rFonts w:ascii="Arial" w:cs="Arial" w:hAnsi="Arial"/>
                <w:b/>
                <w:bCs/>
                <w:i w:val="false"/>
                <w:color w:val="0E5A49"/>
                <w:sz w:val="18"/>
                <w:szCs w:val="18"/>
                <w:rtl/>
              </w:rPr>
              <w:t xml:space="preserve">إدارة المشروع الصغير</w:t>
            </w:r>
          </w:p>
          <w:p>
            <w:pPr>
              <w:bidi/>
              <w:spacing w:after="0" w:line="270"/>
              <w:jc w:val="both"/>
            </w:pPr>
            <w:r>
              <w:rPr>
                <w:rFonts w:ascii="Arial" w:cs="Arial" w:hAnsi="Arial"/>
                <w:b w:val="false"/>
                <w:i w:val="false"/>
                <w:color w:val="48534C"/>
                <w:sz w:val="16"/>
                <w:szCs w:val="16"/>
                <w:rtl/>
              </w:rPr>
              <w:t xml:space="preserve">حساب التكلفة والتسعير · القراءة الأساسية للأرقام · التعامل مع العميل · التسويق الرقمي · المتطلبات النظامية للعمل الحر. تنتهي بخطة عمل مصغّرة للمستفيدة.</w:t>
            </w:r>
          </w:p>
        </w:tc>
      </w:tr>
    </w:tbl>
    <w:p>
      <w:pPr>
        <w:bidi/>
        <w:spacing w:after="160" w:before="0" w:line="300"/>
        <w:jc w:val="both"/>
      </w:pPr>
      <w:r>
        <w:rPr>
          <w:rFonts w:ascii="Arial" w:cs="Arial" w:hAnsi="Arial"/>
          <w:b w:val="false"/>
          <w:i w:val="false"/>
          <w:color w:val="48534C"/>
          <w:sz w:val="8"/>
          <w:szCs w:val="8"/>
          <w:rtl/>
        </w:rPr>
        <w:t xml:space="preserve"/>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c>
          <w:tcPr>
            <w:tcW w:type="dxa" w:w="9866"/>
            <w:tcBorders>
              <w:top w:val="single" w:color="DBE2DB" w:sz="4"/>
              <w:left w:val="single" w:color="DBE2DB" w:sz="4"/>
              <w:bottom w:val="single" w:color="DBE2DB" w:sz="4"/>
              <w:right w:val="single" w:color="8A6A12" w:sz="22"/>
            </w:tcBorders>
            <w:shd w:fill="FBFCFA" w:color="auto" w:val="clear"/>
            <w:tcMar>
              <w:top w:type="dxa" w:w="120"/>
              <w:left w:type="dxa" w:w="160"/>
              <w:bottom w:type="dxa" w:w="120"/>
              <w:right w:type="dxa" w:w="160"/>
            </w:tcMar>
          </w:tcPr>
          <w:p>
            <w:pPr>
              <w:bidi/>
              <w:spacing w:after="80" w:before="40" w:line="280"/>
              <w:jc w:val="start"/>
            </w:pPr>
            <w:r>
              <w:rPr>
                <w:rFonts w:ascii="Arial" w:cs="Arial" w:hAnsi="Arial"/>
                <w:b/>
                <w:bCs/>
                <w:i w:val="false"/>
                <w:color w:val="8A6A12"/>
                <w:sz w:val="19"/>
                <w:szCs w:val="19"/>
                <w:rtl/>
              </w:rPr>
              <w:t xml:space="preserve">لماذا التدريب وحده لا يكفي — وكيف عالجه التصميم</w:t>
            </w:r>
          </w:p>
          <w:p>
            <w:pPr>
              <w:bidi/>
              <w:spacing w:after="80" w:line="290"/>
              <w:jc w:val="both"/>
            </w:pPr>
            <w:r>
              <w:rPr>
                <w:rFonts w:ascii="Arial" w:cs="Arial" w:hAnsi="Arial"/>
                <w:b w:val="false"/>
                <w:i w:val="false"/>
                <w:color w:val="48534C"/>
                <w:sz w:val="18"/>
                <w:szCs w:val="18"/>
                <w:rtl/>
              </w:rPr>
              <w:t xml:space="preserve">تُظهر خبرة البرامج المماثلة أن الفجوة الحقيقية ليست في التدريب بل في </w:t>
            </w:r>
            <w:r>
              <w:rPr>
                <w:rFonts w:ascii="Arial" w:cs="Arial" w:hAnsi="Arial"/>
                <w:b/>
                <w:bCs/>
                <w:i w:val="false"/>
                <w:color w:val="48534C"/>
                <w:sz w:val="18"/>
                <w:szCs w:val="18"/>
                <w:rtl/>
              </w:rPr>
              <w:t xml:space="preserve">ما بعده</w:t>
            </w:r>
            <w:r>
              <w:rPr>
                <w:rFonts w:ascii="Arial" w:cs="Arial" w:hAnsi="Arial"/>
                <w:b w:val="false"/>
                <w:i w:val="false"/>
                <w:color w:val="48534C"/>
                <w:sz w:val="18"/>
                <w:szCs w:val="18"/>
                <w:rtl/>
              </w:rPr>
              <w:t xml:space="preserve">: تتخرّج المستفيدة بمهارة ثم لا تجد منشأة تنتج فيها ولا قناة تبيع عبرها، فتعود إلى نقطة البداية. ولذلك رُبط التدريب في هذا المشروع بعقد إنتاج فعلي — فالمتدربة التي تجتاز المسار تدخل مباشرة إلى محطة تصنيع وطلبية حقيقية، ولا يُحتسب التدريب مخرجًا ناجحًا إلا إذا أعقبه إنتاج.</w:t>
            </w:r>
          </w:p>
        </w:tc>
      </w:tr>
    </w:tbl>
    <w:p>
      <w:pPr>
        <w:bidi/>
        <w:spacing w:after="160" w:before="0" w:line="300"/>
        <w:jc w:val="both"/>
      </w:pPr>
      <w:r>
        <w:rPr>
          <w:rFonts w:ascii="Arial" w:cs="Arial" w:hAnsi="Arial"/>
          <w:b w:val="false"/>
          <w:i w:val="false"/>
          <w:color w:val="48534C"/>
          <w:sz w:val="8"/>
          <w:szCs w:val="8"/>
          <w:rtl/>
        </w:rPr>
        <w:t xml:space="preserve"/>
      </w:r>
    </w:p>
    <w:p>
      <w:pPr>
        <w:pStyle w:val="Heading1"/>
        <w:keepNext/>
        <w:pageBreakBefore/>
        <w:bidi/>
        <w:spacing w:after="60" w:before="0" w:line="300"/>
        <w:jc w:val="start"/>
        <w:outlineLvl w:val="0"/>
      </w:pPr>
      <w:r>
        <w:rPr>
          <w:rFonts w:ascii="Arial" w:cs="Arial" w:hAnsi="Arial"/>
          <w:b/>
          <w:bCs/>
          <w:i w:val="false"/>
          <w:color w:val="8A6A12"/>
          <w:sz w:val="30"/>
          <w:szCs w:val="30"/>
          <w:rtl/>
        </w:rPr>
        <w:t xml:space="preserve">08   </w:t>
      </w:r>
      <w:r>
        <w:rPr>
          <w:rFonts w:ascii="Arial" w:cs="Arial" w:hAnsi="Arial"/>
          <w:b/>
          <w:bCs/>
          <w:i w:val="false"/>
          <w:color w:val="0E5A49"/>
          <w:sz w:val="30"/>
          <w:szCs w:val="30"/>
          <w:rtl/>
        </w:rPr>
        <w:t xml:space="preserve">الدراسة السوقية</w:t>
      </w:r>
    </w:p>
    <w:p>
      <w:pPr>
        <w:pBdr>
          <w:bottom w:val="single" w:color="DBE2DB" w:sz="6"/>
        </w:pBdr>
        <w:bidi/>
        <w:spacing w:after="260"/>
        <w:jc w:val="start"/>
      </w:pPr>
      <w:r>
        <w:rPr>
          <w:rFonts w:ascii="Arial" w:cs="Arial" w:hAnsi="Arial"/>
          <w:b w:val="false"/>
          <w:i w:val="false"/>
          <w:color w:val="77817A"/>
          <w:sz w:val="17"/>
          <w:szCs w:val="17"/>
          <w:rtl/>
        </w:rPr>
        <w:t xml:space="preserve">حجم السوق · الطلب · العرض · الفجوة · بنية المنافسة</w:t>
      </w:r>
    </w:p>
    <w:p>
      <w:pPr>
        <w:bidi/>
        <w:spacing w:after="140" w:before="0" w:line="300"/>
        <w:jc w:val="both"/>
      </w:pPr>
      <w:r>
        <w:rPr>
          <w:rFonts w:ascii="Arial" w:cs="Arial" w:hAnsi="Arial"/>
          <w:b w:val="false"/>
          <w:i w:val="false"/>
          <w:color w:val="111A15"/>
          <w:sz w:val="21"/>
          <w:szCs w:val="21"/>
          <w:rtl/>
        </w:rPr>
        <w:t xml:space="preserve">تُبنى هذه الدراسة السوقية على سؤال واحد حاسم: </w:t>
      </w:r>
      <w:r>
        <w:rPr>
          <w:rFonts w:ascii="Arial" w:cs="Arial" w:hAnsi="Arial"/>
          <w:b/>
          <w:bCs/>
          <w:i w:val="false"/>
          <w:color w:val="111A15"/>
          <w:sz w:val="21"/>
          <w:szCs w:val="21"/>
          <w:rtl/>
        </w:rPr>
        <w:t xml:space="preserve">هل الفجوة التي يستهدفها المشروع فجوة طلب أم فجوة عرض؟</w:t>
      </w:r>
      <w:r>
        <w:rPr>
          <w:rFonts w:ascii="Arial" w:cs="Arial" w:hAnsi="Arial"/>
          <w:b w:val="false"/>
          <w:i w:val="false"/>
          <w:color w:val="111A15"/>
          <w:sz w:val="21"/>
          <w:szCs w:val="21"/>
          <w:rtl/>
        </w:rPr>
        <w:t xml:space="preserve"> الفرق ليس أكاديميًا — فمشروع يُبنى على فجوة طلب متوهَّمة ينتهي بطاقة إنتاجية معطّلة، بينما مشروع يُبنى على فجوة عرض حقيقية يجد سوقًا ينتظره. وقد خلصت الدراسة إلى أن الفجوة هنا </w:t>
      </w:r>
      <w:r>
        <w:rPr>
          <w:rFonts w:ascii="Arial" w:cs="Arial" w:hAnsi="Arial"/>
          <w:b/>
          <w:bCs/>
          <w:i w:val="false"/>
          <w:color w:val="111A15"/>
          <w:sz w:val="21"/>
          <w:szCs w:val="21"/>
          <w:rtl/>
        </w:rPr>
        <w:t xml:space="preserve">فجوة عرض</w:t>
      </w:r>
      <w:r>
        <w:rPr>
          <w:rFonts w:ascii="Arial" w:cs="Arial" w:hAnsi="Arial"/>
          <w:b w:val="false"/>
          <w:i w:val="false"/>
          <w:color w:val="111A15"/>
          <w:sz w:val="21"/>
          <w:szCs w:val="21"/>
          <w:rtl/>
        </w:rPr>
        <w:t xml:space="preserve">: الطلب على خدمات التصنيع الغذائي المرخّص لصغار المنتجين قائم وموثّق، والنقص في جانب مقدّمي الخدمة لا في جانب الراغبين فيها.</w:t>
      </w:r>
    </w:p>
    <w:p>
      <w:pPr>
        <w:pStyle w:val="Heading2"/>
        <w:keepNext/>
        <w:bidi/>
        <w:spacing w:after="120" w:before="300" w:line="300"/>
        <w:jc w:val="start"/>
        <w:outlineLvl w:val="1"/>
      </w:pPr>
      <w:r>
        <w:rPr>
          <w:rFonts w:ascii="Arial" w:cs="Arial" w:hAnsi="Arial"/>
          <w:b/>
          <w:bCs/>
          <w:i w:val="false"/>
          <w:color w:val="0E5A49"/>
          <w:sz w:val="24"/>
          <w:szCs w:val="24"/>
          <w:rtl/>
        </w:rPr>
        <w:t xml:space="preserve">تحليل البيئة الكلية (PESTEL)</w:t>
      </w:r>
    </w:p>
    <w:p>
      <w:pPr>
        <w:keepNext/>
        <w:bidi/>
        <w:spacing w:after="60" w:before="160" w:line="300"/>
        <w:jc w:val="start"/>
      </w:pPr>
      <w:r>
        <w:rPr>
          <w:rFonts w:ascii="Arial" w:cs="Arial" w:hAnsi="Arial"/>
          <w:b/>
          <w:bCs/>
          <w:i w:val="false"/>
          <w:color w:val="8A6A12"/>
          <w:sz w:val="16"/>
          <w:szCs w:val="16"/>
          <w:rtl/>
        </w:rPr>
        <w:t xml:space="preserve">جدول 9 — تحليل العوامل الكلية المؤثرة في المشروع</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4"/>
        <w:gridCol w:w="4191"/>
        <w:gridCol w:w="1071"/>
        <w:gridCol w:w="3390"/>
      </w:tblGrid>
      <w:tr>
        <w:trPr>
          <w:tblHeader/>
        </w:trPr>
        <w:tc>
          <w:tcPr>
            <w:tcW w:type="dxa" w:w="1214"/>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العامل</w:t>
            </w:r>
          </w:p>
        </w:tc>
        <w:tc>
          <w:tcPr>
            <w:tcW w:type="dxa" w:w="419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الوصف والتأثير</w:t>
            </w:r>
          </w:p>
        </w:tc>
        <w:tc>
          <w:tcPr>
            <w:tcW w:type="dxa" w:w="107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الاتجاه</w:t>
            </w:r>
          </w:p>
        </w:tc>
        <w:tc>
          <w:tcPr>
            <w:tcW w:type="dxa" w:w="3390"/>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الاستجابة في التصميم</w:t>
            </w:r>
          </w:p>
        </w:tc>
      </w:tr>
      <w:tr>
        <w:tc>
          <w:tcPr>
            <w:tcW w:type="dxa" w:w="12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سياسي وتشريعي</w:t>
            </w:r>
          </w:p>
        </w:tc>
        <w:tc>
          <w:tcPr>
            <w:tcW w:type="dxa" w:w="419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توجّه وطني معلن لتمكين القطاع غير الربحي ورفع مساهمته الاقتصادية، ودعم المنشآت متناهية الصغر وتمكين المرأة اقتصاديًا ضمن رؤية 2030</w:t>
            </w:r>
          </w:p>
        </w:tc>
        <w:tc>
          <w:tcPr>
            <w:tcW w:type="dxa" w:w="107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داعم قوي</w:t>
            </w:r>
          </w:p>
        </w:tc>
        <w:tc>
          <w:tcPr>
            <w:tcW w:type="dxa" w:w="339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مواءمة صريحة للمستهدفات الوطنية في مقترح المنحة لرفع فرص القبول</w:t>
            </w:r>
          </w:p>
        </w:tc>
      </w:tr>
      <w:tr>
        <w:tc>
          <w:tcPr>
            <w:tcW w:type="dxa" w:w="12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اقتصادي</w:t>
            </w:r>
          </w:p>
        </w:tc>
        <w:tc>
          <w:tcPr>
            <w:tcW w:type="dxa" w:w="419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نمو الإنفاق على الخدمات الغذائية وتوسّع قطاع التموين المؤسسي، مقابل ضغط تضخمي على أسعار المواد الخام والطاقة</w:t>
            </w:r>
          </w:p>
        </w:tc>
        <w:tc>
          <w:tcPr>
            <w:tcW w:type="dxa" w:w="107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مختلط</w:t>
            </w:r>
          </w:p>
        </w:tc>
        <w:tc>
          <w:tcPr>
            <w:tcW w:type="dxa" w:w="339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تعاقد سنوي مثبّت الأسعار مع الموردين · بند تصعيد سعري في العقود المؤسسية</w:t>
            </w:r>
          </w:p>
        </w:tc>
      </w:tr>
      <w:tr>
        <w:tc>
          <w:tcPr>
            <w:tcW w:type="dxa" w:w="12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اجتماعي</w:t>
            </w:r>
          </w:p>
        </w:tc>
        <w:tc>
          <w:tcPr>
            <w:tcW w:type="dxa" w:w="419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ارتفاع الإقبال على المنتجات المحلية والحرفية، وتنامي قبول عمل المرأة في القطاع الإنتاجي، ووعي متزايد بسلامة الغذاء</w:t>
            </w:r>
          </w:p>
        </w:tc>
        <w:tc>
          <w:tcPr>
            <w:tcW w:type="dxa" w:w="107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داعم</w:t>
            </w:r>
          </w:p>
        </w:tc>
        <w:tc>
          <w:tcPr>
            <w:tcW w:type="dxa" w:w="339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بناء العلامة على سردية «صُنع بأيدٍ محلية» مع شفافية كاملة في المصدر</w:t>
            </w:r>
          </w:p>
        </w:tc>
      </w:tr>
      <w:tr>
        <w:tc>
          <w:tcPr>
            <w:tcW w:type="dxa" w:w="12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تقني</w:t>
            </w:r>
          </w:p>
        </w:tc>
        <w:tc>
          <w:tcPr>
            <w:tcW w:type="dxa" w:w="419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انتشار منصات البيع والتوصيل يخفض تكلفة الوصول للسوق، وتوفّر أنظمة تتبّع وإدارة موارد بأسعار في متناول المنشآت المتوسطة</w:t>
            </w:r>
          </w:p>
        </w:tc>
        <w:tc>
          <w:tcPr>
            <w:tcW w:type="dxa" w:w="107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داعم</w:t>
            </w:r>
          </w:p>
        </w:tc>
        <w:tc>
          <w:tcPr>
            <w:tcW w:type="dxa" w:w="339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نظام ERP وتتبّع من اليوم الأول · قناة بيع إلكتروني ضمن المزيج</w:t>
            </w:r>
          </w:p>
        </w:tc>
      </w:tr>
      <w:tr>
        <w:tc>
          <w:tcPr>
            <w:tcW w:type="dxa" w:w="12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بيئي</w:t>
            </w:r>
          </w:p>
        </w:tc>
        <w:tc>
          <w:tcPr>
            <w:tcW w:type="dxa" w:w="419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تشديد متوقع على إدارة الفاقد الغذائي ومواد التغليف، وارتفاع كلفة الطاقة</w:t>
            </w:r>
          </w:p>
        </w:tc>
        <w:tc>
          <w:tcPr>
            <w:tcW w:type="dxa" w:w="107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ضاغط</w:t>
            </w:r>
          </w:p>
        </w:tc>
        <w:tc>
          <w:tcPr>
            <w:tcW w:type="dxa" w:w="339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تصميم يخفض الفاقد · تغليف قابل لإعادة التدوير · معدات موفّرة للطاقة</w:t>
            </w:r>
          </w:p>
        </w:tc>
      </w:tr>
      <w:tr>
        <w:tc>
          <w:tcPr>
            <w:tcW w:type="dxa" w:w="12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تنظيمي ورقابي</w:t>
            </w:r>
          </w:p>
        </w:tc>
        <w:tc>
          <w:tcPr>
            <w:tcW w:type="dxa" w:w="419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اشتراطات صارمة ومتحدّثة للمنشآت الغذائية، وهي حاجز دخول مرتفع — ضاغط على المشروع، لكنه في الوقت نفسه </w:t>
            </w:r>
            <w:r>
              <w:rPr>
                <w:rFonts w:ascii="Arial" w:cs="Arial" w:hAnsi="Arial"/>
                <w:b w:val="false"/>
                <w:i/>
                <w:iCs/>
                <w:color w:val="48534C"/>
                <w:sz w:val="17"/>
                <w:szCs w:val="17"/>
                <w:rtl/>
              </w:rPr>
              <w:t xml:space="preserve">حاجز حماية</w:t>
            </w:r>
            <w:r>
              <w:rPr>
                <w:rFonts w:ascii="Arial" w:cs="Arial" w:hAnsi="Arial"/>
                <w:b w:val="false"/>
                <w:i w:val="false"/>
                <w:color w:val="48534C"/>
                <w:sz w:val="17"/>
                <w:szCs w:val="17"/>
                <w:rtl/>
              </w:rPr>
              <w:t xml:space="preserve"> بعد الترخيص</w:t>
            </w:r>
          </w:p>
        </w:tc>
        <w:tc>
          <w:tcPr>
            <w:tcW w:type="dxa" w:w="107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حاجز مزدوج</w:t>
            </w:r>
          </w:p>
        </w:tc>
        <w:tc>
          <w:tcPr>
            <w:tcW w:type="dxa" w:w="339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إشراك الجهة التنظيمية في مرحلة التصميم · احتياطي زمني 6 أسابيع للتراخيص</w:t>
            </w:r>
          </w:p>
        </w:tc>
      </w:tr>
    </w:tbl>
    <w:p>
      <w:pPr>
        <w:bidi/>
        <w:spacing w:after="14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حجم السوق</w:t>
      </w:r>
    </w:p>
    <w:p>
      <w:pPr>
        <w:bidi/>
        <w:spacing w:after="140" w:before="0" w:line="300"/>
        <w:jc w:val="both"/>
      </w:pPr>
      <w:r>
        <w:rPr>
          <w:rFonts w:ascii="Arial" w:cs="Arial" w:hAnsi="Arial"/>
          <w:b w:val="false"/>
          <w:i w:val="false"/>
          <w:color w:val="48534C"/>
          <w:sz w:val="20"/>
          <w:szCs w:val="20"/>
          <w:rtl/>
        </w:rPr>
        <w:t xml:space="preserve">قُدِّر حجم السوق بمنهج تنازلي من السوق الكلي إلى الحصة المستهدفة، مع تضييق كل مستوى بمعايير محدَّدة يمكن مراجعتها. والمستوى الحاسم هو </w:t>
      </w:r>
      <w:r>
        <w:rPr>
          <w:rFonts w:ascii="Arial" w:cs="Arial" w:hAnsi="Arial"/>
          <w:b/>
          <w:bCs/>
          <w:i w:val="false"/>
          <w:color w:val="48534C"/>
          <w:sz w:val="20"/>
          <w:szCs w:val="20"/>
          <w:rtl/>
        </w:rPr>
        <w:t xml:space="preserve">السوق المتاح المخدوم</w:t>
      </w:r>
      <w:r>
        <w:rPr>
          <w:rFonts w:ascii="Arial" w:cs="Arial" w:hAnsi="Arial"/>
          <w:b w:val="false"/>
          <w:i w:val="false"/>
          <w:color w:val="48534C"/>
          <w:sz w:val="20"/>
          <w:szCs w:val="20"/>
          <w:rtl/>
        </w:rPr>
        <w:t xml:space="preserve">، إذ لا معنى لحجم سوق ضخم إن كان المشروع لا يستطيع خدمة إلا شريحة صغيرة منه:</w:t>
      </w:r>
    </w:p>
    <w:p>
      <w:pPr>
        <w:keepNext/>
        <w:bidi/>
        <w:spacing w:after="100" w:before="200" w:line="300"/>
        <w:jc w:val="start"/>
      </w:pPr>
      <w:r>
        <w:rPr>
          <w:rFonts w:ascii="Arial" w:cs="Arial" w:hAnsi="Arial"/>
          <w:b/>
          <w:bCs/>
          <w:i w:val="false"/>
          <w:color w:val="8A6A12"/>
          <w:sz w:val="16"/>
          <w:szCs w:val="16"/>
          <w:rtl/>
        </w:rPr>
        <w:t xml:space="preserve">شكل 6  </w:t>
      </w:r>
      <w:r>
        <w:rPr>
          <w:rFonts w:ascii="Arial" w:cs="Arial" w:hAnsi="Arial"/>
          <w:b/>
          <w:bCs/>
          <w:i w:val="false"/>
          <w:color w:val="111A15"/>
          <w:sz w:val="18"/>
          <w:szCs w:val="18"/>
          <w:rtl/>
        </w:rPr>
        <w:t xml:space="preserve">تدرّج حجم السوق من الكلي إلى الحصة المستهدفة</w:t>
      </w:r>
    </w:p>
    <w:p>
      <w:pPr>
        <w:keepNext/>
        <w:bidi/>
        <w:spacing w:after="80"/>
        <w:jc w:val="center"/>
      </w:pPr>
      <w:r>
        <w:drawing>
          <wp:inline distT="0" distB="0" distL="0" distR="0">
            <wp:extent cx="62388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38875" cy="2628900"/>
                    </a:xfrm>
                    <a:prstGeom prst="rect">
                      <a:avLst/>
                    </a:prstGeom>
                  </pic:spPr>
                </pic:pic>
              </a:graphicData>
            </a:graphic>
          </wp:inline>
        </w:drawing>
      </w:r>
    </w:p>
    <w:p>
      <w:pPr>
        <w:bidi/>
        <w:spacing w:after="200" w:before="0" w:line="300"/>
        <w:jc w:val="both"/>
      </w:pPr>
      <w:r>
        <w:rPr>
          <w:rFonts w:ascii="Arial" w:cs="Arial" w:hAnsi="Arial"/>
          <w:b w:val="false"/>
          <w:i w:val="false"/>
          <w:color w:val="77817A"/>
          <w:sz w:val="16"/>
          <w:szCs w:val="16"/>
          <w:rtl/>
        </w:rPr>
        <w:t xml:space="preserve">الحصة المستهدفة في السنة الخامسة لا تتجاوز 3.4٪ من السوق المتاح المخدوم — وهي نسبة محافظة عمدًا، إذ إن أي دراسة تفترض حصة سوقية من رقمين لمشروع ناشئ تكون قد استبدلت التمنّي بالتحليل.</w:t>
      </w:r>
    </w:p>
    <w:p>
      <w:pPr>
        <w:bidi/>
        <w:spacing w:after="140" w:before="0" w:line="300"/>
        <w:jc w:val="both"/>
      </w:pPr>
      <w:r>
        <w:rPr>
          <w:rFonts w:ascii="Arial" w:cs="Arial" w:hAnsi="Arial"/>
          <w:b w:val="false"/>
          <w:i w:val="false"/>
          <w:color w:val="48534C"/>
          <w:sz w:val="20"/>
          <w:szCs w:val="20"/>
          <w:rtl/>
        </w:rPr>
        <w:t xml:space="preserve">ومعايير تضييق كل مستوى كالآتي:</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من السوق الكلي إلى المتاح المخدوم:</w:t>
      </w:r>
      <w:r>
        <w:rPr>
          <w:rFonts w:ascii="Arial" w:cs="Arial" w:hAnsi="Arial"/>
          <w:b w:val="false"/>
          <w:i w:val="false"/>
          <w:color w:val="48534C"/>
          <w:sz w:val="20"/>
          <w:szCs w:val="20"/>
          <w:rtl/>
        </w:rPr>
        <w:t xml:space="preserve"> استُبعد التموين واسع النطاق (العقود الحكومية الكبرى التي تتطلب طاقة تفوق المشروع بعشرات المرات)، والمنتجات التي تتطلب خطوط تصنيع متخصصة (الألبان، اللحوم المصنّعة، المشروبات)، والنطاق الجغرافي خارج منطقة الرياض.</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من المتاح المخدوم إلى الحصة المستهدفة:</w:t>
      </w:r>
      <w:r>
        <w:rPr>
          <w:rFonts w:ascii="Arial" w:cs="Arial" w:hAnsi="Arial"/>
          <w:b w:val="false"/>
          <w:i w:val="false"/>
          <w:color w:val="48534C"/>
          <w:sz w:val="20"/>
          <w:szCs w:val="20"/>
          <w:rtl/>
        </w:rPr>
        <w:t xml:space="preserve"> طُبّق سقف الطاقة الإنتاجية التصميمية للمنشأة، فلا يمكن للمشروع بيع ما لا يستطيع إنتاجه مهما اتسع السوق. الحصة المستهدفة هنا </w:t>
      </w:r>
      <w:r>
        <w:rPr>
          <w:rFonts w:ascii="Arial" w:cs="Arial" w:hAnsi="Arial"/>
          <w:b w:val="false"/>
          <w:i/>
          <w:iCs/>
          <w:color w:val="48534C"/>
          <w:sz w:val="20"/>
          <w:szCs w:val="20"/>
          <w:rtl/>
        </w:rPr>
        <w:t xml:space="preserve">مشتقّة من الطاقة الفنية</w:t>
      </w:r>
      <w:r>
        <w:rPr>
          <w:rFonts w:ascii="Arial" w:cs="Arial" w:hAnsi="Arial"/>
          <w:b w:val="false"/>
          <w:i w:val="false"/>
          <w:color w:val="48534C"/>
          <w:sz w:val="20"/>
          <w:szCs w:val="20"/>
          <w:rtl/>
        </w:rPr>
        <w:t xml:space="preserve"> لا من تمنٍّ سوقي.</w:t>
      </w:r>
    </w:p>
    <w:p>
      <w:pPr>
        <w:bidi/>
        <w:spacing w:after="60" w:before="0" w:line="300"/>
        <w:jc w:val="both"/>
      </w:pPr>
      <w:r>
        <w:rPr>
          <w:rFonts w:ascii="Arial" w:cs="Arial" w:hAnsi="Arial"/>
          <w:b w:val="false"/>
          <w:i w:val="false"/>
          <w:color w:val="48534C"/>
          <w:sz w:val="6"/>
          <w:szCs w:val="6"/>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تحليل الطلب</w:t>
      </w:r>
    </w:p>
    <w:p>
      <w:pPr>
        <w:bidi/>
        <w:spacing w:after="140" w:before="0" w:line="300"/>
        <w:jc w:val="both"/>
      </w:pPr>
      <w:r>
        <w:rPr>
          <w:rFonts w:ascii="Arial" w:cs="Arial" w:hAnsi="Arial"/>
          <w:b w:val="false"/>
          <w:i w:val="false"/>
          <w:color w:val="48534C"/>
          <w:sz w:val="20"/>
          <w:szCs w:val="20"/>
          <w:rtl/>
        </w:rPr>
        <w:t xml:space="preserve">يتوزّع الطلب على خمس شرائح متمايزة في الحجم والنمو وسهولة الوصول. والملاحظة الجوهرية أن الشريحة الأسرع نموًا (العلامات الغذائية الناشئة) هي أيضًا الأقل خدمةً من العرض القائم — وهي بالضبط الشريحة التي صُمّم خط «التصنيع بالتعاقد» لخدمتها:</w:t>
      </w:r>
    </w:p>
    <w:p>
      <w:pPr>
        <w:keepNext/>
        <w:bidi/>
        <w:spacing w:after="60" w:before="160" w:line="300"/>
        <w:jc w:val="start"/>
      </w:pPr>
      <w:r>
        <w:rPr>
          <w:rFonts w:ascii="Arial" w:cs="Arial" w:hAnsi="Arial"/>
          <w:b/>
          <w:bCs/>
          <w:i w:val="false"/>
          <w:color w:val="8A6A12"/>
          <w:sz w:val="16"/>
          <w:szCs w:val="16"/>
          <w:rtl/>
        </w:rPr>
        <w:t xml:space="preserve">جدول 10 — شرائح الطلب وخصائصها (تقديرات الدراسة)</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35"/>
        <w:gridCol w:w="2203"/>
        <w:gridCol w:w="1111"/>
        <w:gridCol w:w="955"/>
        <w:gridCol w:w="1524"/>
        <w:gridCol w:w="1138"/>
      </w:tblGrid>
      <w:tr>
        <w:trPr>
          <w:tblHeader/>
        </w:trPr>
        <w:tc>
          <w:tcPr>
            <w:tcW w:type="dxa" w:w="293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شريحة الطلب</w:t>
            </w:r>
          </w:p>
        </w:tc>
        <w:tc>
          <w:tcPr>
            <w:tcW w:type="dxa" w:w="2203"/>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ما تشتريه</w:t>
            </w:r>
          </w:p>
        </w:tc>
        <w:tc>
          <w:tcPr>
            <w:tcW w:type="dxa" w:w="111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الوزن في مبيعات س3</w:t>
            </w:r>
          </w:p>
        </w:tc>
        <w:tc>
          <w:tcPr>
            <w:tcW w:type="dxa" w:w="95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النمو</w:t>
            </w:r>
          </w:p>
        </w:tc>
        <w:tc>
          <w:tcPr>
            <w:tcW w:type="dxa" w:w="1524"/>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سهولة الوصول</w:t>
            </w:r>
          </w:p>
        </w:tc>
        <w:tc>
          <w:tcPr>
            <w:tcW w:type="dxa" w:w="1138"/>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الحساسية للسعر</w:t>
            </w:r>
          </w:p>
        </w:tc>
      </w:tr>
      <w:tr>
        <w:tc>
          <w:tcPr>
            <w:tcW w:type="dxa" w:w="293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الجهات المؤسسية</w:t>
            </w:r>
            <w:r>
              <w:rPr>
                <w:rFonts w:ascii="Arial" w:cs="Arial" w:hAnsi="Arial"/>
                <w:b w:val="false"/>
                <w:i w:val="false"/>
                <w:color w:val="48534C"/>
                <w:sz w:val="17"/>
                <w:szCs w:val="17"/>
                <w:rtl/>
              </w:rPr>
              <w:t xml:space="preserve">مدارس أهلية · حضانات · شركات · مراكز صحية</w:t>
            </w:r>
          </w:p>
        </w:tc>
        <w:tc>
          <w:tcPr>
            <w:tcW w:type="dxa" w:w="22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وجبات جاهزة وتموين يومي بعقد سنوي</w:t>
            </w:r>
          </w:p>
        </w:tc>
        <w:tc>
          <w:tcPr>
            <w:tcW w:type="dxa" w:w="11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43.6٪</w:t>
            </w:r>
          </w:p>
        </w:tc>
        <w:tc>
          <w:tcPr>
            <w:tcW w:type="dxa" w:w="95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متوسط</w:t>
            </w:r>
          </w:p>
        </w:tc>
        <w:tc>
          <w:tcPr>
            <w:tcW w:type="dxa" w:w="15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دورة بيع 3–6 أشهر</w:t>
            </w:r>
          </w:p>
        </w:tc>
        <w:tc>
          <w:tcPr>
            <w:tcW w:type="dxa" w:w="113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مرتفعة</w:t>
            </w:r>
          </w:p>
        </w:tc>
      </w:tr>
      <w:tr>
        <w:tc>
          <w:tcPr>
            <w:tcW w:type="dxa" w:w="293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قطاع التجزئة والمقاهي</w:t>
            </w:r>
            <w:r>
              <w:rPr>
                <w:rFonts w:ascii="Arial" w:cs="Arial" w:hAnsi="Arial"/>
                <w:b w:val="false"/>
                <w:i w:val="false"/>
                <w:color w:val="48534C"/>
                <w:sz w:val="17"/>
                <w:szCs w:val="17"/>
                <w:rtl/>
              </w:rPr>
              <w:t xml:space="preserve">متاجر · مقاهٍ · مطاعم صغيرة</w:t>
            </w:r>
          </w:p>
        </w:tc>
        <w:tc>
          <w:tcPr>
            <w:tcW w:type="dxa" w:w="22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مخبوزات ومعجنات مجمّدة نصف مصنّعة</w:t>
            </w:r>
          </w:p>
        </w:tc>
        <w:tc>
          <w:tcPr>
            <w:tcW w:type="dxa" w:w="11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18.7٪</w:t>
            </w:r>
          </w:p>
        </w:tc>
        <w:tc>
          <w:tcPr>
            <w:tcW w:type="dxa" w:w="95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مرتفع</w:t>
            </w:r>
          </w:p>
        </w:tc>
        <w:tc>
          <w:tcPr>
            <w:tcW w:type="dxa" w:w="15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دورة بيع قصيرة</w:t>
            </w:r>
          </w:p>
        </w:tc>
        <w:tc>
          <w:tcPr>
            <w:tcW w:type="dxa" w:w="113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متوسطة</w:t>
            </w:r>
          </w:p>
        </w:tc>
      </w:tr>
      <w:tr>
        <w:tc>
          <w:tcPr>
            <w:tcW w:type="dxa" w:w="293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المستهلك النهائي</w:t>
            </w:r>
            <w:r>
              <w:rPr>
                <w:rFonts w:ascii="Arial" w:cs="Arial" w:hAnsi="Arial"/>
                <w:b w:val="false"/>
                <w:i w:val="false"/>
                <w:color w:val="48534C"/>
                <w:sz w:val="17"/>
                <w:szCs w:val="17"/>
                <w:rtl/>
              </w:rPr>
              <w:t xml:space="preserve">تجزئة مباشرة وإلكتروني وهدايا موسمية</w:t>
            </w:r>
          </w:p>
        </w:tc>
        <w:tc>
          <w:tcPr>
            <w:tcW w:type="dxa" w:w="22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تمور ومنتجات محفوظة معبّأة</w:t>
            </w:r>
          </w:p>
        </w:tc>
        <w:tc>
          <w:tcPr>
            <w:tcW w:type="dxa" w:w="11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18.9٪</w:t>
            </w:r>
          </w:p>
        </w:tc>
        <w:tc>
          <w:tcPr>
            <w:tcW w:type="dxa" w:w="95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مرتفع</w:t>
            </w:r>
          </w:p>
        </w:tc>
        <w:tc>
          <w:tcPr>
            <w:tcW w:type="dxa" w:w="15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مباشر</w:t>
            </w:r>
          </w:p>
        </w:tc>
        <w:tc>
          <w:tcPr>
            <w:tcW w:type="dxa" w:w="113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منخفضة</w:t>
            </w:r>
          </w:p>
        </w:tc>
      </w:tr>
      <w:tr>
        <w:tc>
          <w:tcPr>
            <w:tcW w:type="dxa" w:w="293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العلامات الغذائية الناشئة</w:t>
            </w:r>
            <w:r>
              <w:rPr>
                <w:rFonts w:ascii="Arial" w:cs="Arial" w:hAnsi="Arial"/>
                <w:b w:val="false"/>
                <w:i w:val="false"/>
                <w:color w:val="48534C"/>
                <w:sz w:val="17"/>
                <w:szCs w:val="17"/>
                <w:rtl/>
              </w:rPr>
              <w:t xml:space="preserve">مشاريع صغيرة تبيع مباشرة للمستهلك</w:t>
            </w:r>
          </w:p>
        </w:tc>
        <w:tc>
          <w:tcPr>
            <w:tcW w:type="dxa" w:w="22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تصنيع بالتعاقد وتعبئة تحت رخصة المركز</w:t>
            </w:r>
          </w:p>
        </w:tc>
        <w:tc>
          <w:tcPr>
            <w:tcW w:type="dxa" w:w="11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11.9٪</w:t>
            </w:r>
          </w:p>
        </w:tc>
        <w:tc>
          <w:tcPr>
            <w:tcW w:type="dxa" w:w="95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bCs/>
                <w:i w:val="false"/>
                <w:color w:val="48534C"/>
                <w:sz w:val="17"/>
                <w:szCs w:val="17"/>
                <w:rtl/>
              </w:rPr>
              <w:t xml:space="preserve">الأعلى</w:t>
            </w:r>
          </w:p>
        </w:tc>
        <w:tc>
          <w:tcPr>
            <w:tcW w:type="dxa" w:w="15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طلب قائم غير ملبّى</w:t>
            </w:r>
          </w:p>
        </w:tc>
        <w:tc>
          <w:tcPr>
            <w:tcW w:type="dxa" w:w="113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منخفضة</w:t>
            </w:r>
          </w:p>
        </w:tc>
      </w:tr>
      <w:tr>
        <w:tc>
          <w:tcPr>
            <w:tcW w:type="dxa" w:w="293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الجهات المانحة والحكومية</w:t>
            </w:r>
            <w:r>
              <w:rPr>
                <w:rFonts w:ascii="Arial" w:cs="Arial" w:hAnsi="Arial"/>
                <w:b w:val="false"/>
                <w:i w:val="false"/>
                <w:color w:val="48534C"/>
                <w:sz w:val="17"/>
                <w:szCs w:val="17"/>
                <w:rtl/>
              </w:rPr>
              <w:t xml:space="preserve">جمعيات · جهات تدريب · برامج مسؤولية اجتماعية</w:t>
            </w:r>
          </w:p>
        </w:tc>
        <w:tc>
          <w:tcPr>
            <w:tcW w:type="dxa" w:w="22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برامج تدريب مؤسسي واستشارات</w:t>
            </w:r>
          </w:p>
        </w:tc>
        <w:tc>
          <w:tcPr>
            <w:tcW w:type="dxa" w:w="11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6.8٪</w:t>
            </w:r>
          </w:p>
        </w:tc>
        <w:tc>
          <w:tcPr>
            <w:tcW w:type="dxa" w:w="95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متوسط</w:t>
            </w:r>
          </w:p>
        </w:tc>
        <w:tc>
          <w:tcPr>
            <w:tcW w:type="dxa" w:w="15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عبر المنافسات</w:t>
            </w:r>
          </w:p>
        </w:tc>
        <w:tc>
          <w:tcPr>
            <w:tcW w:type="dxa" w:w="113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متوسطة</w:t>
            </w:r>
          </w:p>
        </w:tc>
      </w:tr>
    </w:tbl>
    <w:p>
      <w:pPr>
        <w:bidi/>
        <w:spacing w:after="140" w:before="0" w:line="300"/>
        <w:jc w:val="both"/>
      </w:pPr>
      <w:r>
        <w:rPr>
          <w:rFonts w:ascii="Arial" w:cs="Arial" w:hAnsi="Arial"/>
          <w:b w:val="false"/>
          <w:i w:val="false"/>
          <w:color w:val="48534C"/>
          <w:sz w:val="8"/>
          <w:szCs w:val="8"/>
          <w:rtl/>
        </w:rPr>
        <w:t xml:space="preserve"/>
      </w:r>
    </w:p>
    <w:p>
      <w:pPr>
        <w:pStyle w:val="Heading3"/>
        <w:keepNext/>
        <w:bidi/>
        <w:spacing w:after="90" w:before="220" w:line="300"/>
        <w:jc w:val="start"/>
        <w:outlineLvl w:val="2"/>
      </w:pPr>
      <w:r>
        <w:rPr>
          <w:rFonts w:ascii="Arial" w:cs="Arial" w:hAnsi="Arial"/>
          <w:b/>
          <w:bCs/>
          <w:i w:val="false"/>
          <w:color w:val="8A6A12"/>
          <w:sz w:val="20"/>
          <w:szCs w:val="20"/>
          <w:rtl/>
        </w:rPr>
        <w:t xml:space="preserve">محرّكات الطلب</w:t>
      </w:r>
    </w:p>
    <w:p>
      <w:pPr>
        <w:bidi/>
        <w:spacing w:after="70" w:before="0" w:line="300"/>
        <w:ind w:start="280"/>
        <w:jc w:val="both"/>
      </w:pPr>
      <w:r>
        <w:rPr>
          <w:rFonts w:ascii="Arial" w:cs="Arial" w:hAnsi="Arial"/>
          <w:b/>
          <w:bCs/>
          <w:i w:val="false"/>
          <w:color w:val="8A6A12"/>
          <w:sz w:val="20"/>
          <w:szCs w:val="20"/>
          <w:rtl/>
        </w:rPr>
        <w:t xml:space="preserve">1.  </w:t>
      </w:r>
      <w:r>
        <w:rPr>
          <w:rFonts w:ascii="Arial" w:cs="Arial" w:hAnsi="Arial"/>
          <w:b/>
          <w:bCs/>
          <w:i w:val="false"/>
          <w:color w:val="48534C"/>
          <w:sz w:val="20"/>
          <w:szCs w:val="20"/>
          <w:rtl/>
        </w:rPr>
        <w:t xml:space="preserve">ارتفاع حاجز الامتثال:</w:t>
      </w:r>
      <w:r>
        <w:rPr>
          <w:rFonts w:ascii="Arial" w:cs="Arial" w:hAnsi="Arial"/>
          <w:b w:val="false"/>
          <w:i w:val="false"/>
          <w:color w:val="48534C"/>
          <w:sz w:val="20"/>
          <w:szCs w:val="20"/>
          <w:rtl/>
        </w:rPr>
        <w:t xml:space="preserve"> كلما اشتدّت اشتراطات المنشآت الغذائية، ازداد عدد صغار المنتجين الذين لا يستطيعون الامتثال منفردين، وازداد بالتالي الطلب على منشأة تصنيع مشتركة مرخّصة. الحاجز التنظيمي الذي يبدو تهديدًا للمشروع هو في الواقع </w:t>
      </w:r>
      <w:r>
        <w:rPr>
          <w:rFonts w:ascii="Arial" w:cs="Arial" w:hAnsi="Arial"/>
          <w:b w:val="false"/>
          <w:i/>
          <w:iCs/>
          <w:color w:val="48534C"/>
          <w:sz w:val="20"/>
          <w:szCs w:val="20"/>
          <w:rtl/>
        </w:rPr>
        <w:t xml:space="preserve">مولّد الطلب</w:t>
      </w:r>
      <w:r>
        <w:rPr>
          <w:rFonts w:ascii="Arial" w:cs="Arial" w:hAnsi="Arial"/>
          <w:b w:val="false"/>
          <w:i w:val="false"/>
          <w:color w:val="48534C"/>
          <w:sz w:val="20"/>
          <w:szCs w:val="20"/>
          <w:rtl/>
        </w:rPr>
        <w:t xml:space="preserve"> عليه.</w:t>
      </w:r>
    </w:p>
    <w:p>
      <w:pPr>
        <w:bidi/>
        <w:spacing w:after="70" w:before="0" w:line="300"/>
        <w:ind w:start="280"/>
        <w:jc w:val="both"/>
      </w:pPr>
      <w:r>
        <w:rPr>
          <w:rFonts w:ascii="Arial" w:cs="Arial" w:hAnsi="Arial"/>
          <w:b/>
          <w:bCs/>
          <w:i w:val="false"/>
          <w:color w:val="8A6A12"/>
          <w:sz w:val="20"/>
          <w:szCs w:val="20"/>
          <w:rtl/>
        </w:rPr>
        <w:t xml:space="preserve">2.  </w:t>
      </w:r>
      <w:r>
        <w:rPr>
          <w:rFonts w:ascii="Arial" w:cs="Arial" w:hAnsi="Arial"/>
          <w:b/>
          <w:bCs/>
          <w:i w:val="false"/>
          <w:color w:val="48534C"/>
          <w:sz w:val="20"/>
          <w:szCs w:val="20"/>
          <w:rtl/>
        </w:rPr>
        <w:t xml:space="preserve">تحوّل الجهات المؤسسية إلى التعهيد:</w:t>
      </w:r>
      <w:r>
        <w:rPr>
          <w:rFonts w:ascii="Arial" w:cs="Arial" w:hAnsi="Arial"/>
          <w:b w:val="false"/>
          <w:i w:val="false"/>
          <w:color w:val="48534C"/>
          <w:sz w:val="20"/>
          <w:szCs w:val="20"/>
          <w:rtl/>
        </w:rPr>
        <w:t xml:space="preserve"> ميل متزايد لدى المدارس والشركات إلى إسناد خدمة التغذية إلى مورّد خارجي بدلًا من تشغيل مطبخ داخلي.</w:t>
      </w:r>
    </w:p>
    <w:p>
      <w:pPr>
        <w:bidi/>
        <w:spacing w:after="70" w:before="0" w:line="300"/>
        <w:ind w:start="280"/>
        <w:jc w:val="both"/>
      </w:pPr>
      <w:r>
        <w:rPr>
          <w:rFonts w:ascii="Arial" w:cs="Arial" w:hAnsi="Arial"/>
          <w:b/>
          <w:bCs/>
          <w:i w:val="false"/>
          <w:color w:val="8A6A12"/>
          <w:sz w:val="20"/>
          <w:szCs w:val="20"/>
          <w:rtl/>
        </w:rPr>
        <w:t xml:space="preserve">3.  </w:t>
      </w:r>
      <w:r>
        <w:rPr>
          <w:rFonts w:ascii="Arial" w:cs="Arial" w:hAnsi="Arial"/>
          <w:b/>
          <w:bCs/>
          <w:i w:val="false"/>
          <w:color w:val="48534C"/>
          <w:sz w:val="20"/>
          <w:szCs w:val="20"/>
          <w:rtl/>
        </w:rPr>
        <w:t xml:space="preserve">تفضيل المنتج المحلي:</w:t>
      </w:r>
      <w:r>
        <w:rPr>
          <w:rFonts w:ascii="Arial" w:cs="Arial" w:hAnsi="Arial"/>
          <w:b w:val="false"/>
          <w:i w:val="false"/>
          <w:color w:val="48534C"/>
          <w:sz w:val="20"/>
          <w:szCs w:val="20"/>
          <w:rtl/>
        </w:rPr>
        <w:t xml:space="preserve"> اتجاه استهلاكي متنامٍ نحو المنتجات ذات المصدر المحلي والقصة الاجتماعية، وهو ما يمنح علامة المركز ميزة تموضع لا تتوفر لمنافس تجاري بحت.</w:t>
      </w:r>
    </w:p>
    <w:p>
      <w:pPr>
        <w:bidi/>
        <w:spacing w:after="70" w:before="0" w:line="300"/>
        <w:ind w:start="280"/>
        <w:jc w:val="both"/>
      </w:pPr>
      <w:r>
        <w:rPr>
          <w:rFonts w:ascii="Arial" w:cs="Arial" w:hAnsi="Arial"/>
          <w:b/>
          <w:bCs/>
          <w:i w:val="false"/>
          <w:color w:val="8A6A12"/>
          <w:sz w:val="20"/>
          <w:szCs w:val="20"/>
          <w:rtl/>
        </w:rPr>
        <w:t xml:space="preserve">4.  </w:t>
      </w:r>
      <w:r>
        <w:rPr>
          <w:rFonts w:ascii="Arial" w:cs="Arial" w:hAnsi="Arial"/>
          <w:b/>
          <w:bCs/>
          <w:i w:val="false"/>
          <w:color w:val="48534C"/>
          <w:sz w:val="20"/>
          <w:szCs w:val="20"/>
          <w:rtl/>
        </w:rPr>
        <w:t xml:space="preserve">نمو التجارة الإلكترونية للأغذية:</w:t>
      </w:r>
      <w:r>
        <w:rPr>
          <w:rFonts w:ascii="Arial" w:cs="Arial" w:hAnsi="Arial"/>
          <w:b w:val="false"/>
          <w:i w:val="false"/>
          <w:color w:val="48534C"/>
          <w:sz w:val="20"/>
          <w:szCs w:val="20"/>
          <w:rtl/>
        </w:rPr>
        <w:t xml:space="preserve"> يخفض تكلفة الوصول للمستهلك النهائي ويقلّل الاعتماد على المنافذ الفعلية.</w:t>
      </w:r>
    </w:p>
    <w:p>
      <w:pPr>
        <w:bidi/>
        <w:spacing w:after="70" w:before="0" w:line="300"/>
        <w:ind w:start="280"/>
        <w:jc w:val="both"/>
      </w:pPr>
      <w:r>
        <w:rPr>
          <w:rFonts w:ascii="Arial" w:cs="Arial" w:hAnsi="Arial"/>
          <w:b/>
          <w:bCs/>
          <w:i w:val="false"/>
          <w:color w:val="8A6A12"/>
          <w:sz w:val="20"/>
          <w:szCs w:val="20"/>
          <w:rtl/>
        </w:rPr>
        <w:t xml:space="preserve">5.  </w:t>
      </w:r>
      <w:r>
        <w:rPr>
          <w:rFonts w:ascii="Arial" w:cs="Arial" w:hAnsi="Arial"/>
          <w:b/>
          <w:bCs/>
          <w:i w:val="false"/>
          <w:color w:val="48534C"/>
          <w:sz w:val="20"/>
          <w:szCs w:val="20"/>
          <w:rtl/>
        </w:rPr>
        <w:t xml:space="preserve">الأفضلية الشرائية للجهات الحكومية والمانحة</w:t>
      </w:r>
      <w:r>
        <w:rPr>
          <w:rFonts w:ascii="Arial" w:cs="Arial" w:hAnsi="Arial"/>
          <w:b w:val="false"/>
          <w:i w:val="false"/>
          <w:color w:val="48534C"/>
          <w:sz w:val="20"/>
          <w:szCs w:val="20"/>
          <w:rtl/>
        </w:rPr>
        <w:t xml:space="preserve"> للمنتجات ذات الأثر الاجتماعي، وهي ميزة تنافسية مباشرة في المنافسات.</w:t>
      </w:r>
    </w:p>
    <w:p>
      <w:pPr>
        <w:bidi/>
        <w:spacing w:after="60" w:before="0" w:line="300"/>
        <w:jc w:val="both"/>
      </w:pPr>
      <w:r>
        <w:rPr>
          <w:rFonts w:ascii="Arial" w:cs="Arial" w:hAnsi="Arial"/>
          <w:b w:val="false"/>
          <w:i w:val="false"/>
          <w:color w:val="48534C"/>
          <w:sz w:val="6"/>
          <w:szCs w:val="6"/>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تحليل العرض والمنافسة</w:t>
      </w:r>
    </w:p>
    <w:p>
      <w:pPr>
        <w:bidi/>
        <w:spacing w:after="140" w:before="0" w:line="300"/>
        <w:jc w:val="both"/>
      </w:pPr>
      <w:r>
        <w:rPr>
          <w:rFonts w:ascii="Arial" w:cs="Arial" w:hAnsi="Arial"/>
          <w:b w:val="false"/>
          <w:i w:val="false"/>
          <w:color w:val="48534C"/>
          <w:sz w:val="20"/>
          <w:szCs w:val="20"/>
          <w:rtl/>
        </w:rPr>
        <w:t xml:space="preserve">لا يواجه المشروع منافسًا مطابقًا في نموذجه، بل خمس فئات من مقدّمي العرض يغطي كل منها جزءًا من الاحتياج ويترك جزءًا آخر مكشوفًا. وهذا المكشوف مجتمعًا هو مساحة المشروع:</w:t>
      </w:r>
    </w:p>
    <w:p>
      <w:pPr>
        <w:keepNext/>
        <w:bidi/>
        <w:spacing w:after="60" w:before="160" w:line="300"/>
        <w:jc w:val="start"/>
      </w:pPr>
      <w:r>
        <w:rPr>
          <w:rFonts w:ascii="Arial" w:cs="Arial" w:hAnsi="Arial"/>
          <w:b/>
          <w:bCs/>
          <w:i w:val="false"/>
          <w:color w:val="8A6A12"/>
          <w:sz w:val="16"/>
          <w:szCs w:val="16"/>
          <w:rtl/>
        </w:rPr>
        <w:t xml:space="preserve">جدول 11 — تحليل المنافسين ومواطن الضعف القابلة للاستثمار</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5"/>
        <w:gridCol w:w="2539"/>
        <w:gridCol w:w="4121"/>
        <w:gridCol w:w="1191"/>
      </w:tblGrid>
      <w:tr>
        <w:trPr>
          <w:tblHeader/>
        </w:trPr>
        <w:tc>
          <w:tcPr>
            <w:tcW w:type="dxa" w:w="201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فئة المنافس</w:t>
            </w:r>
          </w:p>
        </w:tc>
        <w:tc>
          <w:tcPr>
            <w:tcW w:type="dxa" w:w="253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ما تجيده</w:t>
            </w:r>
          </w:p>
        </w:tc>
        <w:tc>
          <w:tcPr>
            <w:tcW w:type="dxa" w:w="412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الثغرة التي تتركها</w:t>
            </w:r>
          </w:p>
        </w:tc>
        <w:tc>
          <w:tcPr>
            <w:tcW w:type="dxa" w:w="119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شدّة المنافسة</w:t>
            </w:r>
          </w:p>
        </w:tc>
      </w:tr>
      <w:tr>
        <w:tc>
          <w:tcPr>
            <w:tcW w:type="dxa" w:w="201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مصانع الأغذية المتوسطة والكبيرة</w:t>
            </w:r>
          </w:p>
        </w:tc>
        <w:tc>
          <w:tcPr>
            <w:tcW w:type="dxa" w:w="253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تكلفة وحدة منخفضة · طاقة ضخمة · انتشار توزيعي</w:t>
            </w:r>
          </w:p>
        </w:tc>
        <w:tc>
          <w:tcPr>
            <w:tcW w:type="dxa" w:w="41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لا تقبل الطلبيات الصغيرة ولا التصنيع بالتعاقد لصغار المنتجين — الحد الأدنى للدفعة يستبعد الشريحة المستهدفة بالكامل</w:t>
            </w:r>
          </w:p>
        </w:tc>
        <w:tc>
          <w:tcPr>
            <w:tcW w:type="dxa" w:w="119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متوسطة</w:t>
            </w:r>
          </w:p>
        </w:tc>
      </w:tr>
      <w:tr>
        <w:tc>
          <w:tcPr>
            <w:tcW w:type="dxa" w:w="201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المطابخ السحابية والمشتركة</w:t>
            </w:r>
          </w:p>
        </w:tc>
        <w:tc>
          <w:tcPr>
            <w:tcW w:type="dxa" w:w="253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مرونة · إتاحة بالساعة · موقع قريب من الطلب</w:t>
            </w:r>
          </w:p>
        </w:tc>
        <w:tc>
          <w:tcPr>
            <w:tcW w:type="dxa" w:w="41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موجّهة للتوصيل الفوري لا للتصنيع والتعبئة · غالبًا بلا ترخيص تصنيع ولا خط تعبئة ولا نظام تتبّع · لا تقدّم تدريبًا ولا تسويقًا</w:t>
            </w:r>
          </w:p>
        </w:tc>
        <w:tc>
          <w:tcPr>
            <w:tcW w:type="dxa" w:w="119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مرتفعة جزئيًا</w:t>
            </w:r>
          </w:p>
        </w:tc>
      </w:tr>
      <w:tr>
        <w:tc>
          <w:tcPr>
            <w:tcW w:type="dxa" w:w="201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شركات التموين القائمة</w:t>
            </w:r>
          </w:p>
        </w:tc>
        <w:tc>
          <w:tcPr>
            <w:tcW w:type="dxa" w:w="253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علاقات مؤسسية راسخة · قدرة على العقود الكبيرة</w:t>
            </w:r>
          </w:p>
        </w:tc>
        <w:tc>
          <w:tcPr>
            <w:tcW w:type="dxa" w:w="41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لا تحمل بُعدًا تنمويًا · هيكل تكلفة أعلى في الطلبيات المتوسطة · لا تخدم صغار المنتجين إطلاقًا</w:t>
            </w:r>
          </w:p>
        </w:tc>
        <w:tc>
          <w:tcPr>
            <w:tcW w:type="dxa" w:w="119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مرتفعة</w:t>
            </w:r>
          </w:p>
        </w:tc>
      </w:tr>
      <w:tr>
        <w:tc>
          <w:tcPr>
            <w:tcW w:type="dxa" w:w="201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مراكز الأسر المنتجة القائمة</w:t>
            </w:r>
          </w:p>
        </w:tc>
        <w:tc>
          <w:tcPr>
            <w:tcW w:type="dxa" w:w="253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قرب من الفئة المستهدفة · قبول مجتمعي</w:t>
            </w:r>
          </w:p>
        </w:tc>
        <w:tc>
          <w:tcPr>
            <w:tcW w:type="dxa" w:w="41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غالبًا منافذ عرض لا منشآت تصنيع · طاقة محدودة · بلا ترخيص إنتاجي ولا قدرة على العقد المؤسسي · تعتمد على الدعم المتكرر</w:t>
            </w:r>
          </w:p>
        </w:tc>
        <w:tc>
          <w:tcPr>
            <w:tcW w:type="dxa" w:w="119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منخفضة</w:t>
            </w:r>
          </w:p>
        </w:tc>
      </w:tr>
      <w:tr>
        <w:tc>
          <w:tcPr>
            <w:tcW w:type="dxa" w:w="201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الإنتاج المنزلي غير النظامي</w:t>
            </w:r>
          </w:p>
        </w:tc>
        <w:tc>
          <w:tcPr>
            <w:tcW w:type="dxa" w:w="253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تكلفة شبه معدومة · سعر منخفض · قناة اجتماعية مباشرة</w:t>
            </w:r>
          </w:p>
        </w:tc>
        <w:tc>
          <w:tcPr>
            <w:tcW w:type="dxa" w:w="41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لا يستطيع دخول القناة المؤسسية ولا التجزئة المنظمة · لا ضمان جودة ولا استمرارية · وهو الشريحة التي يستوعبها المشروع لا التي ينافسها</w:t>
            </w:r>
          </w:p>
        </w:tc>
        <w:tc>
          <w:tcPr>
            <w:tcW w:type="dxa" w:w="119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منخفضة</w:t>
            </w:r>
          </w:p>
        </w:tc>
      </w:tr>
    </w:tbl>
    <w:p>
      <w:pPr>
        <w:bidi/>
        <w:spacing w:after="14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تحديد الفجوة</w:t>
      </w:r>
    </w:p>
    <w:p>
      <w:pPr>
        <w:bidi/>
        <w:spacing w:after="140" w:before="0" w:line="300"/>
        <w:jc w:val="both"/>
      </w:pPr>
      <w:r>
        <w:rPr>
          <w:rFonts w:ascii="Arial" w:cs="Arial" w:hAnsi="Arial"/>
          <w:b w:val="false"/>
          <w:i w:val="false"/>
          <w:color w:val="48534C"/>
          <w:sz w:val="20"/>
          <w:szCs w:val="20"/>
          <w:rtl/>
        </w:rPr>
        <w:t xml:space="preserve">قيست الفجوة بوحدة </w:t>
      </w:r>
      <w:r>
        <w:rPr>
          <w:rFonts w:ascii="Arial" w:cs="Arial" w:hAnsi="Arial"/>
          <w:b/>
          <w:bCs/>
          <w:i w:val="false"/>
          <w:color w:val="48534C"/>
          <w:sz w:val="20"/>
          <w:szCs w:val="20"/>
          <w:rtl/>
        </w:rPr>
        <w:t xml:space="preserve">الساعة التشغيلية المكافئة</w:t>
      </w:r>
      <w:r>
        <w:rPr>
          <w:rFonts w:ascii="Arial" w:cs="Arial" w:hAnsi="Arial"/>
          <w:b w:val="false"/>
          <w:i w:val="false"/>
          <w:color w:val="48534C"/>
          <w:sz w:val="20"/>
          <w:szCs w:val="20"/>
          <w:rtl/>
        </w:rPr>
        <w:t xml:space="preserve"> — أي مجموع ساعات التصنيع والتعبئة المرخّصة التي يطلبها صغار المنتجون في نطاق الرياض سنويًا، مقابل ما يستطيع العرض القائم تقديمه فعليًا. واختيرت هذه الوحدة لأنها تُقاس على جانبَي المعادلة بالطريقة نفسها، بخلاف القياس بالقيمة الذي يختلط فيه أثر السعر بأثر الحجم:</w:t>
      </w:r>
    </w:p>
    <w:p>
      <w:pPr>
        <w:keepNext/>
        <w:bidi/>
        <w:spacing w:after="100" w:before="200" w:line="300"/>
        <w:jc w:val="start"/>
      </w:pPr>
      <w:r>
        <w:rPr>
          <w:rFonts w:ascii="Arial" w:cs="Arial" w:hAnsi="Arial"/>
          <w:b/>
          <w:bCs/>
          <w:i w:val="false"/>
          <w:color w:val="8A6A12"/>
          <w:sz w:val="16"/>
          <w:szCs w:val="16"/>
          <w:rtl/>
        </w:rPr>
        <w:t xml:space="preserve">شكل 7  </w:t>
      </w:r>
      <w:r>
        <w:rPr>
          <w:rFonts w:ascii="Arial" w:cs="Arial" w:hAnsi="Arial"/>
          <w:b/>
          <w:bCs/>
          <w:i w:val="false"/>
          <w:color w:val="111A15"/>
          <w:sz w:val="18"/>
          <w:szCs w:val="18"/>
          <w:rtl/>
        </w:rPr>
        <w:t xml:space="preserve">الطلب مقابل العرض المتاح وحجم الفجوة غير الملبّاة</w:t>
      </w:r>
    </w:p>
    <w:p>
      <w:pPr>
        <w:keepNext/>
        <w:bidi/>
        <w:spacing w:after="80"/>
        <w:jc w:val="center"/>
      </w:pPr>
      <w:r>
        <w:drawing>
          <wp:inline distT="0" distB="0" distL="0" distR="0">
            <wp:extent cx="623887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38875" cy="3457575"/>
                    </a:xfrm>
                    <a:prstGeom prst="rect">
                      <a:avLst/>
                    </a:prstGeom>
                  </pic:spPr>
                </pic:pic>
              </a:graphicData>
            </a:graphic>
          </wp:inline>
        </w:drawing>
      </w:r>
    </w:p>
    <w:p>
      <w:pPr>
        <w:bidi/>
        <w:spacing w:after="200" w:before="0" w:line="300"/>
        <w:jc w:val="both"/>
      </w:pPr>
      <w:r>
        <w:rPr>
          <w:rFonts w:ascii="Arial" w:cs="Arial" w:hAnsi="Arial"/>
          <w:b w:val="false"/>
          <w:i w:val="false"/>
          <w:color w:val="77817A"/>
          <w:sz w:val="16"/>
          <w:szCs w:val="16"/>
          <w:rtl/>
        </w:rPr>
        <w:t xml:space="preserve">تتقلّص نسبة الفجوة تدريجيًا مع دخول عرض جديد إلى السوق، لكنها تبقى فوق 46٪ حتى السنة الخامسة. ويغطي المشروع في أفضل أحواله نحو نصف هذه الفجوة — أي أن السوق يتسع لأكثر من مشروع مماثل، وهو ما يحصّن الدراسة من اتهام المبالغة في تقدير الحصة.</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7"/>
        <w:gridCol w:w="1638"/>
        <w:gridCol w:w="1638"/>
        <w:gridCol w:w="1392"/>
        <w:gridCol w:w="1638"/>
        <w:gridCol w:w="1833"/>
      </w:tblGrid>
      <w:tr>
        <w:trPr>
          <w:tblHeader/>
        </w:trPr>
        <w:tc>
          <w:tcPr>
            <w:tcW w:type="dxa" w:w="1727"/>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السنة</w:t>
            </w:r>
          </w:p>
        </w:tc>
        <w:tc>
          <w:tcPr>
            <w:tcW w:type="dxa" w:w="1638"/>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الطلب (ألف ساعة)</w:t>
            </w:r>
          </w:p>
        </w:tc>
        <w:tc>
          <w:tcPr>
            <w:tcW w:type="dxa" w:w="1638"/>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العرض (ألف ساعة)</w:t>
            </w:r>
          </w:p>
        </w:tc>
        <w:tc>
          <w:tcPr>
            <w:tcW w:type="dxa" w:w="1392"/>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الفجوة</w:t>
            </w:r>
          </w:p>
        </w:tc>
        <w:tc>
          <w:tcPr>
            <w:tcW w:type="dxa" w:w="1638"/>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نسبة الفجوة</w:t>
            </w:r>
          </w:p>
        </w:tc>
        <w:tc>
          <w:tcPr>
            <w:tcW w:type="dxa" w:w="1833"/>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تغطية المشروع للفجوة</w:t>
            </w:r>
          </w:p>
        </w:tc>
      </w:tr>
      <w:tr>
        <w:tc>
          <w:tcPr>
            <w:tcW w:type="dxa" w:w="172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السنة 1</w:t>
            </w:r>
          </w:p>
        </w:tc>
        <w:tc>
          <w:tcPr>
            <w:tcW w:type="dxa" w:w="163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41.5</w:t>
            </w:r>
          </w:p>
        </w:tc>
        <w:tc>
          <w:tcPr>
            <w:tcW w:type="dxa" w:w="163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17.2</w:t>
            </w:r>
          </w:p>
        </w:tc>
        <w:tc>
          <w:tcPr>
            <w:tcW w:type="dxa" w:w="139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24.3</w:t>
            </w:r>
          </w:p>
        </w:tc>
        <w:tc>
          <w:tcPr>
            <w:tcW w:type="dxa" w:w="163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58.6٪</w:t>
            </w:r>
          </w:p>
        </w:tc>
        <w:tc>
          <w:tcPr>
            <w:tcW w:type="dxa" w:w="183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28.1٪</w:t>
            </w:r>
          </w:p>
        </w:tc>
      </w:tr>
      <w:tr>
        <w:tc>
          <w:tcPr>
            <w:tcW w:type="dxa" w:w="172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السنة 2</w:t>
            </w:r>
          </w:p>
        </w:tc>
        <w:tc>
          <w:tcPr>
            <w:tcW w:type="dxa" w:w="163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46.8</w:t>
            </w:r>
          </w:p>
        </w:tc>
        <w:tc>
          <w:tcPr>
            <w:tcW w:type="dxa" w:w="163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20.6</w:t>
            </w:r>
          </w:p>
        </w:tc>
        <w:tc>
          <w:tcPr>
            <w:tcW w:type="dxa" w:w="139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26.2</w:t>
            </w:r>
          </w:p>
        </w:tc>
        <w:tc>
          <w:tcPr>
            <w:tcW w:type="dxa" w:w="163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56.0٪</w:t>
            </w:r>
          </w:p>
        </w:tc>
        <w:tc>
          <w:tcPr>
            <w:tcW w:type="dxa" w:w="183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39.8٪</w:t>
            </w:r>
          </w:p>
        </w:tc>
      </w:tr>
      <w:tr>
        <w:tc>
          <w:tcPr>
            <w:tcW w:type="dxa" w:w="172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السنة 3</w:t>
            </w:r>
          </w:p>
        </w:tc>
        <w:tc>
          <w:tcPr>
            <w:tcW w:type="dxa" w:w="163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52.9</w:t>
            </w:r>
          </w:p>
        </w:tc>
        <w:tc>
          <w:tcPr>
            <w:tcW w:type="dxa" w:w="163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24.9</w:t>
            </w:r>
          </w:p>
        </w:tc>
        <w:tc>
          <w:tcPr>
            <w:tcW w:type="dxa" w:w="139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28.0</w:t>
            </w:r>
          </w:p>
        </w:tc>
        <w:tc>
          <w:tcPr>
            <w:tcW w:type="dxa" w:w="163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52.9٪</w:t>
            </w:r>
          </w:p>
        </w:tc>
        <w:tc>
          <w:tcPr>
            <w:tcW w:type="dxa" w:w="183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46.3٪</w:t>
            </w:r>
          </w:p>
        </w:tc>
      </w:tr>
      <w:tr>
        <w:tc>
          <w:tcPr>
            <w:tcW w:type="dxa" w:w="172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السنة 4</w:t>
            </w:r>
          </w:p>
        </w:tc>
        <w:tc>
          <w:tcPr>
            <w:tcW w:type="dxa" w:w="163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59.4</w:t>
            </w:r>
          </w:p>
        </w:tc>
        <w:tc>
          <w:tcPr>
            <w:tcW w:type="dxa" w:w="163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29.8</w:t>
            </w:r>
          </w:p>
        </w:tc>
        <w:tc>
          <w:tcPr>
            <w:tcW w:type="dxa" w:w="139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29.6</w:t>
            </w:r>
          </w:p>
        </w:tc>
        <w:tc>
          <w:tcPr>
            <w:tcW w:type="dxa" w:w="163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49.8٪</w:t>
            </w:r>
          </w:p>
        </w:tc>
        <w:tc>
          <w:tcPr>
            <w:tcW w:type="dxa" w:w="183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49.9٪</w:t>
            </w:r>
          </w:p>
        </w:tc>
      </w:tr>
      <w:tr>
        <w:tc>
          <w:tcPr>
            <w:tcW w:type="dxa" w:w="172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السنة 5</w:t>
            </w:r>
          </w:p>
        </w:tc>
        <w:tc>
          <w:tcPr>
            <w:tcW w:type="dxa" w:w="163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66.2</w:t>
            </w:r>
          </w:p>
        </w:tc>
        <w:tc>
          <w:tcPr>
            <w:tcW w:type="dxa" w:w="163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35.4</w:t>
            </w:r>
          </w:p>
        </w:tc>
        <w:tc>
          <w:tcPr>
            <w:tcW w:type="dxa" w:w="139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30.8</w:t>
            </w:r>
          </w:p>
        </w:tc>
        <w:tc>
          <w:tcPr>
            <w:tcW w:type="dxa" w:w="163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46.5٪</w:t>
            </w:r>
          </w:p>
        </w:tc>
        <w:tc>
          <w:tcPr>
            <w:tcW w:type="dxa" w:w="183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52.1٪</w:t>
            </w:r>
          </w:p>
        </w:tc>
      </w:tr>
    </w:tbl>
    <w:p>
      <w:pPr>
        <w:bidi/>
        <w:spacing w:after="140" w:before="0" w:line="300"/>
        <w:jc w:val="both"/>
      </w:pPr>
      <w:r>
        <w:rPr>
          <w:rFonts w:ascii="Arial" w:cs="Arial" w:hAnsi="Arial"/>
          <w:b w:val="false"/>
          <w:i w:val="false"/>
          <w:color w:val="48534C"/>
          <w:sz w:val="8"/>
          <w:szCs w:val="8"/>
          <w:rtl/>
        </w:rPr>
        <w:t xml:space="preserve"/>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c>
          <w:tcPr>
            <w:tcW w:type="dxa" w:w="9866"/>
            <w:tcBorders>
              <w:top w:val="single" w:color="DBE2DB" w:sz="4"/>
              <w:left w:val="single" w:color="DBE2DB" w:sz="4"/>
              <w:bottom w:val="single" w:color="DBE2DB" w:sz="4"/>
              <w:right w:val="single" w:color="0E5A49" w:sz="22"/>
            </w:tcBorders>
            <w:shd w:fill="FBFCFA" w:color="auto" w:val="clear"/>
            <w:tcMar>
              <w:top w:type="dxa" w:w="120"/>
              <w:left w:type="dxa" w:w="160"/>
              <w:bottom w:type="dxa" w:w="120"/>
              <w:right w:type="dxa" w:w="160"/>
            </w:tcMar>
          </w:tcPr>
          <w:p>
            <w:pPr>
              <w:bidi/>
              <w:spacing w:after="80" w:before="40" w:line="280"/>
              <w:jc w:val="start"/>
            </w:pPr>
            <w:r>
              <w:rPr>
                <w:rFonts w:ascii="Arial" w:cs="Arial" w:hAnsi="Arial"/>
                <w:b/>
                <w:bCs/>
                <w:i w:val="false"/>
                <w:color w:val="0E5A49"/>
                <w:sz w:val="19"/>
                <w:szCs w:val="19"/>
                <w:rtl/>
              </w:rPr>
              <w:t xml:space="preserve">القراءة الاستراتيجية للفجوة</w:t>
            </w:r>
          </w:p>
          <w:p>
            <w:pPr>
              <w:bidi/>
              <w:spacing w:after="80" w:line="290"/>
              <w:jc w:val="both"/>
            </w:pPr>
            <w:r>
              <w:rPr>
                <w:rFonts w:ascii="Arial" w:cs="Arial" w:hAnsi="Arial"/>
                <w:b w:val="false"/>
                <w:i w:val="false"/>
                <w:color w:val="48534C"/>
                <w:sz w:val="18"/>
                <w:szCs w:val="18"/>
                <w:rtl/>
              </w:rPr>
              <w:t xml:space="preserve">الفجوة تتقلّص نسبيًا لكنها تتّسع مطلقًا: من 24.3 ألف ساعة إلى 30.8 ألف ساعة. هذا يعني أن نافذة الدخول مفتوحة لكنها ليست مفتوحة إلى الأبد — فكل سنة تأخير تعني دخول عرض منافس يقتطع من الحصة المتاحة. </w:t>
            </w:r>
            <w:r>
              <w:rPr>
                <w:rFonts w:ascii="Arial" w:cs="Arial" w:hAnsi="Arial"/>
                <w:b/>
                <w:bCs/>
                <w:i w:val="false"/>
                <w:color w:val="48534C"/>
                <w:sz w:val="18"/>
                <w:szCs w:val="18"/>
                <w:rtl/>
              </w:rPr>
              <w:t xml:space="preserve">التوقيت هنا متغيّر استراتيجي لا تفصيل إداري</w:t>
            </w:r>
            <w:r>
              <w:rPr>
                <w:rFonts w:ascii="Arial" w:cs="Arial" w:hAnsi="Arial"/>
                <w:b w:val="false"/>
                <w:i w:val="false"/>
                <w:color w:val="48534C"/>
                <w:sz w:val="18"/>
                <w:szCs w:val="18"/>
                <w:rtl/>
              </w:rPr>
              <w:t xml:space="preserve">، وهو ما يبرر ضغط الجدول الزمني إلى 14 شهرًا حتى الإطلاق.</w:t>
            </w:r>
          </w:p>
        </w:tc>
      </w:tr>
    </w:tbl>
    <w:p>
      <w:pPr>
        <w:bidi/>
        <w:spacing w:after="16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بنية المنافسة — القوى الخمس</w:t>
      </w:r>
    </w:p>
    <w:p>
      <w:pPr>
        <w:keepNext/>
        <w:bidi/>
        <w:spacing w:after="100" w:before="200" w:line="300"/>
        <w:jc w:val="start"/>
      </w:pPr>
      <w:r>
        <w:rPr>
          <w:rFonts w:ascii="Arial" w:cs="Arial" w:hAnsi="Arial"/>
          <w:b/>
          <w:bCs/>
          <w:i w:val="false"/>
          <w:color w:val="8A6A12"/>
          <w:sz w:val="16"/>
          <w:szCs w:val="16"/>
          <w:rtl/>
        </w:rPr>
        <w:t xml:space="preserve">شكل 8  </w:t>
      </w:r>
      <w:r>
        <w:rPr>
          <w:rFonts w:ascii="Arial" w:cs="Arial" w:hAnsi="Arial"/>
          <w:b/>
          <w:bCs/>
          <w:i w:val="false"/>
          <w:color w:val="111A15"/>
          <w:sz w:val="18"/>
          <w:szCs w:val="18"/>
          <w:rtl/>
        </w:rPr>
        <w:t xml:space="preserve">تقييم جاذبية القطاع وفق نموذج القوى التنافسية الخمس</w:t>
      </w:r>
    </w:p>
    <w:p>
      <w:pPr>
        <w:keepNext/>
        <w:bidi/>
        <w:spacing w:after="80"/>
        <w:jc w:val="center"/>
      </w:pPr>
      <w:r>
        <w:drawing>
          <wp:inline distT="0" distB="0" distL="0" distR="0">
            <wp:extent cx="6238875"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38875" cy="3752850"/>
                    </a:xfrm>
                    <a:prstGeom prst="rect">
                      <a:avLst/>
                    </a:prstGeom>
                  </pic:spPr>
                </pic:pic>
              </a:graphicData>
            </a:graphic>
          </wp:inline>
        </w:drawing>
      </w:r>
    </w:p>
    <w:p>
      <w:pPr>
        <w:bidi/>
        <w:spacing w:after="200" w:before="0" w:line="300"/>
        <w:jc w:val="both"/>
      </w:pPr>
      <w:r>
        <w:rPr>
          <w:rFonts w:ascii="Arial" w:cs="Arial" w:hAnsi="Arial"/>
          <w:b w:val="false"/>
          <w:i w:val="false"/>
          <w:color w:val="77817A"/>
          <w:sz w:val="16"/>
          <w:szCs w:val="16"/>
          <w:rtl/>
        </w:rPr>
        <w:t xml:space="preserve">القوة الحرجة هي قوة المشترين المؤسسيين، إذ يستطيع عميل واحد كبير فرض شروط سعرية قاسية. ويُعالج هذا بسقف تركّز 25٪ لأي عميل منفرد، وبتنويع المزيج بين المؤسسي والتجزئة وخدمات التصنيع والقناة الإلكترونية بنسب 50٪ و30٪ و12٪ و8٪.</w:t>
      </w:r>
    </w:p>
    <w:p>
      <w:pPr>
        <w:pStyle w:val="Heading2"/>
        <w:keepNext/>
        <w:bidi/>
        <w:spacing w:after="120" w:before="300" w:line="300"/>
        <w:jc w:val="start"/>
        <w:outlineLvl w:val="1"/>
      </w:pPr>
      <w:r>
        <w:rPr>
          <w:rFonts w:ascii="Arial" w:cs="Arial" w:hAnsi="Arial"/>
          <w:b/>
          <w:bCs/>
          <w:i w:val="false"/>
          <w:color w:val="0E5A49"/>
          <w:sz w:val="24"/>
          <w:szCs w:val="24"/>
          <w:rtl/>
        </w:rPr>
        <w:t xml:space="preserve">التحليل الرباعي (SWOT)</w:t>
      </w:r>
    </w:p>
    <w:p>
      <w:pPr>
        <w:keepNext/>
        <w:bidi/>
        <w:spacing w:after="100" w:before="200" w:line="300"/>
        <w:jc w:val="start"/>
      </w:pPr>
      <w:r>
        <w:rPr>
          <w:rFonts w:ascii="Arial" w:cs="Arial" w:hAnsi="Arial"/>
          <w:b/>
          <w:bCs/>
          <w:i w:val="false"/>
          <w:color w:val="8A6A12"/>
          <w:sz w:val="16"/>
          <w:szCs w:val="16"/>
          <w:rtl/>
        </w:rPr>
        <w:t xml:space="preserve">شكل 9  </w:t>
      </w:r>
      <w:r>
        <w:rPr>
          <w:rFonts w:ascii="Arial" w:cs="Arial" w:hAnsi="Arial"/>
          <w:b/>
          <w:bCs/>
          <w:i w:val="false"/>
          <w:color w:val="111A15"/>
          <w:sz w:val="18"/>
          <w:szCs w:val="18"/>
          <w:rtl/>
        </w:rPr>
        <w:t xml:space="preserve">مواطن القوة والضعف والفرص والتهديدات</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33"/>
        <w:gridCol w:w="4933"/>
      </w:tblGrid>
      <w:tr>
        <w:tc>
          <w:tcPr>
            <w:tcW w:type="dxa" w:w="4933"/>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bCs/>
                <w:i w:val="false"/>
                <w:color w:val="0E5A49"/>
                <w:sz w:val="18"/>
                <w:szCs w:val="18"/>
                <w:rtl/>
              </w:rPr>
              <w:t xml:space="preserve">مواطن القوة</w:t>
            </w:r>
          </w:p>
          <w:p>
            <w:pPr>
              <w:bidi/>
              <w:spacing w:after="40" w:line="270"/>
              <w:jc w:val="both"/>
            </w:pPr>
            <w:r>
              <w:rPr>
                <w:rFonts w:ascii="Arial" w:cs="Arial" w:hAnsi="Arial"/>
                <w:b w:val="false"/>
                <w:i w:val="false"/>
                <w:color w:val="8A6A12"/>
                <w:sz w:val="20"/>
                <w:szCs w:val="20"/>
                <w:rtl/>
              </w:rPr>
              <w:t xml:space="preserve">•  </w:t>
            </w:r>
            <w:r>
              <w:rPr>
                <w:rFonts w:ascii="Arial" w:cs="Arial" w:hAnsi="Arial"/>
                <w:b w:val="false"/>
                <w:i w:val="false"/>
                <w:color w:val="48534C"/>
                <w:sz w:val="16"/>
                <w:szCs w:val="16"/>
                <w:rtl/>
              </w:rPr>
              <w:t xml:space="preserve">نموذج تشغيلي لا يوجد له نظير مباشر يجمع التصنيع والتأهيل والتسويق</w:t>
            </w:r>
          </w:p>
          <w:p>
            <w:pPr>
              <w:bidi/>
              <w:spacing w:after="40" w:line="270"/>
              <w:jc w:val="both"/>
            </w:pPr>
            <w:r>
              <w:rPr>
                <w:rFonts w:ascii="Arial" w:cs="Arial" w:hAnsi="Arial"/>
                <w:b w:val="false"/>
                <w:i w:val="false"/>
                <w:color w:val="8A6A12"/>
                <w:sz w:val="20"/>
                <w:szCs w:val="20"/>
                <w:rtl/>
              </w:rPr>
              <w:t xml:space="preserve">•  </w:t>
            </w:r>
            <w:r>
              <w:rPr>
                <w:rFonts w:ascii="Arial" w:cs="Arial" w:hAnsi="Arial"/>
                <w:b w:val="false"/>
                <w:i w:val="false"/>
                <w:color w:val="48534C"/>
                <w:sz w:val="16"/>
                <w:szCs w:val="16"/>
                <w:rtl/>
              </w:rPr>
              <w:t xml:space="preserve">قاعدة مستفيدات جاهزة في سجل الجمعية دون تكلفة استقطاب</w:t>
            </w:r>
          </w:p>
          <w:p>
            <w:pPr>
              <w:bidi/>
              <w:spacing w:after="40" w:line="270"/>
              <w:jc w:val="both"/>
            </w:pPr>
            <w:r>
              <w:rPr>
                <w:rFonts w:ascii="Arial" w:cs="Arial" w:hAnsi="Arial"/>
                <w:b w:val="false"/>
                <w:i w:val="false"/>
                <w:color w:val="8A6A12"/>
                <w:sz w:val="20"/>
                <w:szCs w:val="20"/>
                <w:rtl/>
              </w:rPr>
              <w:t xml:space="preserve">•  </w:t>
            </w:r>
            <w:r>
              <w:rPr>
                <w:rFonts w:ascii="Arial" w:cs="Arial" w:hAnsi="Arial"/>
                <w:b w:val="false"/>
                <w:i w:val="false"/>
                <w:color w:val="48534C"/>
                <w:sz w:val="16"/>
                <w:szCs w:val="16"/>
                <w:rtl/>
              </w:rPr>
              <w:t xml:space="preserve">أفضلية شرائية لدى الجهات الحكومية والمانحة لكونه ذا أثر اجتماعي</w:t>
            </w:r>
          </w:p>
          <w:p>
            <w:pPr>
              <w:bidi/>
              <w:spacing w:after="40" w:line="270"/>
              <w:jc w:val="both"/>
            </w:pPr>
            <w:r>
              <w:rPr>
                <w:rFonts w:ascii="Arial" w:cs="Arial" w:hAnsi="Arial"/>
                <w:b w:val="false"/>
                <w:i w:val="false"/>
                <w:color w:val="8A6A12"/>
                <w:sz w:val="20"/>
                <w:szCs w:val="20"/>
                <w:rtl/>
              </w:rPr>
              <w:t xml:space="preserve">•  </w:t>
            </w:r>
            <w:r>
              <w:rPr>
                <w:rFonts w:ascii="Arial" w:cs="Arial" w:hAnsi="Arial"/>
                <w:b w:val="false"/>
                <w:i w:val="false"/>
                <w:color w:val="48534C"/>
                <w:sz w:val="16"/>
                <w:szCs w:val="16"/>
                <w:rtl/>
              </w:rPr>
              <w:t xml:space="preserve">هيكل تكلفة عمالة مرن قائم على أجر القطعة لا الرواتب الثابتة</w:t>
            </w:r>
          </w:p>
          <w:p>
            <w:pPr>
              <w:bidi/>
              <w:spacing w:after="40" w:line="270"/>
              <w:jc w:val="both"/>
            </w:pPr>
            <w:r>
              <w:rPr>
                <w:rFonts w:ascii="Arial" w:cs="Arial" w:hAnsi="Arial"/>
                <w:b w:val="false"/>
                <w:i w:val="false"/>
                <w:color w:val="8A6A12"/>
                <w:sz w:val="20"/>
                <w:szCs w:val="20"/>
                <w:rtl/>
              </w:rPr>
              <w:t xml:space="preserve">•  </w:t>
            </w:r>
            <w:r>
              <w:rPr>
                <w:rFonts w:ascii="Arial" w:cs="Arial" w:hAnsi="Arial"/>
                <w:b w:val="false"/>
                <w:i w:val="false"/>
                <w:color w:val="48534C"/>
                <w:sz w:val="16"/>
                <w:szCs w:val="16"/>
                <w:rtl/>
              </w:rPr>
              <w:t xml:space="preserve">المقر بحق انتفاع من الجمعية يوفّر 525 ألف ريال سنويًا</w:t>
            </w:r>
          </w:p>
        </w:tc>
        <w:tc>
          <w:tcPr>
            <w:tcW w:type="dxa" w:w="4933"/>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bCs/>
                <w:i w:val="false"/>
                <w:color w:val="0E5A49"/>
                <w:sz w:val="18"/>
                <w:szCs w:val="18"/>
                <w:rtl/>
              </w:rPr>
              <w:t xml:space="preserve">مواطن الضعف</w:t>
            </w:r>
          </w:p>
          <w:p>
            <w:pPr>
              <w:bidi/>
              <w:spacing w:after="40" w:line="270"/>
              <w:jc w:val="both"/>
            </w:pPr>
            <w:r>
              <w:rPr>
                <w:rFonts w:ascii="Arial" w:cs="Arial" w:hAnsi="Arial"/>
                <w:b w:val="false"/>
                <w:i w:val="false"/>
                <w:color w:val="8A6A12"/>
                <w:sz w:val="20"/>
                <w:szCs w:val="20"/>
                <w:rtl/>
              </w:rPr>
              <w:t xml:space="preserve">•  </w:t>
            </w:r>
            <w:r>
              <w:rPr>
                <w:rFonts w:ascii="Arial" w:cs="Arial" w:hAnsi="Arial"/>
                <w:b w:val="false"/>
                <w:i w:val="false"/>
                <w:color w:val="48534C"/>
                <w:sz w:val="16"/>
                <w:szCs w:val="16"/>
                <w:rtl/>
              </w:rPr>
              <w:t xml:space="preserve">لا خبرة تشغيلية سابقة للجمعية في إدارة منشأة صناعية</w:t>
            </w:r>
          </w:p>
          <w:p>
            <w:pPr>
              <w:bidi/>
              <w:spacing w:after="40" w:line="270"/>
              <w:jc w:val="both"/>
            </w:pPr>
            <w:r>
              <w:rPr>
                <w:rFonts w:ascii="Arial" w:cs="Arial" w:hAnsi="Arial"/>
                <w:b w:val="false"/>
                <w:i w:val="false"/>
                <w:color w:val="8A6A12"/>
                <w:sz w:val="20"/>
                <w:szCs w:val="20"/>
                <w:rtl/>
              </w:rPr>
              <w:t xml:space="preserve">•  </w:t>
            </w:r>
            <w:r>
              <w:rPr>
                <w:rFonts w:ascii="Arial" w:cs="Arial" w:hAnsi="Arial"/>
                <w:b w:val="false"/>
                <w:i w:val="false"/>
                <w:color w:val="48534C"/>
                <w:sz w:val="16"/>
                <w:szCs w:val="16"/>
                <w:rtl/>
              </w:rPr>
              <w:t xml:space="preserve">اعتماد مرتفع على عقود التموين المؤسسي في مزيج الإيراد</w:t>
            </w:r>
          </w:p>
          <w:p>
            <w:pPr>
              <w:bidi/>
              <w:spacing w:after="40" w:line="270"/>
              <w:jc w:val="both"/>
            </w:pPr>
            <w:r>
              <w:rPr>
                <w:rFonts w:ascii="Arial" w:cs="Arial" w:hAnsi="Arial"/>
                <w:b w:val="false"/>
                <w:i w:val="false"/>
                <w:color w:val="8A6A12"/>
                <w:sz w:val="20"/>
                <w:szCs w:val="20"/>
                <w:rtl/>
              </w:rPr>
              <w:t xml:space="preserve">•  </w:t>
            </w:r>
            <w:r>
              <w:rPr>
                <w:rFonts w:ascii="Arial" w:cs="Arial" w:hAnsi="Arial"/>
                <w:b w:val="false"/>
                <w:i w:val="false"/>
                <w:color w:val="48534C"/>
                <w:sz w:val="16"/>
                <w:szCs w:val="16"/>
                <w:rtl/>
              </w:rPr>
              <w:t xml:space="preserve">عبء إهلاك مرتفع يؤخّر الفائض المحاسبي إلى السنة الرابعة</w:t>
            </w:r>
          </w:p>
          <w:p>
            <w:pPr>
              <w:bidi/>
              <w:spacing w:after="40" w:line="270"/>
              <w:jc w:val="both"/>
            </w:pPr>
            <w:r>
              <w:rPr>
                <w:rFonts w:ascii="Arial" w:cs="Arial" w:hAnsi="Arial"/>
                <w:b w:val="false"/>
                <w:i w:val="false"/>
                <w:color w:val="8A6A12"/>
                <w:sz w:val="20"/>
                <w:szCs w:val="20"/>
                <w:rtl/>
              </w:rPr>
              <w:t xml:space="preserve">•  </w:t>
            </w:r>
            <w:r>
              <w:rPr>
                <w:rFonts w:ascii="Arial" w:cs="Arial" w:hAnsi="Arial"/>
                <w:b w:val="false"/>
                <w:i w:val="false"/>
                <w:color w:val="48534C"/>
                <w:sz w:val="16"/>
                <w:szCs w:val="16"/>
                <w:rtl/>
              </w:rPr>
              <w:t xml:space="preserve">تقلّب محتمل في التزام المستفيدات بساعات الإنتاج</w:t>
            </w:r>
          </w:p>
          <w:p>
            <w:pPr>
              <w:bidi/>
              <w:spacing w:after="40" w:line="270"/>
              <w:jc w:val="both"/>
            </w:pPr>
            <w:r>
              <w:rPr>
                <w:rFonts w:ascii="Arial" w:cs="Arial" w:hAnsi="Arial"/>
                <w:b w:val="false"/>
                <w:i w:val="false"/>
                <w:color w:val="8A6A12"/>
                <w:sz w:val="20"/>
                <w:szCs w:val="20"/>
                <w:rtl/>
              </w:rPr>
              <w:t xml:space="preserve">•  </w:t>
            </w:r>
            <w:r>
              <w:rPr>
                <w:rFonts w:ascii="Arial" w:cs="Arial" w:hAnsi="Arial"/>
                <w:b w:val="false"/>
                <w:i w:val="false"/>
                <w:color w:val="48534C"/>
                <w:sz w:val="16"/>
                <w:szCs w:val="16"/>
                <w:rtl/>
              </w:rPr>
              <w:t xml:space="preserve">دورة بيع طويلة في القناة المؤسسية تضغط على السنة الأولى</w:t>
            </w:r>
          </w:p>
        </w:tc>
      </w:tr>
      <w:tr>
        <w:tc>
          <w:tcPr>
            <w:tcW w:type="dxa" w:w="4933"/>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bCs/>
                <w:i w:val="false"/>
                <w:color w:val="0E5A49"/>
                <w:sz w:val="18"/>
                <w:szCs w:val="18"/>
                <w:rtl/>
              </w:rPr>
              <w:t xml:space="preserve">الفرص</w:t>
            </w:r>
          </w:p>
          <w:p>
            <w:pPr>
              <w:bidi/>
              <w:spacing w:after="40" w:line="270"/>
              <w:jc w:val="both"/>
            </w:pPr>
            <w:r>
              <w:rPr>
                <w:rFonts w:ascii="Arial" w:cs="Arial" w:hAnsi="Arial"/>
                <w:b w:val="false"/>
                <w:i w:val="false"/>
                <w:color w:val="8A6A12"/>
                <w:sz w:val="20"/>
                <w:szCs w:val="20"/>
                <w:rtl/>
              </w:rPr>
              <w:t xml:space="preserve">•  </w:t>
            </w:r>
            <w:r>
              <w:rPr>
                <w:rFonts w:ascii="Arial" w:cs="Arial" w:hAnsi="Arial"/>
                <w:b w:val="false"/>
                <w:i w:val="false"/>
                <w:color w:val="48534C"/>
                <w:sz w:val="16"/>
                <w:szCs w:val="16"/>
                <w:rtl/>
              </w:rPr>
              <w:t xml:space="preserve">فجوة عرض تتجاوز 46٪ في خدمات التصنيع المرخّص لصغار المنتجين</w:t>
            </w:r>
          </w:p>
          <w:p>
            <w:pPr>
              <w:bidi/>
              <w:spacing w:after="40" w:line="270"/>
              <w:jc w:val="both"/>
            </w:pPr>
            <w:r>
              <w:rPr>
                <w:rFonts w:ascii="Arial" w:cs="Arial" w:hAnsi="Arial"/>
                <w:b w:val="false"/>
                <w:i w:val="false"/>
                <w:color w:val="8A6A12"/>
                <w:sz w:val="20"/>
                <w:szCs w:val="20"/>
                <w:rtl/>
              </w:rPr>
              <w:t xml:space="preserve">•  </w:t>
            </w:r>
            <w:r>
              <w:rPr>
                <w:rFonts w:ascii="Arial" w:cs="Arial" w:hAnsi="Arial"/>
                <w:b w:val="false"/>
                <w:i w:val="false"/>
                <w:color w:val="48534C"/>
                <w:sz w:val="16"/>
                <w:szCs w:val="16"/>
                <w:rtl/>
              </w:rPr>
              <w:t xml:space="preserve">نمو سريع لشريحة العلامات الغذائية الناشئة غير المخدومة</w:t>
            </w:r>
          </w:p>
          <w:p>
            <w:pPr>
              <w:bidi/>
              <w:spacing w:after="40" w:line="270"/>
              <w:jc w:val="both"/>
            </w:pPr>
            <w:r>
              <w:rPr>
                <w:rFonts w:ascii="Arial" w:cs="Arial" w:hAnsi="Arial"/>
                <w:b w:val="false"/>
                <w:i w:val="false"/>
                <w:color w:val="8A6A12"/>
                <w:sz w:val="20"/>
                <w:szCs w:val="20"/>
                <w:rtl/>
              </w:rPr>
              <w:t xml:space="preserve">•  </w:t>
            </w:r>
            <w:r>
              <w:rPr>
                <w:rFonts w:ascii="Arial" w:cs="Arial" w:hAnsi="Arial"/>
                <w:b w:val="false"/>
                <w:i w:val="false"/>
                <w:color w:val="48534C"/>
                <w:sz w:val="16"/>
                <w:szCs w:val="16"/>
                <w:rtl/>
              </w:rPr>
              <w:t xml:space="preserve">توجّه مؤسسي متزايد لتعهيد خدمات التغذية</w:t>
            </w:r>
          </w:p>
          <w:p>
            <w:pPr>
              <w:bidi/>
              <w:spacing w:after="40" w:line="270"/>
              <w:jc w:val="both"/>
            </w:pPr>
            <w:r>
              <w:rPr>
                <w:rFonts w:ascii="Arial" w:cs="Arial" w:hAnsi="Arial"/>
                <w:b w:val="false"/>
                <w:i w:val="false"/>
                <w:color w:val="8A6A12"/>
                <w:sz w:val="20"/>
                <w:szCs w:val="20"/>
                <w:rtl/>
              </w:rPr>
              <w:t xml:space="preserve">•  </w:t>
            </w:r>
            <w:r>
              <w:rPr>
                <w:rFonts w:ascii="Arial" w:cs="Arial" w:hAnsi="Arial"/>
                <w:b w:val="false"/>
                <w:i w:val="false"/>
                <w:color w:val="48534C"/>
                <w:sz w:val="16"/>
                <w:szCs w:val="16"/>
                <w:rtl/>
              </w:rPr>
              <w:t xml:space="preserve">إمكان توسّع لاحق بفرع ثانٍ أو ترخيص النموذج لجمعيات أخرى</w:t>
            </w:r>
          </w:p>
          <w:p>
            <w:pPr>
              <w:bidi/>
              <w:spacing w:after="40" w:line="270"/>
              <w:jc w:val="both"/>
            </w:pPr>
            <w:r>
              <w:rPr>
                <w:rFonts w:ascii="Arial" w:cs="Arial" w:hAnsi="Arial"/>
                <w:b w:val="false"/>
                <w:i w:val="false"/>
                <w:color w:val="8A6A12"/>
                <w:sz w:val="20"/>
                <w:szCs w:val="20"/>
                <w:rtl/>
              </w:rPr>
              <w:t xml:space="preserve">•  </w:t>
            </w:r>
            <w:r>
              <w:rPr>
                <w:rFonts w:ascii="Arial" w:cs="Arial" w:hAnsi="Arial"/>
                <w:b w:val="false"/>
                <w:i w:val="false"/>
                <w:color w:val="48534C"/>
                <w:sz w:val="16"/>
                <w:szCs w:val="16"/>
                <w:rtl/>
              </w:rPr>
              <w:t xml:space="preserve">شراكات مسؤولية اجتماعية تموّل التوسّع دون منح جديدة</w:t>
            </w:r>
          </w:p>
        </w:tc>
        <w:tc>
          <w:tcPr>
            <w:tcW w:type="dxa" w:w="4933"/>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bCs/>
                <w:i w:val="false"/>
                <w:color w:val="0E5A49"/>
                <w:sz w:val="18"/>
                <w:szCs w:val="18"/>
                <w:rtl/>
              </w:rPr>
              <w:t xml:space="preserve">التهديدات</w:t>
            </w:r>
          </w:p>
          <w:p>
            <w:pPr>
              <w:bidi/>
              <w:spacing w:after="40" w:line="270"/>
              <w:jc w:val="both"/>
            </w:pPr>
            <w:r>
              <w:rPr>
                <w:rFonts w:ascii="Arial" w:cs="Arial" w:hAnsi="Arial"/>
                <w:b w:val="false"/>
                <w:i w:val="false"/>
                <w:color w:val="8A6A12"/>
                <w:sz w:val="20"/>
                <w:szCs w:val="20"/>
                <w:rtl/>
              </w:rPr>
              <w:t xml:space="preserve">•  </w:t>
            </w:r>
            <w:r>
              <w:rPr>
                <w:rFonts w:ascii="Arial" w:cs="Arial" w:hAnsi="Arial"/>
                <w:b w:val="false"/>
                <w:i w:val="false"/>
                <w:color w:val="48534C"/>
                <w:sz w:val="16"/>
                <w:szCs w:val="16"/>
                <w:rtl/>
              </w:rPr>
              <w:t xml:space="preserve">حادثة سلامة غذائية واحدة قد تُسقط ثقة السوق والعلامة معًا</w:t>
            </w:r>
          </w:p>
          <w:p>
            <w:pPr>
              <w:bidi/>
              <w:spacing w:after="40" w:line="270"/>
              <w:jc w:val="both"/>
            </w:pPr>
            <w:r>
              <w:rPr>
                <w:rFonts w:ascii="Arial" w:cs="Arial" w:hAnsi="Arial"/>
                <w:b w:val="false"/>
                <w:i w:val="false"/>
                <w:color w:val="8A6A12"/>
                <w:sz w:val="20"/>
                <w:szCs w:val="20"/>
                <w:rtl/>
              </w:rPr>
              <w:t xml:space="preserve">•  </w:t>
            </w:r>
            <w:r>
              <w:rPr>
                <w:rFonts w:ascii="Arial" w:cs="Arial" w:hAnsi="Arial"/>
                <w:b w:val="false"/>
                <w:i w:val="false"/>
                <w:color w:val="48534C"/>
                <w:sz w:val="16"/>
                <w:szCs w:val="16"/>
                <w:rtl/>
              </w:rPr>
              <w:t xml:space="preserve">تقلّب أسعار المواد الخام بما يتجاوز نطاق ‏±15٪ المفترض</w:t>
            </w:r>
          </w:p>
          <w:p>
            <w:pPr>
              <w:bidi/>
              <w:spacing w:after="40" w:line="270"/>
              <w:jc w:val="both"/>
            </w:pPr>
            <w:r>
              <w:rPr>
                <w:rFonts w:ascii="Arial" w:cs="Arial" w:hAnsi="Arial"/>
                <w:b w:val="false"/>
                <w:i w:val="false"/>
                <w:color w:val="8A6A12"/>
                <w:sz w:val="20"/>
                <w:szCs w:val="20"/>
                <w:rtl/>
              </w:rPr>
              <w:t xml:space="preserve">•  </w:t>
            </w:r>
            <w:r>
              <w:rPr>
                <w:rFonts w:ascii="Arial" w:cs="Arial" w:hAnsi="Arial"/>
                <w:b w:val="false"/>
                <w:i w:val="false"/>
                <w:color w:val="48534C"/>
                <w:sz w:val="16"/>
                <w:szCs w:val="16"/>
                <w:rtl/>
              </w:rPr>
              <w:t xml:space="preserve">دخول مشغّل تجاري بأسعار إغراقية لانتزاع الحصة</w:t>
            </w:r>
          </w:p>
          <w:p>
            <w:pPr>
              <w:bidi/>
              <w:spacing w:after="40" w:line="270"/>
              <w:jc w:val="both"/>
            </w:pPr>
            <w:r>
              <w:rPr>
                <w:rFonts w:ascii="Arial" w:cs="Arial" w:hAnsi="Arial"/>
                <w:b w:val="false"/>
                <w:i w:val="false"/>
                <w:color w:val="8A6A12"/>
                <w:sz w:val="20"/>
                <w:szCs w:val="20"/>
                <w:rtl/>
              </w:rPr>
              <w:t xml:space="preserve">•  </w:t>
            </w:r>
            <w:r>
              <w:rPr>
                <w:rFonts w:ascii="Arial" w:cs="Arial" w:hAnsi="Arial"/>
                <w:b w:val="false"/>
                <w:i w:val="false"/>
                <w:color w:val="48534C"/>
                <w:sz w:val="16"/>
                <w:szCs w:val="16"/>
                <w:rtl/>
              </w:rPr>
              <w:t xml:space="preserve">تأخّر التراخيص بما يزيح الجدول الزمني ويستهلك رأس المال العامل</w:t>
            </w:r>
          </w:p>
          <w:p>
            <w:pPr>
              <w:bidi/>
              <w:spacing w:after="40" w:line="270"/>
              <w:jc w:val="both"/>
            </w:pPr>
            <w:r>
              <w:rPr>
                <w:rFonts w:ascii="Arial" w:cs="Arial" w:hAnsi="Arial"/>
                <w:b w:val="false"/>
                <w:i w:val="false"/>
                <w:color w:val="8A6A12"/>
                <w:sz w:val="20"/>
                <w:szCs w:val="20"/>
                <w:rtl/>
              </w:rPr>
              <w:t xml:space="preserve">•  </w:t>
            </w:r>
            <w:r>
              <w:rPr>
                <w:rFonts w:ascii="Arial" w:cs="Arial" w:hAnsi="Arial"/>
                <w:b w:val="false"/>
                <w:i w:val="false"/>
                <w:color w:val="48534C"/>
                <w:sz w:val="16"/>
                <w:szCs w:val="16"/>
                <w:rtl/>
              </w:rPr>
              <w:t xml:space="preserve">تغيّر الاشتراطات التنظيمية بما يستوجب استثمارًا إضافيًا</w:t>
            </w:r>
          </w:p>
        </w:tc>
      </w:tr>
    </w:tbl>
    <w:p>
      <w:pPr>
        <w:bidi/>
        <w:spacing w:after="160" w:before="0" w:line="300"/>
        <w:jc w:val="both"/>
      </w:pPr>
      <w:r>
        <w:rPr>
          <w:rFonts w:ascii="Arial" w:cs="Arial" w:hAnsi="Arial"/>
          <w:b w:val="false"/>
          <w:i w:val="false"/>
          <w:color w:val="48534C"/>
          <w:sz w:val="8"/>
          <w:szCs w:val="8"/>
          <w:rtl/>
        </w:rPr>
        <w:t xml:space="preserve"/>
      </w:r>
    </w:p>
    <w:p>
      <w:pPr>
        <w:bidi/>
        <w:spacing w:after="140" w:before="0" w:line="300"/>
        <w:jc w:val="both"/>
      </w:pPr>
      <w:r>
        <w:rPr>
          <w:rFonts w:ascii="Arial" w:cs="Arial" w:hAnsi="Arial"/>
          <w:b w:val="false"/>
          <w:i w:val="false"/>
          <w:color w:val="48534C"/>
          <w:sz w:val="20"/>
          <w:szCs w:val="20"/>
          <w:rtl/>
        </w:rPr>
        <w:t xml:space="preserve">الاستراتيجية المشتقة من التحليل: استثمار القوة «النموذج غير المسبوق» في الفرصة «فجوة العرض» عبر التبكير بالإطلاق؛ ومعالجة الضعف «غياب الخبرة الصناعية» باستقطاب مدير تشغيل من القطاع الخاص لا من القطاع غير الربحي؛ وتحييد التهديد «حادثة السلامة» بنظام تتبّع وتأمين مسؤولية منتج من اليوم الأول لا بعد التوسّع.</w:t>
      </w:r>
    </w:p>
    <w:p>
      <w:pPr>
        <w:pStyle w:val="Heading1"/>
        <w:keepNext/>
        <w:pageBreakBefore/>
        <w:bidi/>
        <w:spacing w:after="60" w:before="0" w:line="300"/>
        <w:jc w:val="start"/>
        <w:outlineLvl w:val="0"/>
      </w:pPr>
      <w:r>
        <w:rPr>
          <w:rFonts w:ascii="Arial" w:cs="Arial" w:hAnsi="Arial"/>
          <w:b/>
          <w:bCs/>
          <w:i w:val="false"/>
          <w:color w:val="8A6A12"/>
          <w:sz w:val="30"/>
          <w:szCs w:val="30"/>
          <w:rtl/>
        </w:rPr>
        <w:t xml:space="preserve">09   </w:t>
      </w:r>
      <w:r>
        <w:rPr>
          <w:rFonts w:ascii="Arial" w:cs="Arial" w:hAnsi="Arial"/>
          <w:b/>
          <w:bCs/>
          <w:i w:val="false"/>
          <w:color w:val="0E5A49"/>
          <w:sz w:val="30"/>
          <w:szCs w:val="30"/>
          <w:rtl/>
        </w:rPr>
        <w:t xml:space="preserve">الدراسة التسويقية والمبيعات</w:t>
      </w:r>
    </w:p>
    <w:p>
      <w:pPr>
        <w:pBdr>
          <w:bottom w:val="single" w:color="DBE2DB" w:sz="6"/>
        </w:pBdr>
        <w:bidi/>
        <w:spacing w:after="260"/>
        <w:jc w:val="start"/>
      </w:pPr>
      <w:r>
        <w:rPr>
          <w:rFonts w:ascii="Arial" w:cs="Arial" w:hAnsi="Arial"/>
          <w:b w:val="false"/>
          <w:i w:val="false"/>
          <w:color w:val="77817A"/>
          <w:sz w:val="17"/>
          <w:szCs w:val="17"/>
          <w:rtl/>
        </w:rPr>
        <w:t xml:space="preserve">التموضع · المزيج التسويقي · التسعير · القنوات · توقعات المبيعات</w:t>
      </w:r>
    </w:p>
    <w:p>
      <w:pPr>
        <w:pStyle w:val="Heading2"/>
        <w:keepNext/>
        <w:bidi/>
        <w:spacing w:after="120" w:before="300" w:line="300"/>
        <w:jc w:val="start"/>
        <w:outlineLvl w:val="1"/>
      </w:pPr>
      <w:r>
        <w:rPr>
          <w:rFonts w:ascii="Arial" w:cs="Arial" w:hAnsi="Arial"/>
          <w:b/>
          <w:bCs/>
          <w:i w:val="false"/>
          <w:color w:val="0E5A49"/>
          <w:sz w:val="24"/>
          <w:szCs w:val="24"/>
          <w:rtl/>
        </w:rPr>
        <w:t xml:space="preserve">التموضع</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c>
          <w:tcPr>
            <w:tcW w:type="dxa" w:w="9866"/>
            <w:tcBorders>
              <w:top w:val="single" w:color="DBE2DB" w:sz="4"/>
              <w:left w:val="single" w:color="DBE2DB" w:sz="4"/>
              <w:bottom w:val="single" w:color="DBE2DB" w:sz="4"/>
              <w:right w:val="single" w:color="0E5A49" w:sz="22"/>
            </w:tcBorders>
            <w:shd w:fill="FBFCFA" w:color="auto" w:val="clear"/>
            <w:tcMar>
              <w:top w:type="dxa" w:w="120"/>
              <w:left w:type="dxa" w:w="160"/>
              <w:bottom w:type="dxa" w:w="120"/>
              <w:right w:type="dxa" w:w="160"/>
            </w:tcMar>
          </w:tcPr>
          <w:p>
            <w:pPr>
              <w:bidi/>
              <w:spacing w:after="80" w:line="290"/>
              <w:jc w:val="both"/>
            </w:pPr>
            <w:r>
              <w:rPr>
                <w:rFonts w:ascii="Arial" w:cs="Arial" w:hAnsi="Arial"/>
                <w:b/>
                <w:bCs/>
                <w:i w:val="false"/>
                <w:color w:val="48534C"/>
                <w:sz w:val="18"/>
                <w:szCs w:val="18"/>
                <w:rtl/>
              </w:rPr>
              <w:t xml:space="preserve">«الجودة المصنّعة بمعايير المصنع، بروح المنتج البيتي، وبأثر اجتماعي موثَّق.»</w:t>
            </w:r>
            <w:r>
              <w:rPr>
                <w:rFonts w:ascii="Arial" w:cs="Arial" w:hAnsi="Arial"/>
                <w:b w:val="false"/>
                <w:i w:val="false"/>
                <w:color w:val="48534C"/>
                <w:sz w:val="18"/>
                <w:szCs w:val="18"/>
                <w:rtl/>
              </w:rPr>
              <w:t xml:space="preserve"> — يتموضع المركز في المساحة التي يعجز طرفاها عن ملئها: المصنع الكبير يملك المعيار ويفتقد القصة والمرونة، والمنتج المنزلي يملك القصة ويفتقد المعيار والاستمرارية. والمركز وحده يجمعهما.</w:t>
            </w:r>
          </w:p>
        </w:tc>
      </w:tr>
    </w:tbl>
    <w:p>
      <w:pPr>
        <w:bidi/>
        <w:spacing w:after="160" w:before="0" w:line="300"/>
        <w:jc w:val="both"/>
      </w:pPr>
      <w:r>
        <w:rPr>
          <w:rFonts w:ascii="Arial" w:cs="Arial" w:hAnsi="Arial"/>
          <w:b w:val="false"/>
          <w:i w:val="false"/>
          <w:color w:val="48534C"/>
          <w:sz w:val="8"/>
          <w:szCs w:val="8"/>
          <w:rtl/>
        </w:rPr>
        <w:t xml:space="preserve"/>
      </w:r>
    </w:p>
    <w:p>
      <w:pPr>
        <w:bidi/>
        <w:spacing w:after="140" w:before="0" w:line="300"/>
        <w:jc w:val="both"/>
      </w:pPr>
      <w:r>
        <w:rPr>
          <w:rFonts w:ascii="Arial" w:cs="Arial" w:hAnsi="Arial"/>
          <w:b w:val="false"/>
          <w:i w:val="false"/>
          <w:color w:val="48534C"/>
          <w:sz w:val="20"/>
          <w:szCs w:val="20"/>
          <w:rtl/>
        </w:rPr>
        <w:t xml:space="preserve">ويترجَم هذا التموضع إلى ثلاث رسائل مختلفة بحسب المخاطَب، لأن ما يقنع مدير المشتريات في مدرسة ليس ما يقنع مستهلكًا يتصفّح متجرًا إلكترونيًا:</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88"/>
        <w:gridCol w:w="3288"/>
        <w:gridCol w:w="3290"/>
      </w:tblGrid>
      <w:tr>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bCs/>
                <w:i w:val="false"/>
                <w:color w:val="8A6A12"/>
                <w:sz w:val="15"/>
                <w:szCs w:val="15"/>
                <w:rtl/>
              </w:rPr>
              <w:t xml:space="preserve">للمشتري المؤسسي</w:t>
            </w:r>
          </w:p>
          <w:p>
            <w:pPr>
              <w:bidi/>
              <w:spacing w:after="60" w:line="270"/>
              <w:jc w:val="start"/>
            </w:pPr>
            <w:r>
              <w:rPr>
                <w:rFonts w:ascii="Arial" w:cs="Arial" w:hAnsi="Arial"/>
                <w:b/>
                <w:bCs/>
                <w:i w:val="false"/>
                <w:color w:val="0E5A49"/>
                <w:sz w:val="18"/>
                <w:szCs w:val="18"/>
                <w:rtl/>
              </w:rPr>
              <w:t xml:space="preserve">«مورّد نظامي بشهادة وتتبّع كامل»</w:t>
            </w:r>
          </w:p>
          <w:p>
            <w:pPr>
              <w:bidi/>
              <w:spacing w:after="0" w:line="270"/>
              <w:jc w:val="both"/>
            </w:pPr>
            <w:r>
              <w:rPr>
                <w:rFonts w:ascii="Arial" w:cs="Arial" w:hAnsi="Arial"/>
                <w:b w:val="false"/>
                <w:i w:val="false"/>
                <w:color w:val="48534C"/>
                <w:sz w:val="16"/>
                <w:szCs w:val="16"/>
                <w:rtl/>
              </w:rPr>
              <w:t xml:space="preserve">الرسالة تقوم على الامتثال والاستمرارية والفوترة النظامية وسعر تنافسي — والأثر الاجتماعي يُقدَّم كقيمة مضافة تدعم تقارير المسؤولية الاجتماعية للمشتري، لا كطلب تعاطف.</w:t>
            </w:r>
          </w:p>
        </w:tc>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bCs/>
                <w:i w:val="false"/>
                <w:color w:val="8A6A12"/>
                <w:sz w:val="15"/>
                <w:szCs w:val="15"/>
                <w:rtl/>
              </w:rPr>
              <w:t xml:space="preserve">للمستهلك النهائي</w:t>
            </w:r>
          </w:p>
          <w:p>
            <w:pPr>
              <w:bidi/>
              <w:spacing w:after="60" w:line="270"/>
              <w:jc w:val="start"/>
            </w:pPr>
            <w:r>
              <w:rPr>
                <w:rFonts w:ascii="Arial" w:cs="Arial" w:hAnsi="Arial"/>
                <w:b/>
                <w:bCs/>
                <w:i w:val="false"/>
                <w:color w:val="0E5A49"/>
                <w:sz w:val="18"/>
                <w:szCs w:val="18"/>
                <w:rtl/>
              </w:rPr>
              <w:t xml:space="preserve">«خلف كل عبوة أسرة تنتج بكرامة»</w:t>
            </w:r>
          </w:p>
          <w:p>
            <w:pPr>
              <w:bidi/>
              <w:spacing w:after="0" w:line="270"/>
              <w:jc w:val="both"/>
            </w:pPr>
            <w:r>
              <w:rPr>
                <w:rFonts w:ascii="Arial" w:cs="Arial" w:hAnsi="Arial"/>
                <w:b w:val="false"/>
                <w:i w:val="false"/>
                <w:color w:val="48534C"/>
                <w:sz w:val="16"/>
                <w:szCs w:val="16"/>
                <w:rtl/>
              </w:rPr>
              <w:t xml:space="preserve">الرسالة تقوم على المذاق والجودة أولًا، ثم القصة الاجتماعية ثانيًا — بهذا الترتيب حصرًا، إذ إن المنتج الذي يُشترى تعاطفًا لا يُعاد شراؤه.</w:t>
            </w:r>
          </w:p>
        </w:tc>
        <w:tc>
          <w:tcPr>
            <w:tcW w:type="dxa" w:w="3290"/>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bCs/>
                <w:i w:val="false"/>
                <w:color w:val="8A6A12"/>
                <w:sz w:val="15"/>
                <w:szCs w:val="15"/>
                <w:rtl/>
              </w:rPr>
              <w:t xml:space="preserve">للعلامة الناشئة</w:t>
            </w:r>
          </w:p>
          <w:p>
            <w:pPr>
              <w:bidi/>
              <w:spacing w:after="60" w:line="270"/>
              <w:jc w:val="start"/>
            </w:pPr>
            <w:r>
              <w:rPr>
                <w:rFonts w:ascii="Arial" w:cs="Arial" w:hAnsi="Arial"/>
                <w:b/>
                <w:bCs/>
                <w:i w:val="false"/>
                <w:color w:val="0E5A49"/>
                <w:sz w:val="18"/>
                <w:szCs w:val="18"/>
                <w:rtl/>
              </w:rPr>
              <w:t xml:space="preserve">«مصنعك المرخّص دون أن تبنيه»</w:t>
            </w:r>
          </w:p>
          <w:p>
            <w:pPr>
              <w:bidi/>
              <w:spacing w:after="0" w:line="270"/>
              <w:jc w:val="both"/>
            </w:pPr>
            <w:r>
              <w:rPr>
                <w:rFonts w:ascii="Arial" w:cs="Arial" w:hAnsi="Arial"/>
                <w:b w:val="false"/>
                <w:i w:val="false"/>
                <w:color w:val="48534C"/>
                <w:sz w:val="16"/>
                <w:szCs w:val="16"/>
                <w:rtl/>
              </w:rPr>
              <w:t xml:space="preserve">الرسالة تقوم على إزالة حاجز رأس المال والامتثال: طاقة تصنيع وتعبئة وتوسيم تحت رخصة سارية ابتداءً من دفعة صغيرة، دون التزام بحد أدنى ضخم.</w:t>
            </w:r>
          </w:p>
        </w:tc>
      </w:tr>
    </w:tbl>
    <w:p>
      <w:pPr>
        <w:bidi/>
        <w:spacing w:after="16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المزيج التسويقي</w:t>
      </w:r>
    </w:p>
    <w:p>
      <w:pPr>
        <w:keepNext/>
        <w:bidi/>
        <w:spacing w:after="60" w:before="160" w:line="300"/>
        <w:jc w:val="start"/>
      </w:pPr>
      <w:r>
        <w:rPr>
          <w:rFonts w:ascii="Arial" w:cs="Arial" w:hAnsi="Arial"/>
          <w:b/>
          <w:bCs/>
          <w:i w:val="false"/>
          <w:color w:val="8A6A12"/>
          <w:sz w:val="16"/>
          <w:szCs w:val="16"/>
          <w:rtl/>
        </w:rPr>
        <w:t xml:space="preserve">جدول 12 — المزيج التسويقي للخدمات (7Ps)</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6"/>
        <w:gridCol w:w="4190"/>
        <w:gridCol w:w="4190"/>
      </w:tblGrid>
      <w:tr>
        <w:trPr>
          <w:tblHeader/>
        </w:trPr>
        <w:tc>
          <w:tcPr>
            <w:tcW w:type="dxa" w:w="148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العنصر</w:t>
            </w:r>
          </w:p>
        </w:tc>
        <w:tc>
          <w:tcPr>
            <w:tcW w:type="dxa" w:w="4190"/>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القرار</w:t>
            </w:r>
          </w:p>
        </w:tc>
        <w:tc>
          <w:tcPr>
            <w:tcW w:type="dxa" w:w="4190"/>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المبرر</w:t>
            </w:r>
          </w:p>
        </w:tc>
      </w:tr>
      <w:tr>
        <w:tc>
          <w:tcPr>
            <w:tcW w:type="dxa" w:w="148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المنتج</w:t>
            </w:r>
          </w:p>
        </w:tc>
        <w:tc>
          <w:tcPr>
            <w:tcW w:type="dxa" w:w="419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أربعة خطوط منتج وخطّا خدمة، بعلامة جامعة واحدة وعلامات فرعية لكل خط</w:t>
            </w:r>
          </w:p>
        </w:tc>
        <w:tc>
          <w:tcPr>
            <w:tcW w:type="dxa" w:w="419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علامة واحدة تبني ثقة أسرع وتخفض كلفة التسويق مقارنة بعلامات متعددة</w:t>
            </w:r>
          </w:p>
        </w:tc>
      </w:tr>
      <w:tr>
        <w:tc>
          <w:tcPr>
            <w:tcW w:type="dxa" w:w="148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السعر</w:t>
            </w:r>
          </w:p>
        </w:tc>
        <w:tc>
          <w:tcPr>
            <w:tcW w:type="dxa" w:w="419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تسعير قائم على التكلفة زائد هامش مستهدف، مع مقارنة سقفية بأسعار السوق</w:t>
            </w:r>
          </w:p>
        </w:tc>
        <w:tc>
          <w:tcPr>
            <w:tcW w:type="dxa" w:w="419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ضمان تغطية التكلفة الكاملة دون الخروج من نطاق السعر المقبول للمشتري</w:t>
            </w:r>
          </w:p>
        </w:tc>
      </w:tr>
      <w:tr>
        <w:tc>
          <w:tcPr>
            <w:tcW w:type="dxa" w:w="148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المكان</w:t>
            </w:r>
          </w:p>
        </w:tc>
        <w:tc>
          <w:tcPr>
            <w:tcW w:type="dxa" w:w="419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أربع قنوات: مؤسسية · تجزئة وجملة · خدمات تصنيع · إلكترونية</w:t>
            </w:r>
          </w:p>
        </w:tc>
        <w:tc>
          <w:tcPr>
            <w:tcW w:type="dxa" w:w="419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توزيع مخاطر التركّز وموازنة الإيراد المتكرر مع الإيراد المرتفع الهامش</w:t>
            </w:r>
          </w:p>
        </w:tc>
      </w:tr>
      <w:tr>
        <w:tc>
          <w:tcPr>
            <w:tcW w:type="dxa" w:w="148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الترويج</w:t>
            </w:r>
          </w:p>
        </w:tc>
        <w:tc>
          <w:tcPr>
            <w:tcW w:type="dxa" w:w="419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بيع مباشر للمؤسسي · محتوى رقمي وقصص المستفيدات للمستهلك · معارض وفعاليات موسمية</w:t>
            </w:r>
          </w:p>
        </w:tc>
        <w:tc>
          <w:tcPr>
            <w:tcW w:type="dxa" w:w="419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القناة المؤسسية لا تُفتح بالإعلان بل بالعلاقة والزيارة الميدانية</w:t>
            </w:r>
          </w:p>
        </w:tc>
      </w:tr>
      <w:tr>
        <w:tc>
          <w:tcPr>
            <w:tcW w:type="dxa" w:w="148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الأفراد</w:t>
            </w:r>
          </w:p>
        </w:tc>
        <w:tc>
          <w:tcPr>
            <w:tcW w:type="dxa" w:w="419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فريق مبيعات مخصص للحسابات المؤسسية · مستفيدات مدرَّبات على معايير الخدمة</w:t>
            </w:r>
          </w:p>
        </w:tc>
        <w:tc>
          <w:tcPr>
            <w:tcW w:type="dxa" w:w="419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جودة التسليم جزء من المنتج في قطاع الأغذية لا خدمة ما بعد البيع</w:t>
            </w:r>
          </w:p>
        </w:tc>
      </w:tr>
      <w:tr>
        <w:tc>
          <w:tcPr>
            <w:tcW w:type="dxa" w:w="148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العمليات</w:t>
            </w:r>
          </w:p>
        </w:tc>
        <w:tc>
          <w:tcPr>
            <w:tcW w:type="dxa" w:w="419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دورة طلب موحّدة عبر نظام ERP من الطلب حتى التسليم والفوترة</w:t>
            </w:r>
          </w:p>
        </w:tc>
        <w:tc>
          <w:tcPr>
            <w:tcW w:type="dxa" w:w="419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المشتري المؤسسي يقيس المورّد بانضباط العملية لا بجودة المنتج وحدها</w:t>
            </w:r>
          </w:p>
        </w:tc>
      </w:tr>
      <w:tr>
        <w:tc>
          <w:tcPr>
            <w:tcW w:type="dxa" w:w="148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الدليل المادي</w:t>
            </w:r>
          </w:p>
        </w:tc>
        <w:tc>
          <w:tcPr>
            <w:tcW w:type="dxa" w:w="419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تغليف احترافي · شهادات معلّقة · جولات ميدانية للعملاء داخل المنشأة</w:t>
            </w:r>
          </w:p>
        </w:tc>
        <w:tc>
          <w:tcPr>
            <w:tcW w:type="dxa" w:w="419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الجولة الميدانية أقوى أداة بيع للمشتري المؤسسي المتردد تجاه مورّد ناشئ</w:t>
            </w:r>
          </w:p>
        </w:tc>
      </w:tr>
    </w:tbl>
    <w:p>
      <w:pPr>
        <w:bidi/>
        <w:spacing w:after="14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سياسة التسعير</w:t>
      </w:r>
    </w:p>
    <w:p>
      <w:pPr>
        <w:bidi/>
        <w:spacing w:after="140" w:before="0" w:line="300"/>
        <w:jc w:val="both"/>
      </w:pPr>
      <w:r>
        <w:rPr>
          <w:rFonts w:ascii="Arial" w:cs="Arial" w:hAnsi="Arial"/>
          <w:b w:val="false"/>
          <w:i w:val="false"/>
          <w:color w:val="48534C"/>
          <w:sz w:val="20"/>
          <w:szCs w:val="20"/>
          <w:rtl/>
        </w:rPr>
        <w:t xml:space="preserve">اعتُمد التسعير على أساس التكلفة الكاملة زائد هامش مستهدف، مع اختبار كل سعر مقابل سقف السوق. وقد روعي أن تكون هوامش خطوط الخدمة أعلى من هوامش خطوط المنتج، لأن الأولى كثيفة الأصول قليلة المواد والثانية العكس:</w:t>
      </w:r>
    </w:p>
    <w:p>
      <w:pPr>
        <w:keepNext/>
        <w:bidi/>
        <w:spacing w:after="60" w:before="160" w:line="300"/>
        <w:jc w:val="start"/>
      </w:pPr>
      <w:r>
        <w:rPr>
          <w:rFonts w:ascii="Arial" w:cs="Arial" w:hAnsi="Arial"/>
          <w:b/>
          <w:bCs/>
          <w:i w:val="false"/>
          <w:color w:val="8A6A12"/>
          <w:sz w:val="16"/>
          <w:szCs w:val="16"/>
          <w:rtl/>
        </w:rPr>
        <w:t xml:space="preserve">جدول 13 — هيكل التسعير وهوامش المساهمة حسب خط الإيراد</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35"/>
        <w:gridCol w:w="1145"/>
        <w:gridCol w:w="1305"/>
        <w:gridCol w:w="1322"/>
        <w:gridCol w:w="1354"/>
        <w:gridCol w:w="1905"/>
      </w:tblGrid>
      <w:tr>
        <w:trPr>
          <w:tblHeader/>
        </w:trPr>
        <w:tc>
          <w:tcPr>
            <w:tcW w:type="dxa" w:w="283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خط الإيراد</w:t>
            </w:r>
          </w:p>
        </w:tc>
        <w:tc>
          <w:tcPr>
            <w:tcW w:type="dxa" w:w="114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الوحدة</w:t>
            </w:r>
          </w:p>
        </w:tc>
        <w:tc>
          <w:tcPr>
            <w:tcW w:type="dxa" w:w="130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سعر البيع</w:t>
            </w:r>
          </w:p>
        </w:tc>
        <w:tc>
          <w:tcPr>
            <w:tcW w:type="dxa" w:w="1322"/>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تكلفة الوحدة</w:t>
            </w:r>
          </w:p>
        </w:tc>
        <w:tc>
          <w:tcPr>
            <w:tcW w:type="dxa" w:w="1354"/>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هامش المساهمة</w:t>
            </w:r>
          </w:p>
        </w:tc>
        <w:tc>
          <w:tcPr>
            <w:tcW w:type="dxa" w:w="190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الطاقة السنوية</w:t>
            </w:r>
          </w:p>
        </w:tc>
      </w:tr>
      <w:tr>
        <w:tc>
          <w:tcPr>
            <w:tcW w:type="dxa" w:w="283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المخبوزات والمعجنات المجمّدة</w:t>
            </w:r>
          </w:p>
        </w:tc>
        <w:tc>
          <w:tcPr>
            <w:tcW w:type="dxa" w:w="114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كجم</w:t>
            </w:r>
          </w:p>
        </w:tc>
        <w:tc>
          <w:tcPr>
            <w:tcW w:type="dxa" w:w="13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24.00</w:t>
            </w:r>
          </w:p>
        </w:tc>
        <w:tc>
          <w:tcPr>
            <w:tcW w:type="dxa" w:w="132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12.00</w:t>
            </w:r>
          </w:p>
        </w:tc>
        <w:tc>
          <w:tcPr>
            <w:tcW w:type="dxa" w:w="135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50.0٪</w:t>
            </w:r>
          </w:p>
        </w:tc>
        <w:tc>
          <w:tcPr>
            <w:tcW w:type="dxa" w:w="19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126,000 كجم</w:t>
            </w:r>
          </w:p>
        </w:tc>
      </w:tr>
      <w:tr>
        <w:tc>
          <w:tcPr>
            <w:tcW w:type="dxa" w:w="283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التمور والمنتجات المحفوظة</w:t>
            </w:r>
          </w:p>
        </w:tc>
        <w:tc>
          <w:tcPr>
            <w:tcW w:type="dxa" w:w="114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كجم</w:t>
            </w:r>
          </w:p>
        </w:tc>
        <w:tc>
          <w:tcPr>
            <w:tcW w:type="dxa" w:w="13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42.00</w:t>
            </w:r>
          </w:p>
        </w:tc>
        <w:tc>
          <w:tcPr>
            <w:tcW w:type="dxa" w:w="132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19.32</w:t>
            </w:r>
          </w:p>
        </w:tc>
        <w:tc>
          <w:tcPr>
            <w:tcW w:type="dxa" w:w="135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54.0٪</w:t>
            </w:r>
          </w:p>
        </w:tc>
        <w:tc>
          <w:tcPr>
            <w:tcW w:type="dxa" w:w="19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78,000 كجم</w:t>
            </w:r>
          </w:p>
        </w:tc>
      </w:tr>
      <w:tr>
        <w:tc>
          <w:tcPr>
            <w:tcW w:type="dxa" w:w="283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الوجبات الجاهزة والتموين المؤسسي</w:t>
            </w:r>
          </w:p>
        </w:tc>
        <w:tc>
          <w:tcPr>
            <w:tcW w:type="dxa" w:w="114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وجبة</w:t>
            </w:r>
          </w:p>
        </w:tc>
        <w:tc>
          <w:tcPr>
            <w:tcW w:type="dxa" w:w="13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16.50</w:t>
            </w:r>
          </w:p>
        </w:tc>
        <w:tc>
          <w:tcPr>
            <w:tcW w:type="dxa" w:w="132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9.24</w:t>
            </w:r>
          </w:p>
        </w:tc>
        <w:tc>
          <w:tcPr>
            <w:tcW w:type="dxa" w:w="135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44.0٪</w:t>
            </w:r>
          </w:p>
        </w:tc>
        <w:tc>
          <w:tcPr>
            <w:tcW w:type="dxa" w:w="19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420,000 وجبة</w:t>
            </w:r>
          </w:p>
        </w:tc>
      </w:tr>
      <w:tr>
        <w:tc>
          <w:tcPr>
            <w:tcW w:type="dxa" w:w="283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التصنيع بالتعاقد (محطات مؤجّرة)</w:t>
            </w:r>
          </w:p>
        </w:tc>
        <w:tc>
          <w:tcPr>
            <w:tcW w:type="dxa" w:w="114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ساعة</w:t>
            </w:r>
          </w:p>
        </w:tc>
        <w:tc>
          <w:tcPr>
            <w:tcW w:type="dxa" w:w="13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48.00</w:t>
            </w:r>
          </w:p>
        </w:tc>
        <w:tc>
          <w:tcPr>
            <w:tcW w:type="dxa" w:w="132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9.60</w:t>
            </w:r>
          </w:p>
        </w:tc>
        <w:tc>
          <w:tcPr>
            <w:tcW w:type="dxa" w:w="135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80.0٪</w:t>
            </w:r>
          </w:p>
        </w:tc>
        <w:tc>
          <w:tcPr>
            <w:tcW w:type="dxa" w:w="19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18,000 ساعة</w:t>
            </w:r>
          </w:p>
        </w:tc>
      </w:tr>
      <w:tr>
        <w:tc>
          <w:tcPr>
            <w:tcW w:type="dxa" w:w="283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خدمات التعبئة والتغليف والتوسيم</w:t>
            </w:r>
          </w:p>
        </w:tc>
        <w:tc>
          <w:tcPr>
            <w:tcW w:type="dxa" w:w="114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عبوة</w:t>
            </w:r>
          </w:p>
        </w:tc>
        <w:tc>
          <w:tcPr>
            <w:tcW w:type="dxa" w:w="13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1.75</w:t>
            </w:r>
          </w:p>
        </w:tc>
        <w:tc>
          <w:tcPr>
            <w:tcW w:type="dxa" w:w="132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0.70</w:t>
            </w:r>
          </w:p>
        </w:tc>
        <w:tc>
          <w:tcPr>
            <w:tcW w:type="dxa" w:w="135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60.0٪</w:t>
            </w:r>
          </w:p>
        </w:tc>
        <w:tc>
          <w:tcPr>
            <w:tcW w:type="dxa" w:w="19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480,000 عبوة</w:t>
            </w:r>
          </w:p>
        </w:tc>
      </w:tr>
      <w:tr>
        <w:tc>
          <w:tcPr>
            <w:tcW w:type="dxa" w:w="283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التدريب المؤسسي والاستشارات</w:t>
            </w:r>
          </w:p>
        </w:tc>
        <w:tc>
          <w:tcPr>
            <w:tcW w:type="dxa" w:w="114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برنامج</w:t>
            </w:r>
          </w:p>
        </w:tc>
        <w:tc>
          <w:tcPr>
            <w:tcW w:type="dxa" w:w="13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42,000</w:t>
            </w:r>
          </w:p>
        </w:tc>
        <w:tc>
          <w:tcPr>
            <w:tcW w:type="dxa" w:w="132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12,600</w:t>
            </w:r>
          </w:p>
        </w:tc>
        <w:tc>
          <w:tcPr>
            <w:tcW w:type="dxa" w:w="135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70.0٪</w:t>
            </w:r>
          </w:p>
        </w:tc>
        <w:tc>
          <w:tcPr>
            <w:tcW w:type="dxa" w:w="19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22 برنامجًا</w:t>
            </w:r>
          </w:p>
        </w:tc>
      </w:tr>
      <w:tr>
        <w:tc>
          <w:tcPr>
            <w:tcW w:type="dxa" w:w="6607"/>
            <w:gridSpan w:val="4"/>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start"/>
            </w:pPr>
            <w:r>
              <w:rPr>
                <w:rFonts w:ascii="Arial" w:cs="Arial" w:hAnsi="Arial"/>
                <w:b/>
                <w:bCs/>
                <w:i w:val="false"/>
                <w:color w:val="111A15"/>
                <w:sz w:val="17"/>
                <w:szCs w:val="17"/>
                <w:rtl/>
              </w:rPr>
              <w:t xml:space="preserve">إجمالي الإيراد عند التشغيل بكامل الطاقة التصميمية</w:t>
            </w:r>
          </w:p>
        </w:tc>
        <w:tc>
          <w:tcPr>
            <w:tcW w:type="dxa" w:w="1354"/>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48.1٪</w:t>
            </w:r>
          </w:p>
        </w:tc>
        <w:tc>
          <w:tcPr>
            <w:tcW w:type="dxa" w:w="1905"/>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15,858,000 ر.س</w:t>
            </w:r>
          </w:p>
        </w:tc>
      </w:tr>
    </w:tbl>
    <w:p>
      <w:pPr>
        <w:bidi/>
        <w:spacing w:after="140" w:before="0" w:line="300"/>
        <w:jc w:val="both"/>
      </w:pPr>
      <w:r>
        <w:rPr>
          <w:rFonts w:ascii="Arial" w:cs="Arial" w:hAnsi="Arial"/>
          <w:b w:val="false"/>
          <w:i w:val="false"/>
          <w:color w:val="48534C"/>
          <w:sz w:val="8"/>
          <w:szCs w:val="8"/>
          <w:rtl/>
        </w:rPr>
        <w:t xml:space="preserve"/>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c>
          <w:tcPr>
            <w:tcW w:type="dxa" w:w="9866"/>
            <w:tcBorders>
              <w:top w:val="single" w:color="DBE2DB" w:sz="4"/>
              <w:left w:val="single" w:color="DBE2DB" w:sz="4"/>
              <w:bottom w:val="single" w:color="DBE2DB" w:sz="4"/>
              <w:right w:val="single" w:color="8A6A12" w:sz="22"/>
            </w:tcBorders>
            <w:shd w:fill="FBFCFA" w:color="auto" w:val="clear"/>
            <w:tcMar>
              <w:top w:type="dxa" w:w="120"/>
              <w:left w:type="dxa" w:w="160"/>
              <w:bottom w:type="dxa" w:w="120"/>
              <w:right w:type="dxa" w:w="160"/>
            </w:tcMar>
          </w:tcPr>
          <w:p>
            <w:pPr>
              <w:bidi/>
              <w:spacing w:after="80" w:before="40" w:line="280"/>
              <w:jc w:val="start"/>
            </w:pPr>
            <w:r>
              <w:rPr>
                <w:rFonts w:ascii="Arial" w:cs="Arial" w:hAnsi="Arial"/>
                <w:b/>
                <w:bCs/>
                <w:i w:val="false"/>
                <w:color w:val="8A6A12"/>
                <w:sz w:val="19"/>
                <w:szCs w:val="19"/>
                <w:rtl/>
              </w:rPr>
              <w:t xml:space="preserve">قواعد تسعيرية ملزمة</w:t>
            </w:r>
          </w:p>
          <w:p>
            <w:pPr>
              <w:bidi/>
              <w:spacing w:after="50" w:line="285"/>
              <w:ind w:start="200"/>
              <w:jc w:val="both"/>
            </w:pPr>
            <w:r>
              <w:rPr>
                <w:rFonts w:ascii="Arial" w:cs="Arial" w:hAnsi="Arial"/>
                <w:b/>
                <w:bCs/>
                <w:i w:val="false"/>
                <w:color w:val="8A6A12"/>
                <w:sz w:val="18"/>
                <w:szCs w:val="18"/>
                <w:rtl/>
              </w:rPr>
              <w:t xml:space="preserve">–  </w:t>
            </w:r>
            <w:r>
              <w:rPr>
                <w:rFonts w:ascii="Arial" w:cs="Arial" w:hAnsi="Arial"/>
                <w:b/>
                <w:bCs/>
                <w:i w:val="false"/>
                <w:color w:val="48534C"/>
                <w:sz w:val="18"/>
                <w:szCs w:val="18"/>
                <w:rtl/>
              </w:rPr>
              <w:t xml:space="preserve">لا بيع بأقل من التكلفة المتغيرة زائد 15٪</w:t>
            </w:r>
            <w:r>
              <w:rPr>
                <w:rFonts w:ascii="Arial" w:cs="Arial" w:hAnsi="Arial"/>
                <w:b w:val="false"/>
                <w:i w:val="false"/>
                <w:color w:val="48534C"/>
                <w:sz w:val="18"/>
                <w:szCs w:val="18"/>
                <w:rtl/>
              </w:rPr>
              <w:t xml:space="preserve"> مهما كان حجم الطلبية — الطلبية التي لا تغطي مساهمتها تستهلك المشروع ولا تنمّيه.</w:t>
            </w:r>
          </w:p>
          <w:p>
            <w:pPr>
              <w:bidi/>
              <w:spacing w:after="50" w:line="285"/>
              <w:ind w:start="200"/>
              <w:jc w:val="both"/>
            </w:pPr>
            <w:r>
              <w:rPr>
                <w:rFonts w:ascii="Arial" w:cs="Arial" w:hAnsi="Arial"/>
                <w:b/>
                <w:bCs/>
                <w:i w:val="false"/>
                <w:color w:val="8A6A12"/>
                <w:sz w:val="18"/>
                <w:szCs w:val="18"/>
                <w:rtl/>
              </w:rPr>
              <w:t xml:space="preserve">–  </w:t>
            </w:r>
            <w:r>
              <w:rPr>
                <w:rFonts w:ascii="Arial" w:cs="Arial" w:hAnsi="Arial"/>
                <w:b/>
                <w:bCs/>
                <w:i w:val="false"/>
                <w:color w:val="48534C"/>
                <w:sz w:val="18"/>
                <w:szCs w:val="18"/>
                <w:rtl/>
              </w:rPr>
              <w:t xml:space="preserve">بند تصعيد سعري إلزامي</w:t>
            </w:r>
            <w:r>
              <w:rPr>
                <w:rFonts w:ascii="Arial" w:cs="Arial" w:hAnsi="Arial"/>
                <w:b w:val="false"/>
                <w:i w:val="false"/>
                <w:color w:val="48534C"/>
                <w:sz w:val="18"/>
                <w:szCs w:val="18"/>
                <w:rtl/>
              </w:rPr>
              <w:t xml:space="preserve"> في كل عقد مؤسسي يتجاوز 12 شهرًا، مرتبط بتغيّر أسعار المواد الخام بما يتجاوز 10٪.</w:t>
            </w:r>
          </w:p>
          <w:p>
            <w:pPr>
              <w:bidi/>
              <w:spacing w:after="50" w:line="285"/>
              <w:ind w:start="200"/>
              <w:jc w:val="both"/>
            </w:pPr>
            <w:r>
              <w:rPr>
                <w:rFonts w:ascii="Arial" w:cs="Arial" w:hAnsi="Arial"/>
                <w:b/>
                <w:bCs/>
                <w:i w:val="false"/>
                <w:color w:val="8A6A12"/>
                <w:sz w:val="18"/>
                <w:szCs w:val="18"/>
                <w:rtl/>
              </w:rPr>
              <w:t xml:space="preserve">–  </w:t>
            </w:r>
            <w:r>
              <w:rPr>
                <w:rFonts w:ascii="Arial" w:cs="Arial" w:hAnsi="Arial"/>
                <w:b/>
                <w:bCs/>
                <w:i w:val="false"/>
                <w:color w:val="48534C"/>
                <w:sz w:val="18"/>
                <w:szCs w:val="18"/>
                <w:rtl/>
              </w:rPr>
              <w:t xml:space="preserve">خصم الحجم لا يتجاوز 8٪</w:t>
            </w:r>
            <w:r>
              <w:rPr>
                <w:rFonts w:ascii="Arial" w:cs="Arial" w:hAnsi="Arial"/>
                <w:b w:val="false"/>
                <w:i w:val="false"/>
                <w:color w:val="48534C"/>
                <w:sz w:val="18"/>
                <w:szCs w:val="18"/>
                <w:rtl/>
              </w:rPr>
              <w:t xml:space="preserve">، ويُمنح مقابل التزام تعاقدي بالكمية لا مقابل وعد شفهي.</w:t>
            </w:r>
          </w:p>
          <w:p>
            <w:pPr>
              <w:bidi/>
              <w:spacing w:after="50" w:line="285"/>
              <w:ind w:start="200"/>
              <w:jc w:val="both"/>
            </w:pPr>
            <w:r>
              <w:rPr>
                <w:rFonts w:ascii="Arial" w:cs="Arial" w:hAnsi="Arial"/>
                <w:b/>
                <w:bCs/>
                <w:i w:val="false"/>
                <w:color w:val="8A6A12"/>
                <w:sz w:val="18"/>
                <w:szCs w:val="18"/>
                <w:rtl/>
              </w:rPr>
              <w:t xml:space="preserve">–  </w:t>
            </w:r>
            <w:r>
              <w:rPr>
                <w:rFonts w:ascii="Arial" w:cs="Arial" w:hAnsi="Arial"/>
                <w:b/>
                <w:bCs/>
                <w:i w:val="false"/>
                <w:color w:val="48534C"/>
                <w:sz w:val="18"/>
                <w:szCs w:val="18"/>
                <w:rtl/>
              </w:rPr>
              <w:t xml:space="preserve">الأسعار الاجتماعية</w:t>
            </w:r>
            <w:r>
              <w:rPr>
                <w:rFonts w:ascii="Arial" w:cs="Arial" w:hAnsi="Arial"/>
                <w:b w:val="false"/>
                <w:i w:val="false"/>
                <w:color w:val="48534C"/>
                <w:sz w:val="18"/>
                <w:szCs w:val="18"/>
                <w:rtl/>
              </w:rPr>
              <w:t xml:space="preserve"> (البيع بأقل من التكلفة لجهة خيرية) تُصنَّف كمصروف برامج لا كخصم مبيعات، حتى لا تُشوَّه صورة الأداء التجاري.</w:t>
            </w:r>
          </w:p>
        </w:tc>
      </w:tr>
    </w:tbl>
    <w:p>
      <w:pPr>
        <w:bidi/>
        <w:spacing w:after="16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قنوات البيع ومزيج الإيراد</w:t>
      </w:r>
    </w:p>
    <w:p>
      <w:pPr>
        <w:keepNext/>
        <w:bidi/>
        <w:spacing w:after="60" w:before="160" w:line="300"/>
        <w:jc w:val="start"/>
      </w:pPr>
      <w:r>
        <w:rPr>
          <w:rFonts w:ascii="Arial" w:cs="Arial" w:hAnsi="Arial"/>
          <w:b/>
          <w:bCs/>
          <w:i w:val="false"/>
          <w:color w:val="8A6A12"/>
          <w:sz w:val="16"/>
          <w:szCs w:val="16"/>
          <w:rtl/>
        </w:rPr>
        <w:t xml:space="preserve">جدول 14 — قنوات البيع وخصائصها التشغيلية (وزن السنة الثالثة)</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017"/>
        <w:gridCol w:w="1345"/>
        <w:gridCol w:w="1539"/>
        <w:gridCol w:w="2126"/>
        <w:gridCol w:w="2054"/>
      </w:tblGrid>
      <w:tr>
        <w:trPr>
          <w:tblHeader/>
        </w:trPr>
        <w:tc>
          <w:tcPr>
            <w:tcW w:type="dxa" w:w="178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القناة</w:t>
            </w:r>
          </w:p>
        </w:tc>
        <w:tc>
          <w:tcPr>
            <w:tcW w:type="dxa" w:w="1017"/>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الوزن</w:t>
            </w:r>
          </w:p>
        </w:tc>
        <w:tc>
          <w:tcPr>
            <w:tcW w:type="dxa" w:w="134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دورة البيع</w:t>
            </w:r>
          </w:p>
        </w:tc>
        <w:tc>
          <w:tcPr>
            <w:tcW w:type="dxa" w:w="153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شروط السداد</w:t>
            </w:r>
          </w:p>
        </w:tc>
        <w:tc>
          <w:tcPr>
            <w:tcW w:type="dxa" w:w="212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ميزتها</w:t>
            </w:r>
          </w:p>
        </w:tc>
        <w:tc>
          <w:tcPr>
            <w:tcW w:type="dxa" w:w="2054"/>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مخاطرها</w:t>
            </w:r>
          </w:p>
        </w:tc>
      </w:tr>
      <w:tr>
        <w:tc>
          <w:tcPr>
            <w:tcW w:type="dxa" w:w="178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مؤسسية</w:t>
            </w:r>
            <w:r>
              <w:rPr>
                <w:rFonts w:ascii="Arial" w:cs="Arial" w:hAnsi="Arial"/>
                <w:b w:val="false"/>
                <w:i w:val="false"/>
                <w:color w:val="48534C"/>
                <w:sz w:val="17"/>
                <w:szCs w:val="17"/>
                <w:rtl/>
              </w:rPr>
              <w:t xml:space="preserve"> (تموين وتدريب)</w:t>
            </w:r>
          </w:p>
        </w:tc>
        <w:tc>
          <w:tcPr>
            <w:tcW w:type="dxa" w:w="10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50.4٪</w:t>
            </w:r>
          </w:p>
        </w:tc>
        <w:tc>
          <w:tcPr>
            <w:tcW w:type="dxa" w:w="134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3–6 أشهر</w:t>
            </w:r>
          </w:p>
        </w:tc>
        <w:tc>
          <w:tcPr>
            <w:tcW w:type="dxa" w:w="153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45–60 يومًا</w:t>
            </w:r>
          </w:p>
        </w:tc>
        <w:tc>
          <w:tcPr>
            <w:tcW w:type="dxa" w:w="21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إيراد متكرر يمكن التنبؤ به</w:t>
            </w:r>
          </w:p>
        </w:tc>
        <w:tc>
          <w:tcPr>
            <w:tcW w:type="dxa" w:w="205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تركّز العملاء وضغط سعري</w:t>
            </w:r>
          </w:p>
        </w:tc>
      </w:tr>
      <w:tr>
        <w:tc>
          <w:tcPr>
            <w:tcW w:type="dxa" w:w="178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تجزئة وجملة</w:t>
            </w:r>
          </w:p>
        </w:tc>
        <w:tc>
          <w:tcPr>
            <w:tcW w:type="dxa" w:w="10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30.1٪</w:t>
            </w:r>
          </w:p>
        </w:tc>
        <w:tc>
          <w:tcPr>
            <w:tcW w:type="dxa" w:w="134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4–8 أسابيع</w:t>
            </w:r>
          </w:p>
        </w:tc>
        <w:tc>
          <w:tcPr>
            <w:tcW w:type="dxa" w:w="153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30–45 يومًا</w:t>
            </w:r>
          </w:p>
        </w:tc>
        <w:tc>
          <w:tcPr>
            <w:tcW w:type="dxa" w:w="21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حجم وانتشار وبناء علامة</w:t>
            </w:r>
          </w:p>
        </w:tc>
        <w:tc>
          <w:tcPr>
            <w:tcW w:type="dxa" w:w="205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هامش أقل ورسوم إدراج</w:t>
            </w:r>
          </w:p>
        </w:tc>
      </w:tr>
      <w:tr>
        <w:tc>
          <w:tcPr>
            <w:tcW w:type="dxa" w:w="178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خدمات التصنيع</w:t>
            </w:r>
            <w:r>
              <w:rPr>
                <w:rFonts w:ascii="Arial" w:cs="Arial" w:hAnsi="Arial"/>
                <w:b w:val="false"/>
                <w:i w:val="false"/>
                <w:color w:val="48534C"/>
                <w:sz w:val="17"/>
                <w:szCs w:val="17"/>
                <w:rtl/>
              </w:rPr>
              <w:t xml:space="preserve"> (B2B)</w:t>
            </w:r>
          </w:p>
        </w:tc>
        <w:tc>
          <w:tcPr>
            <w:tcW w:type="dxa" w:w="10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11.9٪</w:t>
            </w:r>
          </w:p>
        </w:tc>
        <w:tc>
          <w:tcPr>
            <w:tcW w:type="dxa" w:w="134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1–3 أسابيع</w:t>
            </w:r>
          </w:p>
        </w:tc>
        <w:tc>
          <w:tcPr>
            <w:tcW w:type="dxa" w:w="153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مقدمًا أو 15 يومًا</w:t>
            </w:r>
          </w:p>
        </w:tc>
        <w:tc>
          <w:tcPr>
            <w:tcW w:type="dxa" w:w="21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أعلى هامش وأسرع تحصيل</w:t>
            </w:r>
          </w:p>
        </w:tc>
        <w:tc>
          <w:tcPr>
            <w:tcW w:type="dxa" w:w="205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حجم محدود بعدد المحطات</w:t>
            </w:r>
          </w:p>
        </w:tc>
      </w:tr>
      <w:tr>
        <w:tc>
          <w:tcPr>
            <w:tcW w:type="dxa" w:w="178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إلكترونية ومباشرة</w:t>
            </w:r>
          </w:p>
        </w:tc>
        <w:tc>
          <w:tcPr>
            <w:tcW w:type="dxa" w:w="10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7.6٪</w:t>
            </w:r>
          </w:p>
        </w:tc>
        <w:tc>
          <w:tcPr>
            <w:tcW w:type="dxa" w:w="134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فوري</w:t>
            </w:r>
          </w:p>
        </w:tc>
        <w:tc>
          <w:tcPr>
            <w:tcW w:type="dxa" w:w="153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فوري</w:t>
            </w:r>
          </w:p>
        </w:tc>
        <w:tc>
          <w:tcPr>
            <w:tcW w:type="dxa" w:w="21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تحصيل نقدي فوري وبيانات عملاء</w:t>
            </w:r>
          </w:p>
        </w:tc>
        <w:tc>
          <w:tcPr>
            <w:tcW w:type="dxa" w:w="205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كلفة استحواذ وتوصيل مرتفعة</w:t>
            </w:r>
          </w:p>
        </w:tc>
      </w:tr>
    </w:tbl>
    <w:p>
      <w:pPr>
        <w:bidi/>
        <w:spacing w:after="140" w:before="0" w:line="300"/>
        <w:jc w:val="both"/>
      </w:pPr>
      <w:r>
        <w:rPr>
          <w:rFonts w:ascii="Arial" w:cs="Arial" w:hAnsi="Arial"/>
          <w:b w:val="false"/>
          <w:i w:val="false"/>
          <w:color w:val="48534C"/>
          <w:sz w:val="8"/>
          <w:szCs w:val="8"/>
          <w:rtl/>
        </w:rPr>
        <w:t xml:space="preserve"/>
      </w:r>
    </w:p>
    <w:p>
      <w:pPr>
        <w:keepNext/>
        <w:bidi/>
        <w:spacing w:after="100" w:before="200" w:line="300"/>
        <w:jc w:val="start"/>
      </w:pPr>
      <w:r>
        <w:rPr>
          <w:rFonts w:ascii="Arial" w:cs="Arial" w:hAnsi="Arial"/>
          <w:b/>
          <w:bCs/>
          <w:i w:val="false"/>
          <w:color w:val="8A6A12"/>
          <w:sz w:val="16"/>
          <w:szCs w:val="16"/>
          <w:rtl/>
        </w:rPr>
        <w:t xml:space="preserve">شكل 10  </w:t>
      </w:r>
      <w:r>
        <w:rPr>
          <w:rFonts w:ascii="Arial" w:cs="Arial" w:hAnsi="Arial"/>
          <w:b/>
          <w:bCs/>
          <w:i w:val="false"/>
          <w:color w:val="111A15"/>
          <w:sz w:val="18"/>
          <w:szCs w:val="18"/>
          <w:rtl/>
        </w:rPr>
        <w:t xml:space="preserve">توقعات الإيرادات موزّعة على خطوط الإيراد الستة</w:t>
      </w:r>
    </w:p>
    <w:p>
      <w:pPr>
        <w:keepNext/>
        <w:bidi/>
        <w:spacing w:after="80"/>
        <w:jc w:val="center"/>
      </w:pPr>
      <w:r>
        <w:drawing>
          <wp:inline distT="0" distB="0" distL="0" distR="0">
            <wp:extent cx="62388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38875" cy="3619500"/>
                    </a:xfrm>
                    <a:prstGeom prst="rect">
                      <a:avLst/>
                    </a:prstGeom>
                  </pic:spPr>
                </pic:pic>
              </a:graphicData>
            </a:graphic>
          </wp:inline>
        </w:drawing>
      </w:r>
    </w:p>
    <w:p>
      <w:pPr>
        <w:bidi/>
        <w:spacing w:after="200" w:before="0" w:line="300"/>
        <w:jc w:val="both"/>
      </w:pPr>
      <w:r>
        <w:rPr>
          <w:rFonts w:ascii="Arial" w:cs="Arial" w:hAnsi="Arial"/>
          <w:b w:val="false"/>
          <w:i w:val="false"/>
          <w:color w:val="77817A"/>
          <w:sz w:val="16"/>
          <w:szCs w:val="16"/>
          <w:rtl/>
        </w:rPr>
        <w:t xml:space="preserve">خط الوجبات والتموين هو المرساة الحجمية (43.6٪ من إيراد السنة الثالثة)، بينما تنمو خطوط التمور والمحفوظات أسرع نسبيًا لأنها الأعلى هامشًا والأقل حساسية للسعر. ولا يُفترض في أي سنة تشغيل يتجاوز 80٪ من الطاقة التصميمية.</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1"/>
        <w:gridCol w:w="1506"/>
        <w:gridCol w:w="1551"/>
        <w:gridCol w:w="1563"/>
        <w:gridCol w:w="1563"/>
        <w:gridCol w:w="1562"/>
      </w:tblGrid>
      <w:tr>
        <w:trPr>
          <w:tblHeader/>
        </w:trPr>
        <w:tc>
          <w:tcPr>
            <w:tcW w:type="dxa" w:w="212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خط الإيراد</w:t>
            </w:r>
          </w:p>
        </w:tc>
        <w:tc>
          <w:tcPr>
            <w:tcW w:type="dxa" w:w="150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السنة 1</w:t>
            </w:r>
          </w:p>
        </w:tc>
        <w:tc>
          <w:tcPr>
            <w:tcW w:type="dxa" w:w="155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السنة 2</w:t>
            </w:r>
          </w:p>
        </w:tc>
        <w:tc>
          <w:tcPr>
            <w:tcW w:type="dxa" w:w="1563"/>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السنة 3</w:t>
            </w:r>
          </w:p>
        </w:tc>
        <w:tc>
          <w:tcPr>
            <w:tcW w:type="dxa" w:w="1563"/>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السنة 4</w:t>
            </w:r>
          </w:p>
        </w:tc>
        <w:tc>
          <w:tcPr>
            <w:tcW w:type="dxa" w:w="1562"/>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السنة 5</w:t>
            </w:r>
          </w:p>
        </w:tc>
      </w:tr>
      <w:tr>
        <w:tc>
          <w:tcPr>
            <w:tcW w:type="dxa" w:w="21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مخبوزات ومعجنات</w:t>
            </w:r>
          </w:p>
        </w:tc>
        <w:tc>
          <w:tcPr>
            <w:tcW w:type="dxa" w:w="15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967,680</w:t>
            </w:r>
          </w:p>
        </w:tc>
        <w:tc>
          <w:tcPr>
            <w:tcW w:type="dxa" w:w="155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1,463,918</w:t>
            </w:r>
          </w:p>
        </w:tc>
        <w:tc>
          <w:tcPr>
            <w:tcW w:type="dxa" w:w="1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1,956,979</w:t>
            </w:r>
          </w:p>
        </w:tc>
        <w:tc>
          <w:tcPr>
            <w:tcW w:type="dxa" w:w="1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2,313,085</w:t>
            </w:r>
          </w:p>
        </w:tc>
        <w:tc>
          <w:tcPr>
            <w:tcW w:type="dxa" w:w="156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2,654,760</w:t>
            </w:r>
          </w:p>
        </w:tc>
      </w:tr>
      <w:tr>
        <w:tc>
          <w:tcPr>
            <w:tcW w:type="dxa" w:w="21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تمور ومنتجات محفوظة</w:t>
            </w:r>
          </w:p>
        </w:tc>
        <w:tc>
          <w:tcPr>
            <w:tcW w:type="dxa" w:w="15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851,760</w:t>
            </w:r>
          </w:p>
        </w:tc>
        <w:tc>
          <w:tcPr>
            <w:tcW w:type="dxa" w:w="155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1,417,198</w:t>
            </w:r>
          </w:p>
        </w:tc>
        <w:tc>
          <w:tcPr>
            <w:tcW w:type="dxa" w:w="1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1,981,040</w:t>
            </w:r>
          </w:p>
        </w:tc>
        <w:tc>
          <w:tcPr>
            <w:tcW w:type="dxa" w:w="1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2,434,246</w:t>
            </w:r>
          </w:p>
        </w:tc>
        <w:tc>
          <w:tcPr>
            <w:tcW w:type="dxa" w:w="156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2,802,247</w:t>
            </w:r>
          </w:p>
        </w:tc>
      </w:tr>
      <w:tr>
        <w:tc>
          <w:tcPr>
            <w:tcW w:type="dxa" w:w="21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وجبات وتموين مؤسسي</w:t>
            </w:r>
          </w:p>
        </w:tc>
        <w:tc>
          <w:tcPr>
            <w:tcW w:type="dxa" w:w="15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2,148,300</w:t>
            </w:r>
          </w:p>
        </w:tc>
        <w:tc>
          <w:tcPr>
            <w:tcW w:type="dxa" w:w="155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3,426,192</w:t>
            </w:r>
          </w:p>
        </w:tc>
        <w:tc>
          <w:tcPr>
            <w:tcW w:type="dxa" w:w="1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4,558,263</w:t>
            </w:r>
          </w:p>
        </w:tc>
        <w:tc>
          <w:tcPr>
            <w:tcW w:type="dxa" w:w="1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5,376,545</w:t>
            </w:r>
          </w:p>
        </w:tc>
        <w:tc>
          <w:tcPr>
            <w:tcW w:type="dxa" w:w="156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6,161,823</w:t>
            </w:r>
          </w:p>
        </w:tc>
      </w:tr>
      <w:tr>
        <w:tc>
          <w:tcPr>
            <w:tcW w:type="dxa" w:w="21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تصنيع بالتعاقد</w:t>
            </w:r>
          </w:p>
        </w:tc>
        <w:tc>
          <w:tcPr>
            <w:tcW w:type="dxa" w:w="15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328,320</w:t>
            </w:r>
          </w:p>
        </w:tc>
        <w:tc>
          <w:tcPr>
            <w:tcW w:type="dxa" w:w="155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516,154</w:t>
            </w:r>
          </w:p>
        </w:tc>
        <w:tc>
          <w:tcPr>
            <w:tcW w:type="dxa" w:w="1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659,965</w:t>
            </w:r>
          </w:p>
        </w:tc>
        <w:tc>
          <w:tcPr>
            <w:tcW w:type="dxa" w:w="1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774,175</w:t>
            </w:r>
          </w:p>
        </w:tc>
        <w:tc>
          <w:tcPr>
            <w:tcW w:type="dxa" w:w="156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865,471</w:t>
            </w:r>
          </w:p>
        </w:tc>
      </w:tr>
      <w:tr>
        <w:tc>
          <w:tcPr>
            <w:tcW w:type="dxa" w:w="21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تعبئة وتغليف</w:t>
            </w:r>
          </w:p>
        </w:tc>
        <w:tc>
          <w:tcPr>
            <w:tcW w:type="dxa" w:w="15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252,000</w:t>
            </w:r>
          </w:p>
        </w:tc>
        <w:tc>
          <w:tcPr>
            <w:tcW w:type="dxa" w:w="155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432,600</w:t>
            </w:r>
          </w:p>
        </w:tc>
        <w:tc>
          <w:tcPr>
            <w:tcW w:type="dxa" w:w="1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588,163</w:t>
            </w:r>
          </w:p>
        </w:tc>
        <w:tc>
          <w:tcPr>
            <w:tcW w:type="dxa" w:w="1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697,597</w:t>
            </w:r>
          </w:p>
        </w:tc>
        <w:tc>
          <w:tcPr>
            <w:tcW w:type="dxa" w:w="156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794,159</w:t>
            </w:r>
          </w:p>
        </w:tc>
      </w:tr>
      <w:tr>
        <w:tc>
          <w:tcPr>
            <w:tcW w:type="dxa" w:w="21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تدريب مؤسسي</w:t>
            </w:r>
          </w:p>
        </w:tc>
        <w:tc>
          <w:tcPr>
            <w:tcW w:type="dxa" w:w="15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378,840</w:t>
            </w:r>
          </w:p>
        </w:tc>
        <w:tc>
          <w:tcPr>
            <w:tcW w:type="dxa" w:w="155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561,515</w:t>
            </w:r>
          </w:p>
        </w:tc>
        <w:tc>
          <w:tcPr>
            <w:tcW w:type="dxa" w:w="1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715,598</w:t>
            </w:r>
          </w:p>
        </w:tc>
        <w:tc>
          <w:tcPr>
            <w:tcW w:type="dxa" w:w="1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827,937</w:t>
            </w:r>
          </w:p>
        </w:tc>
        <w:tc>
          <w:tcPr>
            <w:tcW w:type="dxa" w:w="156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915,174</w:t>
            </w:r>
          </w:p>
        </w:tc>
      </w:tr>
      <w:tr>
        <w:tc>
          <w:tcPr>
            <w:tcW w:type="dxa" w:w="2121"/>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start"/>
            </w:pPr>
            <w:r>
              <w:rPr>
                <w:rFonts w:ascii="Arial" w:cs="Arial" w:hAnsi="Arial"/>
                <w:b/>
                <w:bCs/>
                <w:i w:val="false"/>
                <w:color w:val="111A15"/>
                <w:sz w:val="17"/>
                <w:szCs w:val="17"/>
                <w:rtl/>
              </w:rPr>
              <w:t xml:space="preserve">الإجمالي</w:t>
            </w:r>
          </w:p>
        </w:tc>
        <w:tc>
          <w:tcPr>
            <w:tcW w:type="dxa" w:w="1506"/>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4,926,900</w:t>
            </w:r>
          </w:p>
        </w:tc>
        <w:tc>
          <w:tcPr>
            <w:tcW w:type="dxa" w:w="1551"/>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7,817,576</w:t>
            </w:r>
          </w:p>
        </w:tc>
        <w:tc>
          <w:tcPr>
            <w:tcW w:type="dxa" w:w="1563"/>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10,460,007</w:t>
            </w:r>
          </w:p>
        </w:tc>
        <w:tc>
          <w:tcPr>
            <w:tcW w:type="dxa" w:w="1563"/>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12,423,585</w:t>
            </w:r>
          </w:p>
        </w:tc>
        <w:tc>
          <w:tcPr>
            <w:tcW w:type="dxa" w:w="1562"/>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14,193,634</w:t>
            </w:r>
          </w:p>
        </w:tc>
      </w:tr>
      <w:tr>
        <w:tc>
          <w:tcPr>
            <w:tcW w:type="dxa" w:w="21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الإشغال من الطاقة</w:t>
            </w:r>
          </w:p>
        </w:tc>
        <w:tc>
          <w:tcPr>
            <w:tcW w:type="dxa" w:w="15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31.1٪</w:t>
            </w:r>
          </w:p>
        </w:tc>
        <w:tc>
          <w:tcPr>
            <w:tcW w:type="dxa" w:w="155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47.9٪</w:t>
            </w:r>
          </w:p>
        </w:tc>
        <w:tc>
          <w:tcPr>
            <w:tcW w:type="dxa" w:w="1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62.2٪</w:t>
            </w:r>
          </w:p>
        </w:tc>
        <w:tc>
          <w:tcPr>
            <w:tcW w:type="dxa" w:w="1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71.7٪</w:t>
            </w:r>
          </w:p>
        </w:tc>
        <w:tc>
          <w:tcPr>
            <w:tcW w:type="dxa" w:w="156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79.5٪</w:t>
            </w:r>
          </w:p>
        </w:tc>
      </w:tr>
    </w:tbl>
    <w:p>
      <w:pPr>
        <w:bidi/>
        <w:spacing w:after="14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خطة الإطلاق والاستحواذ على العملاء</w:t>
      </w:r>
    </w:p>
    <w:p>
      <w:pPr>
        <w:keepNext/>
        <w:bidi/>
        <w:spacing w:after="60" w:before="160" w:line="300"/>
        <w:jc w:val="start"/>
      </w:pPr>
      <w:r>
        <w:rPr>
          <w:rFonts w:ascii="Arial" w:cs="Arial" w:hAnsi="Arial"/>
          <w:b/>
          <w:bCs/>
          <w:i w:val="false"/>
          <w:color w:val="8A6A12"/>
          <w:sz w:val="16"/>
          <w:szCs w:val="16"/>
          <w:rtl/>
        </w:rPr>
        <w:t xml:space="preserve">جدول 15 — مراحل الإطلاق التسويقي ومستهدفاتها</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7"/>
        <w:gridCol w:w="1448"/>
        <w:gridCol w:w="4163"/>
        <w:gridCol w:w="2568"/>
      </w:tblGrid>
      <w:tr>
        <w:trPr>
          <w:tblHeader/>
        </w:trPr>
        <w:tc>
          <w:tcPr>
            <w:tcW w:type="dxa" w:w="1687"/>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المرحلة</w:t>
            </w:r>
          </w:p>
        </w:tc>
        <w:tc>
          <w:tcPr>
            <w:tcW w:type="dxa" w:w="1448"/>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التوقيت</w:t>
            </w:r>
          </w:p>
        </w:tc>
        <w:tc>
          <w:tcPr>
            <w:tcW w:type="dxa" w:w="4163"/>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الإجراءات</w:t>
            </w:r>
          </w:p>
        </w:tc>
        <w:tc>
          <w:tcPr>
            <w:tcW w:type="dxa" w:w="2568"/>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المستهدف</w:t>
            </w:r>
          </w:p>
        </w:tc>
      </w:tr>
      <w:tr>
        <w:tc>
          <w:tcPr>
            <w:tcW w:type="dxa" w:w="168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ما قبل الإطلاق</w:t>
            </w:r>
          </w:p>
        </w:tc>
        <w:tc>
          <w:tcPr>
            <w:tcW w:type="dxa" w:w="144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 5 – 11</w:t>
            </w:r>
          </w:p>
        </w:tc>
        <w:tc>
          <w:tcPr>
            <w:tcW w:type="dxa" w:w="41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بناء الهوية والتغليف · تسجيل العلامة · إعداد ملف المورّد · زيارات ميدانية للمشترين المؤسسيين</w:t>
            </w:r>
          </w:p>
        </w:tc>
        <w:tc>
          <w:tcPr>
            <w:tcW w:type="dxa" w:w="25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12 خطاب نوايا موقّعًا قبل بدء الإنتاج</w:t>
            </w:r>
          </w:p>
        </w:tc>
      </w:tr>
      <w:tr>
        <w:tc>
          <w:tcPr>
            <w:tcW w:type="dxa" w:w="168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الإطلاق المحدود</w:t>
            </w:r>
          </w:p>
        </w:tc>
        <w:tc>
          <w:tcPr>
            <w:tcW w:type="dxa" w:w="144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 11 – 14</w:t>
            </w:r>
          </w:p>
        </w:tc>
        <w:tc>
          <w:tcPr>
            <w:tcW w:type="dxa" w:w="41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تشغيل تجريبي مع 3 عملاء مؤسسيين · عيّنات مجانية · جولات ميدانية داخل المنشأة</w:t>
            </w:r>
          </w:p>
        </w:tc>
        <w:tc>
          <w:tcPr>
            <w:tcW w:type="dxa" w:w="25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تحويل 6 خطابات نوايا إلى عقود</w:t>
            </w:r>
          </w:p>
        </w:tc>
      </w:tr>
      <w:tr>
        <w:tc>
          <w:tcPr>
            <w:tcW w:type="dxa" w:w="168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الإطلاق الرسمي</w:t>
            </w:r>
          </w:p>
        </w:tc>
        <w:tc>
          <w:tcPr>
            <w:tcW w:type="dxa" w:w="144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 14 – 16</w:t>
            </w:r>
          </w:p>
        </w:tc>
        <w:tc>
          <w:tcPr>
            <w:tcW w:type="dxa" w:w="41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حفل إطلاق بحضور الشركاء · حملة رقمية · إدراج في منافذ التجزئة · تشغيل المتجر الإلكتروني</w:t>
            </w:r>
          </w:p>
        </w:tc>
        <w:tc>
          <w:tcPr>
            <w:tcW w:type="dxa" w:w="25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الوصول إلى 31٪ من الطاقة التشغيلية</w:t>
            </w:r>
          </w:p>
        </w:tc>
      </w:tr>
      <w:tr>
        <w:tc>
          <w:tcPr>
            <w:tcW w:type="dxa" w:w="168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التوسّع</w:t>
            </w:r>
          </w:p>
        </w:tc>
        <w:tc>
          <w:tcPr>
            <w:tcW w:type="dxa" w:w="144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س 2 – س 3</w:t>
            </w:r>
          </w:p>
        </w:tc>
        <w:tc>
          <w:tcPr>
            <w:tcW w:type="dxa" w:w="41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توسيع شبكة التجزئة · إطلاق خدمة التصنيع بالتعاقد للعلامات الناشئة · دخول المنافسات الحكومية</w:t>
            </w:r>
          </w:p>
        </w:tc>
        <w:tc>
          <w:tcPr>
            <w:tcW w:type="dxa" w:w="25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الوصول إلى 62٪ من الطاقة</w:t>
            </w:r>
          </w:p>
        </w:tc>
      </w:tr>
    </w:tbl>
    <w:p>
      <w:pPr>
        <w:bidi/>
        <w:spacing w:after="140" w:before="0" w:line="300"/>
        <w:jc w:val="both"/>
      </w:pPr>
      <w:r>
        <w:rPr>
          <w:rFonts w:ascii="Arial" w:cs="Arial" w:hAnsi="Arial"/>
          <w:b w:val="false"/>
          <w:i w:val="false"/>
          <w:color w:val="48534C"/>
          <w:sz w:val="8"/>
          <w:szCs w:val="8"/>
          <w:rtl/>
        </w:rPr>
        <w:t xml:space="preserve"/>
      </w:r>
    </w:p>
    <w:p>
      <w:pPr>
        <w:pStyle w:val="Heading1"/>
        <w:keepNext/>
        <w:pageBreakBefore/>
        <w:bidi/>
        <w:spacing w:after="60" w:before="0" w:line="300"/>
        <w:jc w:val="start"/>
        <w:outlineLvl w:val="0"/>
      </w:pPr>
      <w:r>
        <w:rPr>
          <w:rFonts w:ascii="Arial" w:cs="Arial" w:hAnsi="Arial"/>
          <w:b/>
          <w:bCs/>
          <w:i w:val="false"/>
          <w:color w:val="8A6A12"/>
          <w:sz w:val="30"/>
          <w:szCs w:val="30"/>
          <w:rtl/>
        </w:rPr>
        <w:t xml:space="preserve">10   </w:t>
      </w:r>
      <w:r>
        <w:rPr>
          <w:rFonts w:ascii="Arial" w:cs="Arial" w:hAnsi="Arial"/>
          <w:b/>
          <w:bCs/>
          <w:i w:val="false"/>
          <w:color w:val="0E5A49"/>
          <w:sz w:val="30"/>
          <w:szCs w:val="30"/>
          <w:rtl/>
        </w:rPr>
        <w:t xml:space="preserve">الدراسة التنظيمية والموارد البشرية</w:t>
      </w:r>
    </w:p>
    <w:p>
      <w:pPr>
        <w:pBdr>
          <w:bottom w:val="single" w:color="DBE2DB" w:sz="6"/>
        </w:pBdr>
        <w:bidi/>
        <w:spacing w:after="260"/>
        <w:jc w:val="start"/>
      </w:pPr>
      <w:r>
        <w:rPr>
          <w:rFonts w:ascii="Arial" w:cs="Arial" w:hAnsi="Arial"/>
          <w:b w:val="false"/>
          <w:i w:val="false"/>
          <w:color w:val="77817A"/>
          <w:sz w:val="17"/>
          <w:szCs w:val="17"/>
          <w:rtl/>
        </w:rPr>
        <w:t xml:space="preserve">الحوكمة · الهيكل · الملاك الوظيفي · السياسات</w:t>
      </w:r>
    </w:p>
    <w:p>
      <w:pPr>
        <w:pStyle w:val="Heading2"/>
        <w:keepNext/>
        <w:bidi/>
        <w:spacing w:after="120" w:before="300" w:line="300"/>
        <w:jc w:val="start"/>
        <w:outlineLvl w:val="1"/>
      </w:pPr>
      <w:r>
        <w:rPr>
          <w:rFonts w:ascii="Arial" w:cs="Arial" w:hAnsi="Arial"/>
          <w:b/>
          <w:bCs/>
          <w:i w:val="false"/>
          <w:color w:val="0E5A49"/>
          <w:sz w:val="24"/>
          <w:szCs w:val="24"/>
          <w:rtl/>
        </w:rPr>
        <w:t xml:space="preserve">إطار الحوكمة</w:t>
      </w:r>
    </w:p>
    <w:p>
      <w:pPr>
        <w:bidi/>
        <w:spacing w:after="140" w:before="0" w:line="300"/>
        <w:jc w:val="both"/>
      </w:pPr>
      <w:r>
        <w:rPr>
          <w:rFonts w:ascii="Arial" w:cs="Arial" w:hAnsi="Arial"/>
          <w:b w:val="false"/>
          <w:i w:val="false"/>
          <w:color w:val="111A15"/>
          <w:sz w:val="21"/>
          <w:szCs w:val="21"/>
          <w:rtl/>
        </w:rPr>
        <w:t xml:space="preserve">أكثر ما يهدّد مشاريع الجمعيات الإنتاجية ليس السوق بل </w:t>
      </w:r>
      <w:r>
        <w:rPr>
          <w:rFonts w:ascii="Arial" w:cs="Arial" w:hAnsi="Arial"/>
          <w:b/>
          <w:bCs/>
          <w:i w:val="false"/>
          <w:color w:val="111A15"/>
          <w:sz w:val="21"/>
          <w:szCs w:val="21"/>
          <w:rtl/>
        </w:rPr>
        <w:t xml:space="preserve">ازدواج القبعات</w:t>
      </w:r>
      <w:r>
        <w:rPr>
          <w:rFonts w:ascii="Arial" w:cs="Arial" w:hAnsi="Arial"/>
          <w:b w:val="false"/>
          <w:i w:val="false"/>
          <w:color w:val="111A15"/>
          <w:sz w:val="21"/>
          <w:szCs w:val="21"/>
          <w:rtl/>
        </w:rPr>
        <w:t xml:space="preserve">: أن يدير المشروعَ الإنتاجي المجلسُ نفسه الذي يدير العمل الخيري، فتختلط قرارات التشغيل بقرارات الإحسان، ويُباع المنتج بأقل من تكلفته «مراعاةً»، فينهار الكيان. ولذلك يقوم إطار الحوكمة المقترح على فصل واضح بين ثلاث مسؤوليات:</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الملكية والإشراف</w:t>
      </w:r>
      <w:r>
        <w:rPr>
          <w:rFonts w:ascii="Arial" w:cs="Arial" w:hAnsi="Arial"/>
          <w:b w:val="false"/>
          <w:i w:val="false"/>
          <w:color w:val="48534C"/>
          <w:sz w:val="20"/>
          <w:szCs w:val="20"/>
          <w:rtl/>
        </w:rPr>
        <w:t xml:space="preserve"> — مجلس إدارة الجمعية، يعتمد الاستراتيجية والموازنة ويحاسب على النتائج، ولا يتدخل في التشغيل اليومي.</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الرقابة</w:t>
      </w:r>
      <w:r>
        <w:rPr>
          <w:rFonts w:ascii="Arial" w:cs="Arial" w:hAnsi="Arial"/>
          <w:b w:val="false"/>
          <w:i w:val="false"/>
          <w:color w:val="48534C"/>
          <w:sz w:val="20"/>
          <w:szCs w:val="20"/>
          <w:rtl/>
        </w:rPr>
        <w:t xml:space="preserve"> — لجنة إشراف على المشروع مشكَّلة من المجلس ومن خبير صناعي مستقل وممثلة عن المستفيدات، تجتمع شهريًا وترفع تقريرًا ربعيًا للجهة المانحة.</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التنفيذ</w:t>
      </w:r>
      <w:r>
        <w:rPr>
          <w:rFonts w:ascii="Arial" w:cs="Arial" w:hAnsi="Arial"/>
          <w:b w:val="false"/>
          <w:i w:val="false"/>
          <w:color w:val="48534C"/>
          <w:sz w:val="20"/>
          <w:szCs w:val="20"/>
          <w:rtl/>
        </w:rPr>
        <w:t xml:space="preserve"> — إدارة المركز، تملك صلاحية تشغيلية كاملة ضمن الموازنة المعتمدة وتُحاسَب على مؤشرات محددة سلفًا.</w:t>
      </w:r>
    </w:p>
    <w:p>
      <w:pPr>
        <w:bidi/>
        <w:spacing w:after="60" w:before="0" w:line="300"/>
        <w:jc w:val="both"/>
      </w:pPr>
      <w:r>
        <w:rPr>
          <w:rFonts w:ascii="Arial" w:cs="Arial" w:hAnsi="Arial"/>
          <w:b w:val="false"/>
          <w:i w:val="false"/>
          <w:color w:val="48534C"/>
          <w:sz w:val="6"/>
          <w:szCs w:val="6"/>
          <w:rtl/>
        </w:rPr>
        <w:t xml:space="preserve"/>
      </w:r>
    </w:p>
    <w:p>
      <w:pPr>
        <w:bidi/>
        <w:spacing w:after="140" w:before="0" w:line="300"/>
        <w:jc w:val="both"/>
      </w:pPr>
      <w:r>
        <w:rPr>
          <w:rFonts w:ascii="Arial" w:cs="Arial" w:hAnsi="Arial"/>
          <w:b w:val="false"/>
          <w:i w:val="false"/>
          <w:color w:val="48534C"/>
          <w:sz w:val="20"/>
          <w:szCs w:val="20"/>
          <w:rtl/>
        </w:rPr>
        <w:t xml:space="preserve">ويُشترط استقلال وظيفتين عن الإدارة التنفيذية بخط رفع مزدوج إلى لجنة الإشراف: </w:t>
      </w:r>
      <w:r>
        <w:rPr>
          <w:rFonts w:ascii="Arial" w:cs="Arial" w:hAnsi="Arial"/>
          <w:b/>
          <w:bCs/>
          <w:i w:val="false"/>
          <w:color w:val="48534C"/>
          <w:sz w:val="20"/>
          <w:szCs w:val="20"/>
          <w:rtl/>
        </w:rPr>
        <w:t xml:space="preserve">مسؤول الجودة وسلامة الغذاء</w:t>
      </w:r>
      <w:r>
        <w:rPr>
          <w:rFonts w:ascii="Arial" w:cs="Arial" w:hAnsi="Arial"/>
          <w:b w:val="false"/>
          <w:i w:val="false"/>
          <w:color w:val="48534C"/>
          <w:sz w:val="20"/>
          <w:szCs w:val="20"/>
          <w:rtl/>
        </w:rPr>
        <w:t xml:space="preserve"> (حتى لا يخضع قرار إيقاف دفعة إنتاج لضغط المبيعات)، و</w:t>
      </w:r>
      <w:r>
        <w:rPr>
          <w:rFonts w:ascii="Arial" w:cs="Arial" w:hAnsi="Arial"/>
          <w:b/>
          <w:bCs/>
          <w:i w:val="false"/>
          <w:color w:val="48534C"/>
          <w:sz w:val="20"/>
          <w:szCs w:val="20"/>
          <w:rtl/>
        </w:rPr>
        <w:t xml:space="preserve">أخصائي الرصد والتقييم</w:t>
      </w:r>
      <w:r>
        <w:rPr>
          <w:rFonts w:ascii="Arial" w:cs="Arial" w:hAnsi="Arial"/>
          <w:b w:val="false"/>
          <w:i w:val="false"/>
          <w:color w:val="48534C"/>
          <w:sz w:val="20"/>
          <w:szCs w:val="20"/>
          <w:rtl/>
        </w:rPr>
        <w:t xml:space="preserve"> (حتى لا يقيس المنفّذ أثر نفسه).</w:t>
      </w:r>
    </w:p>
    <w:p>
      <w:pPr>
        <w:keepNext/>
        <w:bidi/>
        <w:spacing w:after="100" w:before="200" w:line="300"/>
        <w:jc w:val="start"/>
      </w:pPr>
      <w:r>
        <w:rPr>
          <w:rFonts w:ascii="Arial" w:cs="Arial" w:hAnsi="Arial"/>
          <w:b/>
          <w:bCs/>
          <w:i w:val="false"/>
          <w:color w:val="8A6A12"/>
          <w:sz w:val="16"/>
          <w:szCs w:val="16"/>
          <w:rtl/>
        </w:rPr>
        <w:t xml:space="preserve">شكل 11  </w:t>
      </w:r>
      <w:r>
        <w:rPr>
          <w:rFonts w:ascii="Arial" w:cs="Arial" w:hAnsi="Arial"/>
          <w:b/>
          <w:bCs/>
          <w:i w:val="false"/>
          <w:color w:val="111A15"/>
          <w:sz w:val="18"/>
          <w:szCs w:val="18"/>
          <w:rtl/>
        </w:rPr>
        <w:t xml:space="preserve">الهيكل التنظيمي عند التشغيل الكامل (السنة الثالثة — 26 وظيفة)</w:t>
      </w:r>
    </w:p>
    <w:p>
      <w:pPr>
        <w:keepNext/>
        <w:bidi/>
        <w:spacing w:after="80"/>
        <w:jc w:val="center"/>
      </w:pPr>
      <w:r>
        <w:drawing>
          <wp:inline distT="0" distB="0" distL="0" distR="0">
            <wp:extent cx="6238875"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38875" cy="3381375"/>
                    </a:xfrm>
                    <a:prstGeom prst="rect">
                      <a:avLst/>
                    </a:prstGeom>
                  </pic:spPr>
                </pic:pic>
              </a:graphicData>
            </a:graphic>
          </wp:inline>
        </w:drawing>
      </w:r>
    </w:p>
    <w:p>
      <w:pPr>
        <w:bidi/>
        <w:spacing w:after="200" w:before="0" w:line="300"/>
        <w:jc w:val="both"/>
      </w:pPr>
      <w:r>
        <w:rPr>
          <w:rFonts w:ascii="Arial" w:cs="Arial" w:hAnsi="Arial"/>
          <w:b w:val="false"/>
          <w:i w:val="false"/>
          <w:color w:val="77817A"/>
          <w:sz w:val="16"/>
          <w:szCs w:val="16"/>
          <w:rtl/>
        </w:rPr>
        <w:t xml:space="preserve">الخطان المتقطعان ليسا تفصيلًا شكليًا: هما الضمانة المؤسسية بأن قرار إيقاف دفعة إنتاج غير مطابقة، أو تسجيل مؤشر أثر دون المستهدف، لا يمرّ عبر من تتأثر مكافأته بالنتيجة.</w:t>
      </w:r>
    </w:p>
    <w:p>
      <w:pPr>
        <w:pStyle w:val="Heading2"/>
        <w:keepNext/>
        <w:bidi/>
        <w:spacing w:after="120" w:before="300" w:line="300"/>
        <w:jc w:val="start"/>
        <w:outlineLvl w:val="1"/>
      </w:pPr>
      <w:r>
        <w:rPr>
          <w:rFonts w:ascii="Arial" w:cs="Arial" w:hAnsi="Arial"/>
          <w:b/>
          <w:bCs/>
          <w:i w:val="false"/>
          <w:color w:val="0E5A49"/>
          <w:sz w:val="24"/>
          <w:szCs w:val="24"/>
          <w:rtl/>
        </w:rPr>
        <w:t xml:space="preserve">الملاك الوظيفي وتكلفته</w:t>
      </w:r>
    </w:p>
    <w:p>
      <w:pPr>
        <w:keepNext/>
        <w:bidi/>
        <w:spacing w:after="60" w:before="160" w:line="300"/>
        <w:jc w:val="start"/>
      </w:pPr>
      <w:r>
        <w:rPr>
          <w:rFonts w:ascii="Arial" w:cs="Arial" w:hAnsi="Arial"/>
          <w:b/>
          <w:bCs/>
          <w:i w:val="false"/>
          <w:color w:val="8A6A12"/>
          <w:sz w:val="16"/>
          <w:szCs w:val="16"/>
          <w:rtl/>
        </w:rPr>
        <w:t xml:space="preserve">جدول 16 — الهيكل الوظيفي والرواتب (بالريال السعودي)</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16"/>
        <w:gridCol w:w="1784"/>
        <w:gridCol w:w="1389"/>
        <w:gridCol w:w="1389"/>
        <w:gridCol w:w="1388"/>
      </w:tblGrid>
      <w:tr>
        <w:trPr>
          <w:tblHeader/>
        </w:trPr>
        <w:tc>
          <w:tcPr>
            <w:tcW w:type="dxa" w:w="391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المسمى الوظيفي</w:t>
            </w:r>
          </w:p>
        </w:tc>
        <w:tc>
          <w:tcPr>
            <w:tcW w:type="dxa" w:w="1784"/>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الراتب الشهري</w:t>
            </w:r>
          </w:p>
        </w:tc>
        <w:tc>
          <w:tcPr>
            <w:tcW w:type="dxa" w:w="138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س1</w:t>
            </w:r>
          </w:p>
        </w:tc>
        <w:tc>
          <w:tcPr>
            <w:tcW w:type="dxa" w:w="138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س3</w:t>
            </w:r>
          </w:p>
        </w:tc>
        <w:tc>
          <w:tcPr>
            <w:tcW w:type="dxa" w:w="1388"/>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س5</w:t>
            </w:r>
          </w:p>
        </w:tc>
      </w:tr>
      <w:tr>
        <w:tc>
          <w:tcPr>
            <w:tcW w:type="dxa" w:w="39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مدير المركز</w:t>
            </w:r>
          </w:p>
        </w:tc>
        <w:tc>
          <w:tcPr>
            <w:tcW w:type="dxa" w:w="17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17,000</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13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r>
      <w:tr>
        <w:tc>
          <w:tcPr>
            <w:tcW w:type="dxa" w:w="39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مدير التشغيل والإنتاج</w:t>
            </w:r>
          </w:p>
        </w:tc>
        <w:tc>
          <w:tcPr>
            <w:tcW w:type="dxa" w:w="17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12,500</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13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r>
      <w:tr>
        <w:tc>
          <w:tcPr>
            <w:tcW w:type="dxa" w:w="39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مدير التسويق والمبيعات وتطوير الأعمال</w:t>
            </w:r>
          </w:p>
        </w:tc>
        <w:tc>
          <w:tcPr>
            <w:tcW w:type="dxa" w:w="17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11,000</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13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r>
      <w:tr>
        <w:tc>
          <w:tcPr>
            <w:tcW w:type="dxa" w:w="39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مسؤول الجودة وسلامة الغذاء</w:t>
            </w:r>
          </w:p>
        </w:tc>
        <w:tc>
          <w:tcPr>
            <w:tcW w:type="dxa" w:w="17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9,500</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13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r>
      <w:tr>
        <w:tc>
          <w:tcPr>
            <w:tcW w:type="dxa" w:w="39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المحاسب / المسؤول المالي</w:t>
            </w:r>
          </w:p>
        </w:tc>
        <w:tc>
          <w:tcPr>
            <w:tcW w:type="dxa" w:w="17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8,500</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13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r>
      <w:tr>
        <w:tc>
          <w:tcPr>
            <w:tcW w:type="dxa" w:w="39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أخصائي الرصد والتقييم وقياس الأثر</w:t>
            </w:r>
          </w:p>
        </w:tc>
        <w:tc>
          <w:tcPr>
            <w:tcW w:type="dxa" w:w="17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7,000</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13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r>
      <w:tr>
        <w:tc>
          <w:tcPr>
            <w:tcW w:type="dxa" w:w="39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أخصائي تمكين وتنمية المستفيدات</w:t>
            </w:r>
          </w:p>
        </w:tc>
        <w:tc>
          <w:tcPr>
            <w:tcW w:type="dxa" w:w="17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6,500</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w:t>
            </w:r>
          </w:p>
        </w:tc>
        <w:tc>
          <w:tcPr>
            <w:tcW w:type="dxa" w:w="13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w:t>
            </w:r>
          </w:p>
        </w:tc>
      </w:tr>
      <w:tr>
        <w:tc>
          <w:tcPr>
            <w:tcW w:type="dxa" w:w="39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مشرف إنتاج / رئيس وردية</w:t>
            </w:r>
          </w:p>
        </w:tc>
        <w:tc>
          <w:tcPr>
            <w:tcW w:type="dxa" w:w="17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6,500</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w:t>
            </w:r>
          </w:p>
        </w:tc>
        <w:tc>
          <w:tcPr>
            <w:tcW w:type="dxa" w:w="13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w:t>
            </w:r>
          </w:p>
        </w:tc>
      </w:tr>
      <w:tr>
        <w:tc>
          <w:tcPr>
            <w:tcW w:type="dxa" w:w="39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منسق الموارد البشرية والشؤون الإدارية</w:t>
            </w:r>
          </w:p>
        </w:tc>
        <w:tc>
          <w:tcPr>
            <w:tcW w:type="dxa" w:w="17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6,000</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13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r>
      <w:tr>
        <w:tc>
          <w:tcPr>
            <w:tcW w:type="dxa" w:w="39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أخصائي تسويق رقمي ومحتوى</w:t>
            </w:r>
          </w:p>
        </w:tc>
        <w:tc>
          <w:tcPr>
            <w:tcW w:type="dxa" w:w="17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5,500</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13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r>
      <w:tr>
        <w:tc>
          <w:tcPr>
            <w:tcW w:type="dxa" w:w="39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فني جودة ومختبر</w:t>
            </w:r>
          </w:p>
        </w:tc>
        <w:tc>
          <w:tcPr>
            <w:tcW w:type="dxa" w:w="17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5,000</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w:t>
            </w:r>
          </w:p>
        </w:tc>
        <w:tc>
          <w:tcPr>
            <w:tcW w:type="dxa" w:w="13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w:t>
            </w:r>
          </w:p>
        </w:tc>
      </w:tr>
      <w:tr>
        <w:tc>
          <w:tcPr>
            <w:tcW w:type="dxa" w:w="39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فني صيانة</w:t>
            </w:r>
          </w:p>
        </w:tc>
        <w:tc>
          <w:tcPr>
            <w:tcW w:type="dxa" w:w="17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5,000</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13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r>
      <w:tr>
        <w:tc>
          <w:tcPr>
            <w:tcW w:type="dxa" w:w="39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مندوب مبيعات وحسابات مؤسسية</w:t>
            </w:r>
          </w:p>
        </w:tc>
        <w:tc>
          <w:tcPr>
            <w:tcW w:type="dxa" w:w="17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4,800</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w:t>
            </w:r>
          </w:p>
        </w:tc>
        <w:tc>
          <w:tcPr>
            <w:tcW w:type="dxa" w:w="13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w:t>
            </w:r>
          </w:p>
        </w:tc>
      </w:tr>
      <w:tr>
        <w:tc>
          <w:tcPr>
            <w:tcW w:type="dxa" w:w="39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فني تشغيل معدات وخطوط</w:t>
            </w:r>
          </w:p>
        </w:tc>
        <w:tc>
          <w:tcPr>
            <w:tcW w:type="dxa" w:w="17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4,500</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w:t>
            </w:r>
          </w:p>
        </w:tc>
        <w:tc>
          <w:tcPr>
            <w:tcW w:type="dxa" w:w="13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w:t>
            </w:r>
          </w:p>
        </w:tc>
      </w:tr>
      <w:tr>
        <w:tc>
          <w:tcPr>
            <w:tcW w:type="dxa" w:w="39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أمين مستودع ومراقبة مخزون</w:t>
            </w:r>
          </w:p>
        </w:tc>
        <w:tc>
          <w:tcPr>
            <w:tcW w:type="dxa" w:w="17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4,200</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13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w:t>
            </w:r>
          </w:p>
        </w:tc>
      </w:tr>
      <w:tr>
        <w:tc>
          <w:tcPr>
            <w:tcW w:type="dxa" w:w="39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سائق توصيل مبرّد</w:t>
            </w:r>
          </w:p>
        </w:tc>
        <w:tc>
          <w:tcPr>
            <w:tcW w:type="dxa" w:w="17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3,800</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w:t>
            </w:r>
          </w:p>
        </w:tc>
        <w:tc>
          <w:tcPr>
            <w:tcW w:type="dxa" w:w="13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w:t>
            </w:r>
          </w:p>
        </w:tc>
      </w:tr>
      <w:tr>
        <w:tc>
          <w:tcPr>
            <w:tcW w:type="dxa" w:w="39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مشرف أمن وسلامة ونظافة</w:t>
            </w:r>
          </w:p>
        </w:tc>
        <w:tc>
          <w:tcPr>
            <w:tcW w:type="dxa" w:w="17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2,800</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1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w:t>
            </w:r>
          </w:p>
        </w:tc>
        <w:tc>
          <w:tcPr>
            <w:tcW w:type="dxa" w:w="13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w:t>
            </w:r>
          </w:p>
        </w:tc>
      </w:tr>
      <w:tr>
        <w:tc>
          <w:tcPr>
            <w:tcW w:type="dxa" w:w="3916"/>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start"/>
            </w:pPr>
            <w:r>
              <w:rPr>
                <w:rFonts w:ascii="Arial" w:cs="Arial" w:hAnsi="Arial"/>
                <w:b/>
                <w:bCs/>
                <w:i w:val="false"/>
                <w:color w:val="111A15"/>
                <w:sz w:val="17"/>
                <w:szCs w:val="17"/>
                <w:rtl/>
              </w:rPr>
              <w:t xml:space="preserve">إجمالي عدد الوظائف</w:t>
            </w:r>
          </w:p>
        </w:tc>
        <w:tc>
          <w:tcPr>
            <w:tcW w:type="dxa" w:w="1784"/>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w:t>
            </w:r>
          </w:p>
        </w:tc>
        <w:tc>
          <w:tcPr>
            <w:tcW w:type="dxa" w:w="1389"/>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17</w:t>
            </w:r>
          </w:p>
        </w:tc>
        <w:tc>
          <w:tcPr>
            <w:tcW w:type="dxa" w:w="1389"/>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26</w:t>
            </w:r>
          </w:p>
        </w:tc>
        <w:tc>
          <w:tcPr>
            <w:tcW w:type="dxa" w:w="1388"/>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32</w:t>
            </w:r>
          </w:p>
        </w:tc>
      </w:tr>
      <w:tr>
        <w:tc>
          <w:tcPr>
            <w:tcW w:type="dxa" w:w="3916"/>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start"/>
            </w:pPr>
            <w:r>
              <w:rPr>
                <w:rFonts w:ascii="Arial" w:cs="Arial" w:hAnsi="Arial"/>
                <w:b/>
                <w:bCs/>
                <w:i w:val="false"/>
                <w:color w:val="111A15"/>
                <w:sz w:val="17"/>
                <w:szCs w:val="17"/>
                <w:rtl/>
              </w:rPr>
              <w:t xml:space="preserve">إجمالي الرواتب الشهرية (أساسي)</w:t>
            </w:r>
          </w:p>
        </w:tc>
        <w:tc>
          <w:tcPr>
            <w:tcW w:type="dxa" w:w="1784"/>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w:t>
            </w:r>
          </w:p>
        </w:tc>
        <w:tc>
          <w:tcPr>
            <w:tcW w:type="dxa" w:w="1389"/>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115,100</w:t>
            </w:r>
          </w:p>
        </w:tc>
        <w:tc>
          <w:tcPr>
            <w:tcW w:type="dxa" w:w="1389"/>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165,000</w:t>
            </w:r>
          </w:p>
        </w:tc>
        <w:tc>
          <w:tcPr>
            <w:tcW w:type="dxa" w:w="1388"/>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195,300</w:t>
            </w:r>
          </w:p>
        </w:tc>
      </w:tr>
      <w:tr>
        <w:tc>
          <w:tcPr>
            <w:tcW w:type="dxa" w:w="3916"/>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start"/>
            </w:pPr>
            <w:r>
              <w:rPr>
                <w:rFonts w:ascii="Arial" w:cs="Arial" w:hAnsi="Arial"/>
                <w:b/>
                <w:bCs/>
                <w:i w:val="false"/>
                <w:color w:val="111A15"/>
                <w:sz w:val="17"/>
                <w:szCs w:val="17"/>
                <w:rtl/>
              </w:rPr>
              <w:t xml:space="preserve">التكلفة السنوية شاملة المزايا (+18.5٪)</w:t>
            </w:r>
          </w:p>
        </w:tc>
        <w:tc>
          <w:tcPr>
            <w:tcW w:type="dxa" w:w="1784"/>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w:t>
            </w:r>
          </w:p>
        </w:tc>
        <w:tc>
          <w:tcPr>
            <w:tcW w:type="dxa" w:w="1389"/>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1,636,722</w:t>
            </w:r>
          </w:p>
        </w:tc>
        <w:tc>
          <w:tcPr>
            <w:tcW w:type="dxa" w:w="1389"/>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2,346,300</w:t>
            </w:r>
          </w:p>
        </w:tc>
        <w:tc>
          <w:tcPr>
            <w:tcW w:type="dxa" w:w="1388"/>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2,777,166</w:t>
            </w:r>
          </w:p>
        </w:tc>
      </w:tr>
    </w:tbl>
    <w:p>
      <w:pPr>
        <w:bidi/>
        <w:spacing w:after="140" w:before="0" w:line="300"/>
        <w:jc w:val="both"/>
      </w:pPr>
      <w:r>
        <w:rPr>
          <w:rFonts w:ascii="Arial" w:cs="Arial" w:hAnsi="Arial"/>
          <w:b w:val="false"/>
          <w:i w:val="false"/>
          <w:color w:val="48534C"/>
          <w:sz w:val="8"/>
          <w:szCs w:val="8"/>
          <w:rtl/>
        </w:rPr>
        <w:t xml:space="preserve"/>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c>
          <w:tcPr>
            <w:tcW w:type="dxa" w:w="9866"/>
            <w:tcBorders>
              <w:top w:val="single" w:color="DBE2DB" w:sz="4"/>
              <w:left w:val="single" w:color="DBE2DB" w:sz="4"/>
              <w:bottom w:val="single" w:color="DBE2DB" w:sz="4"/>
              <w:right w:val="single" w:color="0E5A49" w:sz="22"/>
            </w:tcBorders>
            <w:shd w:fill="FBFCFA" w:color="auto" w:val="clear"/>
            <w:tcMar>
              <w:top w:type="dxa" w:w="120"/>
              <w:left w:type="dxa" w:w="160"/>
              <w:bottom w:type="dxa" w:w="120"/>
              <w:right w:type="dxa" w:w="160"/>
            </w:tcMar>
          </w:tcPr>
          <w:p>
            <w:pPr>
              <w:bidi/>
              <w:spacing w:after="80" w:before="40" w:line="280"/>
              <w:jc w:val="start"/>
            </w:pPr>
            <w:r>
              <w:rPr>
                <w:rFonts w:ascii="Arial" w:cs="Arial" w:hAnsi="Arial"/>
                <w:b/>
                <w:bCs/>
                <w:i w:val="false"/>
                <w:color w:val="0E5A49"/>
                <w:sz w:val="19"/>
                <w:szCs w:val="19"/>
                <w:rtl/>
              </w:rPr>
              <w:t xml:space="preserve">ملاحظة جوهرية على هيكل العمالة</w:t>
            </w:r>
          </w:p>
          <w:p>
            <w:pPr>
              <w:bidi/>
              <w:spacing w:after="80" w:line="290"/>
              <w:jc w:val="both"/>
            </w:pPr>
            <w:r>
              <w:rPr>
                <w:rFonts w:ascii="Arial" w:cs="Arial" w:hAnsi="Arial"/>
                <w:b w:val="false"/>
                <w:i w:val="false"/>
                <w:color w:val="48534C"/>
                <w:sz w:val="18"/>
                <w:szCs w:val="18"/>
                <w:rtl/>
              </w:rPr>
              <w:t xml:space="preserve">الجدول أعلاه </w:t>
            </w:r>
            <w:r>
              <w:rPr>
                <w:rFonts w:ascii="Arial" w:cs="Arial" w:hAnsi="Arial"/>
                <w:b/>
                <w:bCs/>
                <w:i w:val="false"/>
                <w:color w:val="48534C"/>
                <w:sz w:val="18"/>
                <w:szCs w:val="18"/>
                <w:rtl/>
              </w:rPr>
              <w:t xml:space="preserve">لا يشمل عاملات الإنتاج من الأسر المنتجة</w:t>
            </w:r>
            <w:r>
              <w:rPr>
                <w:rFonts w:ascii="Arial" w:cs="Arial" w:hAnsi="Arial"/>
                <w:b w:val="false"/>
                <w:i w:val="false"/>
                <w:color w:val="48534C"/>
                <w:sz w:val="18"/>
                <w:szCs w:val="18"/>
                <w:rtl/>
              </w:rPr>
              <w:t xml:space="preserve">، وهذا مقصود: فهنّ لسن موظفات برواتب ثابتة بل </w:t>
            </w:r>
            <w:r>
              <w:rPr>
                <w:rFonts w:ascii="Arial" w:cs="Arial" w:hAnsi="Arial"/>
                <w:b/>
                <w:bCs/>
                <w:i w:val="false"/>
                <w:color w:val="48534C"/>
                <w:sz w:val="18"/>
                <w:szCs w:val="18"/>
                <w:rtl/>
              </w:rPr>
              <w:t xml:space="preserve">منتِجات يتقاضين أجر القطعة وحصة من المبيعات</w:t>
            </w:r>
            <w:r>
              <w:rPr>
                <w:rFonts w:ascii="Arial" w:cs="Arial" w:hAnsi="Arial"/>
                <w:b w:val="false"/>
                <w:i w:val="false"/>
                <w:color w:val="48534C"/>
                <w:sz w:val="18"/>
                <w:szCs w:val="18"/>
                <w:rtl/>
              </w:rPr>
              <w:t xml:space="preserve">، وتُقيَّد مستحقاتهنّ ضمن تكلفة المبيعات لا ضمن الرواتب. وهذا الاختيار الهيكلي هو ما يمنح المشروع مرونته المالية: حين ينخفض الإنتاج تنخفض معه أكبر بنود التكلفة تلقائيًا، فلا يتحوّل الركود إلى عجز نقدي. وهو في الوقت نفسه ما يجعل المشروع تمكينًا لا توظيفًا — إذ ترتبط مكافأة المستفيدة بإنتاجها لا بحضورها.</w:t>
            </w:r>
          </w:p>
        </w:tc>
      </w:tr>
    </w:tbl>
    <w:p>
      <w:pPr>
        <w:bidi/>
        <w:spacing w:after="16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الوصف الوظيفي للأدوار الحرجة</w:t>
      </w:r>
    </w:p>
    <w:p>
      <w:pPr>
        <w:keepNext/>
        <w:bidi/>
        <w:spacing w:after="60" w:before="160" w:line="300"/>
        <w:jc w:val="start"/>
      </w:pPr>
      <w:r>
        <w:rPr>
          <w:rFonts w:ascii="Arial" w:cs="Arial" w:hAnsi="Arial"/>
          <w:b/>
          <w:bCs/>
          <w:i w:val="false"/>
          <w:color w:val="8A6A12"/>
          <w:sz w:val="16"/>
          <w:szCs w:val="16"/>
          <w:rtl/>
        </w:rPr>
        <w:t xml:space="preserve">جدول 17 — متطلبات الأدوار الثلاثة الحاسمة لنجاح المشروع</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0"/>
        <w:gridCol w:w="3200"/>
        <w:gridCol w:w="3206"/>
        <w:gridCol w:w="1950"/>
      </w:tblGrid>
      <w:tr>
        <w:trPr>
          <w:tblHeader/>
        </w:trPr>
        <w:tc>
          <w:tcPr>
            <w:tcW w:type="dxa" w:w="1510"/>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الدور</w:t>
            </w:r>
          </w:p>
        </w:tc>
        <w:tc>
          <w:tcPr>
            <w:tcW w:type="dxa" w:w="3200"/>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المسؤوليات الجوهرية</w:t>
            </w:r>
          </w:p>
        </w:tc>
        <w:tc>
          <w:tcPr>
            <w:tcW w:type="dxa" w:w="320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المؤهل المطلوب</w:t>
            </w:r>
          </w:p>
        </w:tc>
        <w:tc>
          <w:tcPr>
            <w:tcW w:type="dxa" w:w="1950"/>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مؤشر الأداء الأساسي</w:t>
            </w:r>
          </w:p>
        </w:tc>
      </w:tr>
      <w:tr>
        <w:tc>
          <w:tcPr>
            <w:tcW w:type="dxa" w:w="151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مدير المركز</w:t>
            </w:r>
          </w:p>
        </w:tc>
        <w:tc>
          <w:tcPr>
            <w:tcW w:type="dxa" w:w="320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القيادة التنفيذية · تحقيق المستهدفات المالية والتنموية · العلاقات المؤسسية · إدارة المخاطر</w:t>
            </w:r>
          </w:p>
        </w:tc>
        <w:tc>
          <w:tcPr>
            <w:tcW w:type="dxa" w:w="32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خبرة 7 سنوات فأكثر في إدارة منشأة إنتاجية أو تجارية — </w:t>
            </w:r>
            <w:r>
              <w:rPr>
                <w:rFonts w:ascii="Arial" w:cs="Arial" w:hAnsi="Arial"/>
                <w:b/>
                <w:bCs/>
                <w:i w:val="false"/>
                <w:color w:val="48534C"/>
                <w:sz w:val="17"/>
                <w:szCs w:val="17"/>
                <w:rtl/>
              </w:rPr>
              <w:t xml:space="preserve">لا يُشترط</w:t>
            </w:r>
            <w:r>
              <w:rPr>
                <w:rFonts w:ascii="Arial" w:cs="Arial" w:hAnsi="Arial"/>
                <w:b w:val="false"/>
                <w:i w:val="false"/>
                <w:color w:val="48534C"/>
                <w:sz w:val="17"/>
                <w:szCs w:val="17"/>
                <w:rtl/>
              </w:rPr>
              <w:t xml:space="preserve"> خلفية في العمل غير الربحي، بل يُفضَّل خلافها</w:t>
            </w:r>
          </w:p>
        </w:tc>
        <w:tc>
          <w:tcPr>
            <w:tcW w:type="dxa" w:w="1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الاكتفاء التشغيلي الذاتي</w:t>
            </w:r>
          </w:p>
        </w:tc>
      </w:tr>
      <w:tr>
        <w:tc>
          <w:tcPr>
            <w:tcW w:type="dxa" w:w="151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مدير التشغيل والإنتاج</w:t>
            </w:r>
          </w:p>
        </w:tc>
        <w:tc>
          <w:tcPr>
            <w:tcW w:type="dxa" w:w="320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تخطيط الإنتاج · الإنتاجية والهدر · الصيانة · جدولة الورديات ومحطات الأسر</w:t>
            </w:r>
          </w:p>
        </w:tc>
        <w:tc>
          <w:tcPr>
            <w:tcW w:type="dxa" w:w="32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خبرة 5 سنوات في تشغيل مصانع أغذية · معرفة عملية بأنظمة سلامة الغذاء</w:t>
            </w:r>
          </w:p>
        </w:tc>
        <w:tc>
          <w:tcPr>
            <w:tcW w:type="dxa" w:w="1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استغلال الطاقة · نسبة الهدر</w:t>
            </w:r>
          </w:p>
        </w:tc>
      </w:tr>
      <w:tr>
        <w:tc>
          <w:tcPr>
            <w:tcW w:type="dxa" w:w="151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مسؤول الجودة وسلامة الغذاء</w:t>
            </w:r>
          </w:p>
        </w:tc>
        <w:tc>
          <w:tcPr>
            <w:tcW w:type="dxa" w:w="320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بناء وتشغيل نظام تحليل المخاطر ونقاط التحكم الحرجة · الاعتمادات · التفتيش الداخلي · بروتوكول الاستدعاء</w:t>
            </w:r>
          </w:p>
        </w:tc>
        <w:tc>
          <w:tcPr>
            <w:tcW w:type="dxa" w:w="32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شهادة معتمدة في سلامة الغذاء · خبرة 4 سنوات · </w:t>
            </w:r>
            <w:r>
              <w:rPr>
                <w:rFonts w:ascii="Arial" w:cs="Arial" w:hAnsi="Arial"/>
                <w:b/>
                <w:bCs/>
                <w:i w:val="false"/>
                <w:color w:val="48534C"/>
                <w:sz w:val="17"/>
                <w:szCs w:val="17"/>
                <w:rtl/>
              </w:rPr>
              <w:t xml:space="preserve">صلاحية إيقاف الإنتاج دون الرجوع للإدارة التنفيذية</w:t>
            </w:r>
          </w:p>
        </w:tc>
        <w:tc>
          <w:tcPr>
            <w:tcW w:type="dxa" w:w="1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صفر حالات عدم مطابقة حرجة</w:t>
            </w:r>
          </w:p>
        </w:tc>
      </w:tr>
    </w:tbl>
    <w:p>
      <w:pPr>
        <w:bidi/>
        <w:spacing w:after="14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سياسات الموارد البشرية</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الاستقطاب:</w:t>
      </w:r>
      <w:r>
        <w:rPr>
          <w:rFonts w:ascii="Arial" w:cs="Arial" w:hAnsi="Arial"/>
          <w:b w:val="false"/>
          <w:i w:val="false"/>
          <w:color w:val="48534C"/>
          <w:sz w:val="20"/>
          <w:szCs w:val="20"/>
          <w:rtl/>
        </w:rPr>
        <w:t xml:space="preserve"> أولوية التوظيف لخريجات البرنامج التدريبي في الوظائف الفنية والإشرافية، بما يجعل المركز مسار ترقٍّ لا مجرد مكان عمل.</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التوطين:</w:t>
      </w:r>
      <w:r>
        <w:rPr>
          <w:rFonts w:ascii="Arial" w:cs="Arial" w:hAnsi="Arial"/>
          <w:b w:val="false"/>
          <w:i w:val="false"/>
          <w:color w:val="48534C"/>
          <w:sz w:val="20"/>
          <w:szCs w:val="20"/>
          <w:rtl/>
        </w:rPr>
        <w:t xml:space="preserve"> استهداف نسبة توطين لا تقل عن 85٪ من إجمالي الوظائف.</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بيئة العمل:</w:t>
      </w:r>
      <w:r>
        <w:rPr>
          <w:rFonts w:ascii="Arial" w:cs="Arial" w:hAnsi="Arial"/>
          <w:b w:val="false"/>
          <w:i w:val="false"/>
          <w:color w:val="48534C"/>
          <w:sz w:val="20"/>
          <w:szCs w:val="20"/>
          <w:rtl/>
        </w:rPr>
        <w:t xml:space="preserve"> تصميم يراعي خصوصية بيئة عمل نسائية (مدخل ومرافق وصالة استراحة مستقلة) ومرونة في الورديات تتناسب مع الالتزامات الأسرية.</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التطوير:</w:t>
      </w:r>
      <w:r>
        <w:rPr>
          <w:rFonts w:ascii="Arial" w:cs="Arial" w:hAnsi="Arial"/>
          <w:b w:val="false"/>
          <w:i w:val="false"/>
          <w:color w:val="48534C"/>
          <w:sz w:val="20"/>
          <w:szCs w:val="20"/>
          <w:rtl/>
        </w:rPr>
        <w:t xml:space="preserve"> 70 ألف ريال سنويًا لتدريب الفريق، مع خطة تطوير فردية لكل موظف في الأدوار الإشرافية فأعلى.</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الحوافز:</w:t>
      </w:r>
      <w:r>
        <w:rPr>
          <w:rFonts w:ascii="Arial" w:cs="Arial" w:hAnsi="Arial"/>
          <w:b w:val="false"/>
          <w:i w:val="false"/>
          <w:color w:val="48534C"/>
          <w:sz w:val="20"/>
          <w:szCs w:val="20"/>
          <w:rtl/>
        </w:rPr>
        <w:t xml:space="preserve"> نظام مكافآت مرتبط بمؤشرات مركّبة تجمع الأداء المالي والأثر التنموي معًا — فلا تُصرف مكافأة على إيراد تحقّق بخفض عدد الأسر المستفيدة.</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حماية المستفيدات:</w:t>
      </w:r>
      <w:r>
        <w:rPr>
          <w:rFonts w:ascii="Arial" w:cs="Arial" w:hAnsi="Arial"/>
          <w:b w:val="false"/>
          <w:i w:val="false"/>
          <w:color w:val="48534C"/>
          <w:sz w:val="20"/>
          <w:szCs w:val="20"/>
          <w:rtl/>
        </w:rPr>
        <w:t xml:space="preserve"> سياسة معلنة لحماية المستفيدين وآلية تظلّم مستقلة ترفع مباشرة إلى لجنة الإشراف.</w:t>
      </w:r>
    </w:p>
    <w:p>
      <w:pPr>
        <w:bidi/>
        <w:spacing w:after="60" w:before="0" w:line="300"/>
        <w:jc w:val="both"/>
      </w:pPr>
      <w:r>
        <w:rPr>
          <w:rFonts w:ascii="Arial" w:cs="Arial" w:hAnsi="Arial"/>
          <w:b w:val="false"/>
          <w:i w:val="false"/>
          <w:color w:val="48534C"/>
          <w:sz w:val="6"/>
          <w:szCs w:val="6"/>
          <w:rtl/>
        </w:rPr>
        <w:t xml:space="preserve"/>
      </w:r>
    </w:p>
    <w:p>
      <w:pPr>
        <w:pStyle w:val="Heading1"/>
        <w:keepNext/>
        <w:pageBreakBefore/>
        <w:bidi/>
        <w:spacing w:after="60" w:before="0" w:line="300"/>
        <w:jc w:val="start"/>
        <w:outlineLvl w:val="0"/>
      </w:pPr>
      <w:r>
        <w:rPr>
          <w:rFonts w:ascii="Arial" w:cs="Arial" w:hAnsi="Arial"/>
          <w:b/>
          <w:bCs/>
          <w:i w:val="false"/>
          <w:color w:val="8A6A12"/>
          <w:sz w:val="30"/>
          <w:szCs w:val="30"/>
          <w:rtl/>
        </w:rPr>
        <w:t xml:space="preserve">11   </w:t>
      </w:r>
      <w:r>
        <w:rPr>
          <w:rFonts w:ascii="Arial" w:cs="Arial" w:hAnsi="Arial"/>
          <w:b/>
          <w:bCs/>
          <w:i w:val="false"/>
          <w:color w:val="0E5A49"/>
          <w:sz w:val="30"/>
          <w:szCs w:val="30"/>
          <w:rtl/>
        </w:rPr>
        <w:t xml:space="preserve">الدراسة الفنية والهندسية</w:t>
      </w:r>
    </w:p>
    <w:p>
      <w:pPr>
        <w:pBdr>
          <w:bottom w:val="single" w:color="DBE2DB" w:sz="6"/>
        </w:pBdr>
        <w:bidi/>
        <w:spacing w:after="260"/>
        <w:jc w:val="start"/>
      </w:pPr>
      <w:r>
        <w:rPr>
          <w:rFonts w:ascii="Arial" w:cs="Arial" w:hAnsi="Arial"/>
          <w:b w:val="false"/>
          <w:i w:val="false"/>
          <w:color w:val="77817A"/>
          <w:sz w:val="17"/>
          <w:szCs w:val="17"/>
          <w:rtl/>
        </w:rPr>
        <w:t xml:space="preserve">الموقع · البرنامج المساحي · المخططات والأبعاد · تدفق العمليات · المعدات · المرافق</w:t>
      </w:r>
    </w:p>
    <w:p>
      <w:pPr>
        <w:bidi/>
        <w:spacing w:after="140" w:before="0" w:line="300"/>
        <w:jc w:val="both"/>
      </w:pPr>
      <w:r>
        <w:rPr>
          <w:rFonts w:ascii="Arial" w:cs="Arial" w:hAnsi="Arial"/>
          <w:b w:val="false"/>
          <w:i w:val="false"/>
          <w:color w:val="111A15"/>
          <w:sz w:val="21"/>
          <w:szCs w:val="21"/>
          <w:rtl/>
        </w:rPr>
        <w:t xml:space="preserve">تُبنى الدراسة الفنية على مبدأ حاكم واحد في تصميم المنشآت الغذائية: </w:t>
      </w:r>
      <w:r>
        <w:rPr>
          <w:rFonts w:ascii="Arial" w:cs="Arial" w:hAnsi="Arial"/>
          <w:b/>
          <w:bCs/>
          <w:i w:val="false"/>
          <w:color w:val="111A15"/>
          <w:sz w:val="21"/>
          <w:szCs w:val="21"/>
          <w:rtl/>
        </w:rPr>
        <w:t xml:space="preserve">التدفق أحادي الاتجاه</w:t>
      </w:r>
      <w:r>
        <w:rPr>
          <w:rFonts w:ascii="Arial" w:cs="Arial" w:hAnsi="Arial"/>
          <w:b w:val="false"/>
          <w:i w:val="false"/>
          <w:color w:val="111A15"/>
          <w:sz w:val="21"/>
          <w:szCs w:val="21"/>
          <w:rtl/>
        </w:rPr>
        <w:t xml:space="preserve"> — أن تسير المادة من الاستلام إلى الشحن في مسار واحد لا يعود على نفسه ولا يتقاطع مع مسار مضاد. كل قرار تصميمي في هذا الفصل — موقع الأبواب، ترتيب الغرف، اتجاه الممر، موضع المدخل الصحي — مشتق من هذا المبدأ، لأن مخالفته تعني تلوثًا متقاطعًا لا يعالجه أي إجراء تشغيلي لاحق.</w:t>
      </w:r>
    </w:p>
    <w:p>
      <w:pPr>
        <w:pStyle w:val="Heading2"/>
        <w:keepNext/>
        <w:bidi/>
        <w:spacing w:after="120" w:before="300" w:line="300"/>
        <w:jc w:val="start"/>
        <w:outlineLvl w:val="1"/>
      </w:pPr>
      <w:r>
        <w:rPr>
          <w:rFonts w:ascii="Arial" w:cs="Arial" w:hAnsi="Arial"/>
          <w:b/>
          <w:bCs/>
          <w:i w:val="false"/>
          <w:color w:val="0E5A49"/>
          <w:sz w:val="24"/>
          <w:szCs w:val="24"/>
          <w:rtl/>
        </w:rPr>
        <w:t xml:space="preserve">معايير اختيار الموقع</w:t>
      </w:r>
    </w:p>
    <w:p>
      <w:pPr>
        <w:keepNext/>
        <w:bidi/>
        <w:spacing w:after="60" w:before="160" w:line="300"/>
        <w:jc w:val="start"/>
      </w:pPr>
      <w:r>
        <w:rPr>
          <w:rFonts w:ascii="Arial" w:cs="Arial" w:hAnsi="Arial"/>
          <w:b/>
          <w:bCs/>
          <w:i w:val="false"/>
          <w:color w:val="8A6A12"/>
          <w:sz w:val="16"/>
          <w:szCs w:val="16"/>
          <w:rtl/>
        </w:rPr>
        <w:t xml:space="preserve">جدول 18 — معايير المفاضلة بين مواقع المشروع ووزن كل معيار</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5"/>
        <w:gridCol w:w="948"/>
        <w:gridCol w:w="2999"/>
        <w:gridCol w:w="3544"/>
      </w:tblGrid>
      <w:tr>
        <w:trPr>
          <w:tblHeader/>
        </w:trPr>
        <w:tc>
          <w:tcPr>
            <w:tcW w:type="dxa" w:w="237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المعيار</w:t>
            </w:r>
          </w:p>
        </w:tc>
        <w:tc>
          <w:tcPr>
            <w:tcW w:type="dxa" w:w="948"/>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الوزن</w:t>
            </w:r>
          </w:p>
        </w:tc>
        <w:tc>
          <w:tcPr>
            <w:tcW w:type="dxa" w:w="299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الاشتراط</w:t>
            </w:r>
          </w:p>
        </w:tc>
        <w:tc>
          <w:tcPr>
            <w:tcW w:type="dxa" w:w="3544"/>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سبب الأهمية</w:t>
            </w:r>
          </w:p>
        </w:tc>
      </w:tr>
      <w:tr>
        <w:tc>
          <w:tcPr>
            <w:tcW w:type="dxa" w:w="237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الاشتراط النظامي للنشاط</w:t>
            </w:r>
          </w:p>
        </w:tc>
        <w:tc>
          <w:tcPr>
            <w:tcW w:type="dxa" w:w="94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25٪</w:t>
            </w:r>
          </w:p>
        </w:tc>
        <w:tc>
          <w:tcPr>
            <w:tcW w:type="dxa" w:w="29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نطاق يسمح بالتصنيع الغذائي الخفيف</w:t>
            </w:r>
          </w:p>
        </w:tc>
        <w:tc>
          <w:tcPr>
            <w:tcW w:type="dxa" w:w="354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شرط إقصائي — لا يعوَّض بأي ميزة أخرى</w:t>
            </w:r>
          </w:p>
        </w:tc>
      </w:tr>
      <w:tr>
        <w:tc>
          <w:tcPr>
            <w:tcW w:type="dxa" w:w="237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القرب من الفئة المستهدفة</w:t>
            </w:r>
          </w:p>
        </w:tc>
        <w:tc>
          <w:tcPr>
            <w:tcW w:type="dxa" w:w="94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20٪</w:t>
            </w:r>
          </w:p>
        </w:tc>
        <w:tc>
          <w:tcPr>
            <w:tcW w:type="dxa" w:w="29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ضمن 20 دقيقة من أحياء تركّز المستفيدات</w:t>
            </w:r>
          </w:p>
        </w:tc>
        <w:tc>
          <w:tcPr>
            <w:tcW w:type="dxa" w:w="354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تكلفة ووقت التنقل هما السبب الأول لتسرّب المستفيدات</w:t>
            </w:r>
          </w:p>
        </w:tc>
      </w:tr>
      <w:tr>
        <w:tc>
          <w:tcPr>
            <w:tcW w:type="dxa" w:w="237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جاهزية البنية التحتية</w:t>
            </w:r>
          </w:p>
        </w:tc>
        <w:tc>
          <w:tcPr>
            <w:tcW w:type="dxa" w:w="94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20٪</w:t>
            </w:r>
          </w:p>
        </w:tc>
        <w:tc>
          <w:tcPr>
            <w:tcW w:type="dxa" w:w="29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قدرة كهربائية ‏≥ 400 ك.ف.أ · صرف صحي · غاز</w:t>
            </w:r>
          </w:p>
        </w:tc>
        <w:tc>
          <w:tcPr>
            <w:tcW w:type="dxa" w:w="354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ترقية القدرة الكهربائية وحدها قد تكلّف 300 ألف ريال وتؤخر 4 أشهر</w:t>
            </w:r>
          </w:p>
        </w:tc>
      </w:tr>
      <w:tr>
        <w:tc>
          <w:tcPr>
            <w:tcW w:type="dxa" w:w="237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سهولة الوصول اللوجستي</w:t>
            </w:r>
          </w:p>
        </w:tc>
        <w:tc>
          <w:tcPr>
            <w:tcW w:type="dxa" w:w="94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15٪</w:t>
            </w:r>
          </w:p>
        </w:tc>
        <w:tc>
          <w:tcPr>
            <w:tcW w:type="dxa" w:w="29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طريق رئيسي · مناورة شاحنات · رصيف تحميل</w:t>
            </w:r>
          </w:p>
        </w:tc>
        <w:tc>
          <w:tcPr>
            <w:tcW w:type="dxa" w:w="354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يحدد كلفة التوزيع اليومية طوال عمر المشروع</w:t>
            </w:r>
          </w:p>
        </w:tc>
      </w:tr>
      <w:tr>
        <w:tc>
          <w:tcPr>
            <w:tcW w:type="dxa" w:w="237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المساحة والقابلية للتوسّع</w:t>
            </w:r>
          </w:p>
        </w:tc>
        <w:tc>
          <w:tcPr>
            <w:tcW w:type="dxa" w:w="94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w:t>
            </w:r>
          </w:p>
        </w:tc>
        <w:tc>
          <w:tcPr>
            <w:tcW w:type="dxa" w:w="29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 1,200 م² · ارتفاع صافٍ ‏≥ 4.5 م</w:t>
            </w:r>
          </w:p>
        </w:tc>
        <w:tc>
          <w:tcPr>
            <w:tcW w:type="dxa" w:w="354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الارتفاع شرط لتركيب مظلات الشفط وخطوط التهوية</w:t>
            </w:r>
          </w:p>
        </w:tc>
      </w:tr>
      <w:tr>
        <w:tc>
          <w:tcPr>
            <w:tcW w:type="dxa" w:w="237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التكلفة الإيجارية</w:t>
            </w:r>
          </w:p>
        </w:tc>
        <w:tc>
          <w:tcPr>
            <w:tcW w:type="dxa" w:w="94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w:t>
            </w:r>
          </w:p>
        </w:tc>
        <w:tc>
          <w:tcPr>
            <w:tcW w:type="dxa" w:w="29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ضمن نطاق 450 ر.س/م² سنويًا</w:t>
            </w:r>
          </w:p>
        </w:tc>
        <w:tc>
          <w:tcPr>
            <w:tcW w:type="dxa" w:w="354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وزن منخفض عمدًا — المقر مساهمة عينية من الجمعية بحق انتفاع</w:t>
            </w:r>
          </w:p>
        </w:tc>
      </w:tr>
    </w:tbl>
    <w:p>
      <w:pPr>
        <w:bidi/>
        <w:spacing w:after="14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البرنامج المساحي</w:t>
      </w:r>
    </w:p>
    <w:p>
      <w:pPr>
        <w:keepNext/>
        <w:bidi/>
        <w:spacing w:after="60" w:before="160" w:line="300"/>
        <w:jc w:val="start"/>
      </w:pPr>
      <w:r>
        <w:rPr>
          <w:rFonts w:ascii="Arial" w:cs="Arial" w:hAnsi="Arial"/>
          <w:b/>
          <w:bCs/>
          <w:i w:val="false"/>
          <w:color w:val="8A6A12"/>
          <w:sz w:val="16"/>
          <w:szCs w:val="16"/>
          <w:rtl/>
        </w:rPr>
        <w:t xml:space="preserve">جدول 19 — البرنامج المساحي التفصيلي (مطابق للمخطط في الشكل 12)</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5"/>
        <w:gridCol w:w="1896"/>
        <w:gridCol w:w="1269"/>
        <w:gridCol w:w="3906"/>
      </w:tblGrid>
      <w:tr>
        <w:trPr>
          <w:tblHeader/>
        </w:trPr>
        <w:tc>
          <w:tcPr>
            <w:tcW w:type="dxa" w:w="279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الفراغ</w:t>
            </w:r>
          </w:p>
        </w:tc>
        <w:tc>
          <w:tcPr>
            <w:tcW w:type="dxa" w:w="189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الأبعاد (م)</w:t>
            </w:r>
          </w:p>
        </w:tc>
        <w:tc>
          <w:tcPr>
            <w:tcW w:type="dxa" w:w="126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المساحة (م²)</w:t>
            </w:r>
          </w:p>
        </w:tc>
        <w:tc>
          <w:tcPr>
            <w:tcW w:type="dxa" w:w="390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الاشتراط الفني الحاكم</w:t>
            </w:r>
          </w:p>
        </w:tc>
      </w:tr>
      <w:tr>
        <w:tc>
          <w:tcPr>
            <w:tcW w:type="dxa" w:w="9866"/>
            <w:gridSpan w:val="4"/>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start"/>
            </w:pPr>
            <w:r>
              <w:rPr>
                <w:rFonts w:ascii="Arial" w:cs="Arial" w:hAnsi="Arial"/>
                <w:b w:val="false"/>
                <w:i w:val="false"/>
                <w:color w:val="111A15"/>
                <w:sz w:val="17"/>
                <w:szCs w:val="17"/>
                <w:rtl/>
              </w:rPr>
              <w:t xml:space="preserve">كتلة الاستلام والتخزين وسلسلة التبريد — 400 م²</w:t>
            </w:r>
          </w:p>
        </w:tc>
      </w:tr>
      <w:tr>
        <w:tc>
          <w:tcPr>
            <w:tcW w:type="dxa" w:w="279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استلام وفحص المواد الخام</w:t>
            </w:r>
          </w:p>
        </w:tc>
        <w:tc>
          <w:tcPr>
            <w:tcW w:type="dxa" w:w="18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16.0 × 3.5</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56.0</w:t>
            </w:r>
          </w:p>
        </w:tc>
        <w:tc>
          <w:tcPr>
            <w:tcW w:type="dxa" w:w="39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باب خارجي مستقل · منصة فحص · ميزان أرضي</w:t>
            </w:r>
          </w:p>
        </w:tc>
      </w:tr>
      <w:tr>
        <w:tc>
          <w:tcPr>
            <w:tcW w:type="dxa" w:w="279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مستودع المواد الجافة</w:t>
            </w:r>
          </w:p>
        </w:tc>
        <w:tc>
          <w:tcPr>
            <w:tcW w:type="dxa" w:w="18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16.0 × 4.5</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72.0</w:t>
            </w:r>
          </w:p>
        </w:tc>
        <w:tc>
          <w:tcPr>
            <w:tcW w:type="dxa" w:w="39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حرارة ‏≤ 25° · رطوبة ‏≤ 60٪ · رفوف على ارتفاع 15 سم</w:t>
            </w:r>
          </w:p>
        </w:tc>
      </w:tr>
      <w:tr>
        <w:tc>
          <w:tcPr>
            <w:tcW w:type="dxa" w:w="279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غرفة تبريد (0 – 4°)</w:t>
            </w:r>
          </w:p>
        </w:tc>
        <w:tc>
          <w:tcPr>
            <w:tcW w:type="dxa" w:w="18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8.0 × 5.25</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42.0</w:t>
            </w:r>
          </w:p>
        </w:tc>
        <w:tc>
          <w:tcPr>
            <w:tcW w:type="dxa" w:w="39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تسجيل حرارة مستمر · إنذار انحراف · باب أمان داخلي</w:t>
            </w:r>
          </w:p>
        </w:tc>
      </w:tr>
      <w:tr>
        <w:tc>
          <w:tcPr>
            <w:tcW w:type="dxa" w:w="279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غرفة تجميد (−18°)</w:t>
            </w:r>
          </w:p>
        </w:tc>
        <w:tc>
          <w:tcPr>
            <w:tcW w:type="dxa" w:w="18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8.0 × 5.25</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42.0</w:t>
            </w:r>
          </w:p>
        </w:tc>
        <w:tc>
          <w:tcPr>
            <w:tcW w:type="dxa" w:w="39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عزل 15 سم · مانع تجمّد للأرضية · إنذار انحراف</w:t>
            </w:r>
          </w:p>
        </w:tc>
      </w:tr>
      <w:tr>
        <w:tc>
          <w:tcPr>
            <w:tcW w:type="dxa" w:w="279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مستودع مواد التعبئة والتغليف</w:t>
            </w:r>
          </w:p>
        </w:tc>
        <w:tc>
          <w:tcPr>
            <w:tcW w:type="dxa" w:w="18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16.0 × 3.25</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52.0</w:t>
            </w:r>
          </w:p>
        </w:tc>
        <w:tc>
          <w:tcPr>
            <w:tcW w:type="dxa" w:w="39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فصل تام عن المواد الغذائية · مواد ملامسة معتمدة</w:t>
            </w:r>
          </w:p>
        </w:tc>
      </w:tr>
      <w:tr>
        <w:tc>
          <w:tcPr>
            <w:tcW w:type="dxa" w:w="279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منطقة المناولة وتجهيز الدفعات</w:t>
            </w:r>
          </w:p>
        </w:tc>
        <w:tc>
          <w:tcPr>
            <w:tcW w:type="dxa" w:w="18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16.0 × 8.5</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136.0</w:t>
            </w:r>
          </w:p>
        </w:tc>
        <w:tc>
          <w:tcPr>
            <w:tcW w:type="dxa" w:w="39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مساحة مناورة · محطة وزن وتجميع أوامر الإنتاج</w:t>
            </w:r>
          </w:p>
        </w:tc>
      </w:tr>
      <w:tr>
        <w:tc>
          <w:tcPr>
            <w:tcW w:type="dxa" w:w="9866"/>
            <w:gridSpan w:val="4"/>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start"/>
            </w:pPr>
            <w:r>
              <w:rPr>
                <w:rFonts w:ascii="Arial" w:cs="Arial" w:hAnsi="Arial"/>
                <w:b w:val="false"/>
                <w:i w:val="false"/>
                <w:color w:val="111A15"/>
                <w:sz w:val="17"/>
                <w:szCs w:val="17"/>
                <w:rtl/>
              </w:rPr>
              <w:t xml:space="preserve">كتلة الإنتاج — 525 م²</w:t>
            </w:r>
          </w:p>
        </w:tc>
      </w:tr>
      <w:tr>
        <w:tc>
          <w:tcPr>
            <w:tcW w:type="dxa" w:w="279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التحضير والتقطيع والغسيل</w:t>
            </w:r>
          </w:p>
        </w:tc>
        <w:tc>
          <w:tcPr>
            <w:tcW w:type="dxa" w:w="18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21.0 × 4.0</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84.0</w:t>
            </w:r>
          </w:p>
        </w:tc>
        <w:tc>
          <w:tcPr>
            <w:tcW w:type="dxa" w:w="39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منطقة «قذرة» · صرف أرضي مستمر · فصل عن الطهي</w:t>
            </w:r>
          </w:p>
        </w:tc>
      </w:tr>
      <w:tr>
        <w:tc>
          <w:tcPr>
            <w:tcW w:type="dxa" w:w="279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مطبخ الطهي والتجهيز</w:t>
            </w:r>
          </w:p>
        </w:tc>
        <w:tc>
          <w:tcPr>
            <w:tcW w:type="dxa" w:w="18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21.0 × 5.0</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105.0</w:t>
            </w:r>
          </w:p>
        </w:tc>
        <w:tc>
          <w:tcPr>
            <w:tcW w:type="dxa" w:w="39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مظلات شفط · إطفاء مظلات · أرضية غير قابلة للانزلاق</w:t>
            </w:r>
          </w:p>
        </w:tc>
      </w:tr>
      <w:tr>
        <w:tc>
          <w:tcPr>
            <w:tcW w:type="dxa" w:w="279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خط المخبوزات والأفران</w:t>
            </w:r>
          </w:p>
        </w:tc>
        <w:tc>
          <w:tcPr>
            <w:tcW w:type="dxa" w:w="18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21.0 × 4.5</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94.5</w:t>
            </w:r>
          </w:p>
        </w:tc>
        <w:tc>
          <w:tcPr>
            <w:tcW w:type="dxa" w:w="39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عزل حراري · تهوية معزّزة · مسافة أمان 1.2 م حول الأفران</w:t>
            </w:r>
          </w:p>
        </w:tc>
      </w:tr>
      <w:tr>
        <w:tc>
          <w:tcPr>
            <w:tcW w:type="dxa" w:w="279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خط التمور والمنتجات المحفوظة</w:t>
            </w:r>
          </w:p>
        </w:tc>
        <w:tc>
          <w:tcPr>
            <w:tcW w:type="dxa" w:w="18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21.0 × 3.5</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73.5</w:t>
            </w:r>
          </w:p>
        </w:tc>
        <w:tc>
          <w:tcPr>
            <w:tcW w:type="dxa" w:w="39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تحكم في الرطوبة · فصل عن مسببات الحساسية</w:t>
            </w:r>
          </w:p>
        </w:tc>
      </w:tr>
      <w:tr>
        <w:tc>
          <w:tcPr>
            <w:tcW w:type="dxa" w:w="279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محطات التصنيع بالتعاقد (10 محطات)</w:t>
            </w:r>
          </w:p>
        </w:tc>
        <w:tc>
          <w:tcPr>
            <w:tcW w:type="dxa" w:w="18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21.0 × 3.5</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73.5</w:t>
            </w:r>
          </w:p>
        </w:tc>
        <w:tc>
          <w:tcPr>
            <w:tcW w:type="dxa" w:w="39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محطة 7 م² لكل مستفيدة · عدّاد ساعات · إشراف فني دائم</w:t>
            </w:r>
          </w:p>
        </w:tc>
      </w:tr>
      <w:tr>
        <w:tc>
          <w:tcPr>
            <w:tcW w:type="dxa" w:w="279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التعبئة والتغليف والتوسيم</w:t>
            </w:r>
          </w:p>
        </w:tc>
        <w:tc>
          <w:tcPr>
            <w:tcW w:type="dxa" w:w="18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13.0 × 4.5</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58.5</w:t>
            </w:r>
          </w:p>
        </w:tc>
        <w:tc>
          <w:tcPr>
            <w:tcW w:type="dxa" w:w="39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منطقة «نظيفة» عالية · ضغط هواء موجب · كاشف معادن</w:t>
            </w:r>
          </w:p>
        </w:tc>
      </w:tr>
      <w:tr>
        <w:tc>
          <w:tcPr>
            <w:tcW w:type="dxa" w:w="279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التبريد السريع والتثبيت</w:t>
            </w:r>
          </w:p>
        </w:tc>
        <w:tc>
          <w:tcPr>
            <w:tcW w:type="dxa" w:w="18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8.0 × 4.5</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36.0</w:t>
            </w:r>
          </w:p>
        </w:tc>
        <w:tc>
          <w:tcPr>
            <w:tcW w:type="dxa" w:w="39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خفض من 65° إلى 10° خلال 90 دقيقة — نقطة تحكم حرجة</w:t>
            </w:r>
          </w:p>
        </w:tc>
      </w:tr>
      <w:tr>
        <w:tc>
          <w:tcPr>
            <w:tcW w:type="dxa" w:w="9866"/>
            <w:gridSpan w:val="4"/>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start"/>
            </w:pPr>
            <w:r>
              <w:rPr>
                <w:rFonts w:ascii="Arial" w:cs="Arial" w:hAnsi="Arial"/>
                <w:b w:val="false"/>
                <w:i w:val="false"/>
                <w:color w:val="111A15"/>
                <w:sz w:val="17"/>
                <w:szCs w:val="17"/>
                <w:rtl/>
              </w:rPr>
              <w:t xml:space="preserve">الكتلة الإدارية والتدريبية وبهو الشحن — 325 م²</w:t>
            </w:r>
          </w:p>
        </w:tc>
      </w:tr>
      <w:tr>
        <w:tc>
          <w:tcPr>
            <w:tcW w:type="dxa" w:w="279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مكاتب الإدارة</w:t>
            </w:r>
          </w:p>
        </w:tc>
        <w:tc>
          <w:tcPr>
            <w:tcW w:type="dxa" w:w="18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11.0 × 4.0</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44.0</w:t>
            </w:r>
          </w:p>
        </w:tc>
        <w:tc>
          <w:tcPr>
            <w:tcW w:type="dxa" w:w="39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مدخل مستقل لا يمر بمنطقة الإنتاج</w:t>
            </w:r>
          </w:p>
        </w:tc>
      </w:tr>
      <w:tr>
        <w:tc>
          <w:tcPr>
            <w:tcW w:type="dxa" w:w="279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مختبر مراقبة الجودة</w:t>
            </w:r>
          </w:p>
        </w:tc>
        <w:tc>
          <w:tcPr>
            <w:tcW w:type="dxa" w:w="18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11.0 × 2.0</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22.0</w:t>
            </w:r>
          </w:p>
        </w:tc>
        <w:tc>
          <w:tcPr>
            <w:tcW w:type="dxa" w:w="39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مجاور للإنتاج مع رؤية مباشرة · تهوية مستقلة</w:t>
            </w:r>
          </w:p>
        </w:tc>
      </w:tr>
      <w:tr>
        <w:tc>
          <w:tcPr>
            <w:tcW w:type="dxa" w:w="279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المدخل الصحي وغرف التغيير</w:t>
            </w:r>
          </w:p>
        </w:tc>
        <w:tc>
          <w:tcPr>
            <w:tcW w:type="dxa" w:w="18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11.0 × 2.4</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26.4</w:t>
            </w:r>
          </w:p>
        </w:tc>
        <w:tc>
          <w:tcPr>
            <w:tcW w:type="dxa" w:w="39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مسار إجباري: خلع ← غسل ← تعقيم ← ارتداء · لا مسار التفافي</w:t>
            </w:r>
          </w:p>
        </w:tc>
      </w:tr>
      <w:tr>
        <w:tc>
          <w:tcPr>
            <w:tcW w:type="dxa" w:w="279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دورات المياه والمرافق</w:t>
            </w:r>
          </w:p>
        </w:tc>
        <w:tc>
          <w:tcPr>
            <w:tcW w:type="dxa" w:w="18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11.0 × 1.6</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17.6</w:t>
            </w:r>
          </w:p>
        </w:tc>
        <w:tc>
          <w:tcPr>
            <w:tcW w:type="dxa" w:w="39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لا تفتح مباشرة على منطقة إنتاج · تهوية شفط</w:t>
            </w:r>
          </w:p>
        </w:tc>
      </w:tr>
      <w:tr>
        <w:tc>
          <w:tcPr>
            <w:tcW w:type="dxa" w:w="279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صالة استراحة العاملات</w:t>
            </w:r>
          </w:p>
        </w:tc>
        <w:tc>
          <w:tcPr>
            <w:tcW w:type="dxa" w:w="18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11.0 × 2.0</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22.0</w:t>
            </w:r>
          </w:p>
        </w:tc>
        <w:tc>
          <w:tcPr>
            <w:tcW w:type="dxa" w:w="39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فصل تام عن مناطق التداول · مغسلة مستقلة</w:t>
            </w:r>
          </w:p>
        </w:tc>
      </w:tr>
      <w:tr>
        <w:tc>
          <w:tcPr>
            <w:tcW w:type="dxa" w:w="279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غرفة المرافق واللوحات الكهربائية</w:t>
            </w:r>
          </w:p>
        </w:tc>
        <w:tc>
          <w:tcPr>
            <w:tcW w:type="dxa" w:w="18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11.0 × 1.2</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13.2</w:t>
            </w:r>
          </w:p>
        </w:tc>
        <w:tc>
          <w:tcPr>
            <w:tcW w:type="dxa" w:w="39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وصول مباشر من الخارج · مقاومة حريق 60 دقيقة</w:t>
            </w:r>
          </w:p>
        </w:tc>
      </w:tr>
      <w:tr>
        <w:tc>
          <w:tcPr>
            <w:tcW w:type="dxa" w:w="279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قاعة التدريب النظري</w:t>
            </w:r>
          </w:p>
        </w:tc>
        <w:tc>
          <w:tcPr>
            <w:tcW w:type="dxa" w:w="18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11.0 × 4.0</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44.0</w:t>
            </w:r>
          </w:p>
        </w:tc>
        <w:tc>
          <w:tcPr>
            <w:tcW w:type="dxa" w:w="39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سعة 25 متدربة · نافذة رؤية على خط الإنتاج</w:t>
            </w:r>
          </w:p>
        </w:tc>
      </w:tr>
      <w:tr>
        <w:tc>
          <w:tcPr>
            <w:tcW w:type="dxa" w:w="279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المطبخ التدريبي</w:t>
            </w:r>
          </w:p>
        </w:tc>
        <w:tc>
          <w:tcPr>
            <w:tcW w:type="dxa" w:w="18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11.0 × 4.3</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47.3</w:t>
            </w:r>
          </w:p>
        </w:tc>
        <w:tc>
          <w:tcPr>
            <w:tcW w:type="dxa" w:w="39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منفصل عن الإنتاج التجاري · 8 محطات تدريب</w:t>
            </w:r>
          </w:p>
        </w:tc>
      </w:tr>
      <w:tr>
        <w:tc>
          <w:tcPr>
            <w:tcW w:type="dxa" w:w="279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بهو المنتج النهائي والشحن</w:t>
            </w:r>
          </w:p>
        </w:tc>
        <w:tc>
          <w:tcPr>
            <w:tcW w:type="dxa" w:w="18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11.0 × 3.5</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38.5</w:t>
            </w:r>
          </w:p>
        </w:tc>
        <w:tc>
          <w:tcPr>
            <w:tcW w:type="dxa" w:w="39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باب شحن خارجي على الواجهة المقابلة للاستلام</w:t>
            </w:r>
          </w:p>
        </w:tc>
      </w:tr>
      <w:tr>
        <w:tc>
          <w:tcPr>
            <w:tcW w:type="dxa" w:w="279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الممر الرئيسي (طولي)</w:t>
            </w:r>
          </w:p>
        </w:tc>
        <w:tc>
          <w:tcPr>
            <w:tcW w:type="dxa" w:w="18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2.0 × 25.0</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50.0</w:t>
            </w:r>
          </w:p>
        </w:tc>
        <w:tc>
          <w:tcPr>
            <w:tcW w:type="dxa" w:w="39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عرض 2 م يسمح بمرور عربتَي نقل متعاكستين</w:t>
            </w:r>
          </w:p>
        </w:tc>
      </w:tr>
      <w:tr>
        <w:tc>
          <w:tcPr>
            <w:tcW w:type="dxa" w:w="2795"/>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start"/>
            </w:pPr>
            <w:r>
              <w:rPr>
                <w:rFonts w:ascii="Arial" w:cs="Arial" w:hAnsi="Arial"/>
                <w:b/>
                <w:bCs/>
                <w:i w:val="false"/>
                <w:color w:val="111A15"/>
                <w:sz w:val="17"/>
                <w:szCs w:val="17"/>
                <w:rtl/>
              </w:rPr>
              <w:t xml:space="preserve">إجمالي المساحة المبنية</w:t>
            </w:r>
          </w:p>
        </w:tc>
        <w:tc>
          <w:tcPr>
            <w:tcW w:type="dxa" w:w="1896"/>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50.0 × 25.0</w:t>
            </w:r>
          </w:p>
        </w:tc>
        <w:tc>
          <w:tcPr>
            <w:tcW w:type="dxa" w:w="1269"/>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1,250.0</w:t>
            </w:r>
          </w:p>
        </w:tc>
        <w:tc>
          <w:tcPr>
            <w:tcW w:type="dxa" w:w="3906"/>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start"/>
            </w:pPr>
            <w:r>
              <w:rPr>
                <w:rFonts w:ascii="Arial" w:cs="Arial" w:hAnsi="Arial"/>
                <w:b/>
                <w:bCs/>
                <w:i w:val="false"/>
                <w:color w:val="111A15"/>
                <w:sz w:val="17"/>
                <w:szCs w:val="17"/>
                <w:rtl/>
              </w:rPr>
              <w:t xml:space="preserve">ارتفاع صافٍ 4.5 م</w:t>
            </w:r>
          </w:p>
        </w:tc>
      </w:tr>
    </w:tbl>
    <w:p>
      <w:pPr>
        <w:bidi/>
        <w:spacing w:after="140" w:before="0" w:line="300"/>
        <w:jc w:val="both"/>
      </w:pPr>
      <w:r>
        <w:rPr>
          <w:rFonts w:ascii="Arial" w:cs="Arial" w:hAnsi="Arial"/>
          <w:b w:val="false"/>
          <w:i w:val="false"/>
          <w:color w:val="48534C"/>
          <w:sz w:val="8"/>
          <w:szCs w:val="8"/>
          <w:rtl/>
        </w:rPr>
        <w:t xml:space="preserve"/>
      </w:r>
    </w:p>
    <w:p>
      <w:pPr>
        <w:keepNext/>
        <w:bidi/>
        <w:spacing w:after="100" w:before="200" w:line="300"/>
        <w:jc w:val="start"/>
      </w:pPr>
      <w:r>
        <w:rPr>
          <w:rFonts w:ascii="Arial" w:cs="Arial" w:hAnsi="Arial"/>
          <w:b/>
          <w:bCs/>
          <w:i w:val="false"/>
          <w:color w:val="8A6A12"/>
          <w:sz w:val="16"/>
          <w:szCs w:val="16"/>
          <w:rtl/>
        </w:rPr>
        <w:t xml:space="preserve">شكل 12  </w:t>
      </w:r>
      <w:r>
        <w:rPr>
          <w:rFonts w:ascii="Arial" w:cs="Arial" w:hAnsi="Arial"/>
          <w:b/>
          <w:bCs/>
          <w:i w:val="false"/>
          <w:color w:val="111A15"/>
          <w:sz w:val="18"/>
          <w:szCs w:val="18"/>
          <w:rtl/>
        </w:rPr>
        <w:t xml:space="preserve">المخطط المعماري للمنشأة بالأبعاد ومسار تدفق المواد (مقياس 1:200)</w:t>
      </w:r>
    </w:p>
    <w:p>
      <w:pPr>
        <w:keepNext/>
        <w:bidi/>
        <w:spacing w:after="80"/>
        <w:jc w:val="center"/>
      </w:pPr>
      <w:r>
        <w:drawing>
          <wp:inline distT="0" distB="0" distL="0" distR="0">
            <wp:extent cx="6238875"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238875" cy="3790950"/>
                    </a:xfrm>
                    <a:prstGeom prst="rect">
                      <a:avLst/>
                    </a:prstGeom>
                  </pic:spPr>
                </pic:pic>
              </a:graphicData>
            </a:graphic>
          </wp:inline>
        </w:drawing>
      </w:r>
    </w:p>
    <w:p>
      <w:pPr>
        <w:bidi/>
        <w:spacing w:after="200" w:before="0" w:line="300"/>
        <w:jc w:val="both"/>
      </w:pPr>
      <w:r>
        <w:rPr>
          <w:rFonts w:ascii="Arial" w:cs="Arial" w:hAnsi="Arial"/>
          <w:b w:val="false"/>
          <w:i w:val="false"/>
          <w:color w:val="77817A"/>
          <w:sz w:val="16"/>
          <w:szCs w:val="16"/>
          <w:rtl/>
        </w:rPr>
        <w:t xml:space="preserve">المسار ثعباني ومغلق على نفسه مرة واحدة: يدخل الخام من الباب (1) وينزل عبر كتلة التخزين والتبريد، ثم يعبر إلى كتلة الإنتاج من أسفل فيصعد خطًا بعد خط حتى التعبئة في الأعلى، ثم يخرج من باب الشحن (2) على الواجهة المقابلة — فلا يلتقي مسار الخام بمسار الجاهز في أي نقطة. ومنطقة التعبئة «النظيفة» تقع في نهاية المسار مباشرة، ويُشغَّل فيها ضغط هواء موجب يمنع دخول الهواء من المناطق السابقة. ولاحظ أن مدخل العاملات (3) لا يفضي إلى الإنتاج إلا عبر المدخل الصحي الإجباري.</w:t>
      </w:r>
    </w:p>
    <w:p>
      <w:pPr>
        <w:pStyle w:val="Heading2"/>
        <w:keepNext/>
        <w:bidi/>
        <w:spacing w:after="120" w:before="300" w:line="300"/>
        <w:jc w:val="start"/>
        <w:outlineLvl w:val="1"/>
      </w:pPr>
      <w:r>
        <w:rPr>
          <w:rFonts w:ascii="Arial" w:cs="Arial" w:hAnsi="Arial"/>
          <w:b/>
          <w:bCs/>
          <w:i w:val="false"/>
          <w:color w:val="0E5A49"/>
          <w:sz w:val="24"/>
          <w:szCs w:val="24"/>
          <w:rtl/>
        </w:rPr>
        <w:t xml:space="preserve">تدفق العمليات الإنتاجية</w:t>
      </w:r>
    </w:p>
    <w:p>
      <w:pPr>
        <w:keepNext/>
        <w:bidi/>
        <w:spacing w:after="100" w:before="200" w:line="300"/>
        <w:jc w:val="start"/>
      </w:pPr>
      <w:r>
        <w:rPr>
          <w:rFonts w:ascii="Arial" w:cs="Arial" w:hAnsi="Arial"/>
          <w:b/>
          <w:bCs/>
          <w:i w:val="false"/>
          <w:color w:val="8A6A12"/>
          <w:sz w:val="16"/>
          <w:szCs w:val="16"/>
          <w:rtl/>
        </w:rPr>
        <w:t xml:space="preserve">شكل 13  </w:t>
      </w:r>
      <w:r>
        <w:rPr>
          <w:rFonts w:ascii="Arial" w:cs="Arial" w:hAnsi="Arial"/>
          <w:b/>
          <w:bCs/>
          <w:i w:val="false"/>
          <w:color w:val="111A15"/>
          <w:sz w:val="18"/>
          <w:szCs w:val="18"/>
          <w:rtl/>
        </w:rPr>
        <w:t xml:space="preserve">مخطط تدفق العمليات ونقاط ضبط الجودة</w:t>
      </w:r>
    </w:p>
    <w:p>
      <w:pPr>
        <w:keepNext/>
        <w:bidi/>
        <w:spacing w:after="80"/>
        <w:jc w:val="center"/>
      </w:pPr>
      <w:r>
        <w:drawing>
          <wp:inline distT="0" distB="0" distL="0" distR="0">
            <wp:extent cx="6238875"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238875" cy="2733675"/>
                    </a:xfrm>
                    <a:prstGeom prst="rect">
                      <a:avLst/>
                    </a:prstGeom>
                  </pic:spPr>
                </pic:pic>
              </a:graphicData>
            </a:graphic>
          </wp:inline>
        </w:drawing>
      </w:r>
    </w:p>
    <w:p>
      <w:pPr>
        <w:bidi/>
        <w:spacing w:after="200" w:before="0" w:line="300"/>
        <w:jc w:val="both"/>
      </w:pPr>
      <w:r>
        <w:rPr>
          <w:rFonts w:ascii="Arial" w:cs="Arial" w:hAnsi="Arial"/>
          <w:b w:val="false"/>
          <w:i w:val="false"/>
          <w:color w:val="77817A"/>
          <w:sz w:val="16"/>
          <w:szCs w:val="16"/>
          <w:rtl/>
        </w:rPr>
        <w:t xml:space="preserve">خمس نقاط تحكم حرجة تغطي المسار كاملًا. والسهم العائد ليس مسار إنتاج بل مسار احتجاز: الدفعة غير المطابقة تُعزل ولا تُعاد إلى الخط إلا بقرار موثّق من مسؤول الجودة.</w:t>
      </w:r>
    </w:p>
    <w:p>
      <w:pPr>
        <w:keepNext/>
        <w:bidi/>
        <w:spacing w:after="60" w:before="160" w:line="300"/>
        <w:jc w:val="start"/>
      </w:pPr>
      <w:r>
        <w:rPr>
          <w:rFonts w:ascii="Arial" w:cs="Arial" w:hAnsi="Arial"/>
          <w:b/>
          <w:bCs/>
          <w:i w:val="false"/>
          <w:color w:val="8A6A12"/>
          <w:sz w:val="16"/>
          <w:szCs w:val="16"/>
          <w:rtl/>
        </w:rPr>
        <w:t xml:space="preserve">جدول 20 — نقاط التحكم الحرجة وحدودها والإجراء التصحيحي</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2286"/>
        <w:gridCol w:w="2423"/>
        <w:gridCol w:w="2113"/>
        <w:gridCol w:w="2389"/>
      </w:tblGrid>
      <w:tr>
        <w:trPr>
          <w:tblHeader/>
        </w:trPr>
        <w:tc>
          <w:tcPr>
            <w:tcW w:type="dxa" w:w="65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الرمز</w:t>
            </w:r>
          </w:p>
        </w:tc>
        <w:tc>
          <w:tcPr>
            <w:tcW w:type="dxa" w:w="228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الخطر</w:t>
            </w:r>
          </w:p>
        </w:tc>
        <w:tc>
          <w:tcPr>
            <w:tcW w:type="dxa" w:w="2423"/>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الحد الحرج</w:t>
            </w:r>
          </w:p>
        </w:tc>
        <w:tc>
          <w:tcPr>
            <w:tcW w:type="dxa" w:w="2113"/>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المراقبة</w:t>
            </w:r>
          </w:p>
        </w:tc>
        <w:tc>
          <w:tcPr>
            <w:tcW w:type="dxa" w:w="238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الإجراء التصحيحي</w:t>
            </w:r>
          </w:p>
        </w:tc>
      </w:tr>
      <w:tr>
        <w:tc>
          <w:tcPr>
            <w:tcW w:type="dxa" w:w="65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ح1</w:t>
            </w:r>
          </w:p>
        </w:tc>
        <w:tc>
          <w:tcPr>
            <w:tcW w:type="dxa" w:w="228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استلام مواد خام ملوّثة أو منتهية أو مكسورة سلسلة التبريد</w:t>
            </w:r>
          </w:p>
        </w:tc>
        <w:tc>
          <w:tcPr>
            <w:tcW w:type="dxa" w:w="242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حرارة المبرّد ‏≤ 4° · المجمّد ‏≤ −18° · صلاحية متبقية ‏≥ 75٪</w:t>
            </w:r>
          </w:p>
        </w:tc>
        <w:tc>
          <w:tcPr>
            <w:tcW w:type="dxa" w:w="211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فحص كل شحنة · قياس حرارة · شهادة المورّد</w:t>
            </w:r>
          </w:p>
        </w:tc>
        <w:tc>
          <w:tcPr>
            <w:tcW w:type="dxa" w:w="2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رفض الشحنة وتوثيق عدم المطابقة لدى المورّد</w:t>
            </w:r>
          </w:p>
        </w:tc>
      </w:tr>
      <w:tr>
        <w:tc>
          <w:tcPr>
            <w:tcW w:type="dxa" w:w="65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ح2</w:t>
            </w:r>
          </w:p>
        </w:tc>
        <w:tc>
          <w:tcPr>
            <w:tcW w:type="dxa" w:w="228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نمو ميكروبي أثناء التخزين البارد</w:t>
            </w:r>
          </w:p>
        </w:tc>
        <w:tc>
          <w:tcPr>
            <w:tcW w:type="dxa" w:w="242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ثبات الحرارة ضمن النطاق · لا انحراف يتجاوز 30 دقيقة</w:t>
            </w:r>
          </w:p>
        </w:tc>
        <w:tc>
          <w:tcPr>
            <w:tcW w:type="dxa" w:w="211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تسجيل مستمر + إنذار صوتي عند الانحراف</w:t>
            </w:r>
          </w:p>
        </w:tc>
        <w:tc>
          <w:tcPr>
            <w:tcW w:type="dxa" w:w="2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تقييم الدفعة · نقل لغرفة بديلة · إتلاف عند تجاوز الحد</w:t>
            </w:r>
          </w:p>
        </w:tc>
      </w:tr>
      <w:tr>
        <w:tc>
          <w:tcPr>
            <w:tcW w:type="dxa" w:w="65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ح3</w:t>
            </w:r>
          </w:p>
        </w:tc>
        <w:tc>
          <w:tcPr>
            <w:tcW w:type="dxa" w:w="228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عدم اكتمال الطهي وبقاء ممرضات</w:t>
            </w:r>
          </w:p>
        </w:tc>
        <w:tc>
          <w:tcPr>
            <w:tcW w:type="dxa" w:w="242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حرارة مركز المنتج ‏≥ 75° لمدة ‏≥ 30 ثانية</w:t>
            </w:r>
          </w:p>
        </w:tc>
        <w:tc>
          <w:tcPr>
            <w:tcW w:type="dxa" w:w="211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مسبار حرارة معايَر لكل دفعة · تسجيل</w:t>
            </w:r>
          </w:p>
        </w:tc>
        <w:tc>
          <w:tcPr>
            <w:tcW w:type="dxa" w:w="2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إعادة الطهي حتى بلوغ الحد أو إتلاف الدفعة</w:t>
            </w:r>
          </w:p>
        </w:tc>
      </w:tr>
      <w:tr>
        <w:tc>
          <w:tcPr>
            <w:tcW w:type="dxa" w:w="65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ح4</w:t>
            </w:r>
          </w:p>
        </w:tc>
        <w:tc>
          <w:tcPr>
            <w:tcW w:type="dxa" w:w="228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تكاثر ميكروبي في نطاق الحرارة الخطر أثناء التبريد</w:t>
            </w:r>
          </w:p>
        </w:tc>
        <w:tc>
          <w:tcPr>
            <w:tcW w:type="dxa" w:w="242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من 65° إلى 10° خلال ‏≤ 90 دقيقة</w:t>
            </w:r>
          </w:p>
        </w:tc>
        <w:tc>
          <w:tcPr>
            <w:tcW w:type="dxa" w:w="211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تسجيل منحنى التبريد لكل دفعة</w:t>
            </w:r>
          </w:p>
        </w:tc>
        <w:tc>
          <w:tcPr>
            <w:tcW w:type="dxa" w:w="2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إتلاف الدفعة عند تجاوز الزمن — لا إعادة تبريد</w:t>
            </w:r>
          </w:p>
        </w:tc>
      </w:tr>
      <w:tr>
        <w:tc>
          <w:tcPr>
            <w:tcW w:type="dxa" w:w="65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ح5</w:t>
            </w:r>
          </w:p>
        </w:tc>
        <w:tc>
          <w:tcPr>
            <w:tcW w:type="dxa" w:w="228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أجسام غريبة معدنية أو أخطاء توسيم ومسببات حساسية</w:t>
            </w:r>
          </w:p>
        </w:tc>
        <w:tc>
          <w:tcPr>
            <w:tcW w:type="dxa" w:w="242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صفر إشارة من كاشف المعادن · مطابقة بيانات الملصق 100٪</w:t>
            </w:r>
          </w:p>
        </w:tc>
        <w:tc>
          <w:tcPr>
            <w:tcW w:type="dxa" w:w="211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كاشف معادن على الخط · تحقق مزدوج للملصق</w:t>
            </w:r>
          </w:p>
        </w:tc>
        <w:tc>
          <w:tcPr>
            <w:tcW w:type="dxa" w:w="23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عزل العبوة · إيقاف الخط · فحص الدفعة كاملة</w:t>
            </w:r>
          </w:p>
        </w:tc>
      </w:tr>
    </w:tbl>
    <w:p>
      <w:pPr>
        <w:bidi/>
        <w:spacing w:after="14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قائمة المعدات والمواصفات الفنية</w:t>
      </w:r>
    </w:p>
    <w:p>
      <w:pPr>
        <w:keepNext/>
        <w:bidi/>
        <w:spacing w:after="60" w:before="160" w:line="300"/>
        <w:jc w:val="start"/>
      </w:pPr>
      <w:r>
        <w:rPr>
          <w:rFonts w:ascii="Arial" w:cs="Arial" w:hAnsi="Arial"/>
          <w:b/>
          <w:bCs/>
          <w:i w:val="false"/>
          <w:color w:val="8A6A12"/>
          <w:sz w:val="16"/>
          <w:szCs w:val="16"/>
          <w:rtl/>
        </w:rPr>
        <w:t xml:space="preserve">جدول 21 — المعدات الرئيسية ومواصفاتها وتكلفتها (بالريال السعودي)</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1"/>
        <w:gridCol w:w="1156"/>
        <w:gridCol w:w="3821"/>
        <w:gridCol w:w="1708"/>
      </w:tblGrid>
      <w:tr>
        <w:trPr>
          <w:tblHeader/>
        </w:trPr>
        <w:tc>
          <w:tcPr>
            <w:tcW w:type="dxa" w:w="318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المعدة</w:t>
            </w:r>
          </w:p>
        </w:tc>
        <w:tc>
          <w:tcPr>
            <w:tcW w:type="dxa" w:w="115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العدد</w:t>
            </w:r>
          </w:p>
        </w:tc>
        <w:tc>
          <w:tcPr>
            <w:tcW w:type="dxa" w:w="382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المواصفة الفنية</w:t>
            </w:r>
          </w:p>
        </w:tc>
        <w:tc>
          <w:tcPr>
            <w:tcW w:type="dxa" w:w="1708"/>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التكلفة</w:t>
            </w:r>
          </w:p>
        </w:tc>
      </w:tr>
      <w:tr>
        <w:tc>
          <w:tcPr>
            <w:tcW w:type="dxa" w:w="9866"/>
            <w:gridSpan w:val="4"/>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start"/>
            </w:pPr>
            <w:r>
              <w:rPr>
                <w:rFonts w:ascii="Arial" w:cs="Arial" w:hAnsi="Arial"/>
                <w:b w:val="false"/>
                <w:i w:val="false"/>
                <w:color w:val="111A15"/>
                <w:sz w:val="17"/>
                <w:szCs w:val="17"/>
                <w:rtl/>
              </w:rPr>
              <w:t xml:space="preserve">معدات المطبخ والتصنيع — 1,850,000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فرن نفقي كهربائي</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طاقة 150 كجم/ساعة · تحكم رقمي بالحرارة والبخار · ستانلس 304</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420,000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خط تجهيز التمور (غسل · تجفيف · نزع نوى · حشو)</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طاقة 200 كجم/ساعة · متكامل بسير نقل</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285,000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قدور طهي بخارية</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سعة 150 لترًا · تسخين غير مباشر · خلاط مدمج</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240,000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مبرّد سريع (Blast chiller)</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60 كجم/دورة · خفض 65°←10° خلال 90 دقيقة · تسجيل منحنى</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165,000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عجّان حلزوني</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سعة 80 لترًا · سرعتان · وعاء متحرك</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135,000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مقالي مائلة</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سعة 80 لترًا · إمالة آلية · تحكم حراري دقيق</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130,000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طاولات تحضير</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18</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ستانلس 304 · 180 × 70 سم · رف سفلي</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126,000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خلاطات ومحضّرات صناعية</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سعة 40–60 لترًا · ملحقات متعددة</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108,000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فرّادة عجين آلية</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عرض 650 مم · سماكة قابلة للضبط</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95,000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آلة تقطيع خضار صناعية</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300 كجم/ساعة · أقراص تقطيع متعددة</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72,000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أرفف وعربات نقل ستانلس</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45</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ستانلس 304 · عجلات مانعة للانزلاق</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74,000</w:t>
            </w:r>
          </w:p>
        </w:tc>
      </w:tr>
      <w:tr>
        <w:tc>
          <w:tcPr>
            <w:tcW w:type="dxa" w:w="9866"/>
            <w:gridSpan w:val="4"/>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start"/>
            </w:pPr>
            <w:r>
              <w:rPr>
                <w:rFonts w:ascii="Arial" w:cs="Arial" w:hAnsi="Arial"/>
                <w:b w:val="false"/>
                <w:i w:val="false"/>
                <w:color w:val="111A15"/>
                <w:sz w:val="17"/>
                <w:szCs w:val="17"/>
                <w:rtl/>
              </w:rPr>
              <w:t xml:space="preserve">غرف التبريد والتجميد وسلسلة التبريد — 460,000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غرفة تجميد (−18°)</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42 م² · عزل 15 سم · مانع تجمّد أرضي · إنذار</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215,000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غرفة تبريد (0–4°)</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42 م² · عزل 10 سم · باب أمان داخلي</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175,000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منظومة مراقبة الحرارة والتسجيل والإنذار</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تسجيل مستمر · إنذار عن بُعد · أرشفة 24 شهرًا</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40,000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عربات وأرفف مقاومة للبرودة</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20</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مناسبة للتشغيل عند −18°</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30,000</w:t>
            </w:r>
          </w:p>
        </w:tc>
      </w:tr>
      <w:tr>
        <w:tc>
          <w:tcPr>
            <w:tcW w:type="dxa" w:w="9866"/>
            <w:gridSpan w:val="4"/>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start"/>
            </w:pPr>
            <w:r>
              <w:rPr>
                <w:rFonts w:ascii="Arial" w:cs="Arial" w:hAnsi="Arial"/>
                <w:b w:val="false"/>
                <w:i w:val="false"/>
                <w:color w:val="111A15"/>
                <w:sz w:val="17"/>
                <w:szCs w:val="17"/>
                <w:rtl/>
              </w:rPr>
              <w:t xml:space="preserve">خط التعبئة والتغليف — 390,000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آلة تعبئة وتغليف أوتوماتيكية</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60 عبوة/دقيقة · تغليف أفقي · تحكم بالطول</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165,000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ميزان تعبئة إلكتروني متعدد الرؤوس</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دقة ‏±1 جم · 10 رؤوس</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82,000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آلة لحام حراري وتفريغ هواء</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غرفة مزدوجة · تفريغ 99.8٪</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78,000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طابعة تاريخ وباركود وتوسيم</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طباعة نفث حبر · ربط بنظام التتبّع</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45,000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كاشف معادن على الخط</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حساسية 1.5 مم حديدي · رفض آلي</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20,000</w:t>
            </w:r>
          </w:p>
        </w:tc>
      </w:tr>
      <w:tr>
        <w:tc>
          <w:tcPr>
            <w:tcW w:type="dxa" w:w="9866"/>
            <w:gridSpan w:val="4"/>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start"/>
            </w:pPr>
            <w:r>
              <w:rPr>
                <w:rFonts w:ascii="Arial" w:cs="Arial" w:hAnsi="Arial"/>
                <w:b w:val="false"/>
                <w:i w:val="false"/>
                <w:color w:val="111A15"/>
                <w:sz w:val="17"/>
                <w:szCs w:val="17"/>
                <w:rtl/>
              </w:rPr>
              <w:t xml:space="preserve">مختبر مراقبة الجودة — 145,000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حاضنة ميكروبيولوجية وأدوات زراعة</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مدى 5–60° · تحكم رقمي</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42,000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جهاز قياس النشاط المائي</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دقة ‏±0.003 · معايرة ذاتية</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38,000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موازين تحليلية ومقاييس حموضة</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دقة 0.001 جم</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27,000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أثاث مختبر وخزانة كواشف</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مقاوم للكيماويات · شفط موضعي</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20,000</w:t>
            </w:r>
          </w:p>
        </w:tc>
      </w:tr>
      <w:tr>
        <w:tc>
          <w:tcPr>
            <w:tcW w:type="dxa" w:w="318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أجهزة قياس حرارة معايرة وتوثيق</w:t>
            </w:r>
          </w:p>
        </w:tc>
        <w:tc>
          <w:tcPr>
            <w:tcW w:type="dxa" w:w="115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w:t>
            </w:r>
          </w:p>
        </w:tc>
        <w:tc>
          <w:tcPr>
            <w:tcW w:type="dxa" w:w="38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مسبار مركزي · شهادة معايرة سنوية</w:t>
            </w:r>
          </w:p>
        </w:tc>
        <w:tc>
          <w:tcPr>
            <w:tcW w:type="dxa" w:w="17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18,000</w:t>
            </w:r>
          </w:p>
        </w:tc>
      </w:tr>
      <w:tr>
        <w:tc>
          <w:tcPr>
            <w:tcW w:type="dxa" w:w="8158"/>
            <w:gridSpan w:val="3"/>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start"/>
            </w:pPr>
            <w:r>
              <w:rPr>
                <w:rFonts w:ascii="Arial" w:cs="Arial" w:hAnsi="Arial"/>
                <w:b/>
                <w:bCs/>
                <w:i w:val="false"/>
                <w:color w:val="111A15"/>
                <w:sz w:val="17"/>
                <w:szCs w:val="17"/>
                <w:rtl/>
              </w:rPr>
              <w:t xml:space="preserve">إجمالي المعدات والتجهيزات الفنية</w:t>
            </w:r>
          </w:p>
        </w:tc>
        <w:tc>
          <w:tcPr>
            <w:tcW w:type="dxa" w:w="1708"/>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2,845,000</w:t>
            </w:r>
          </w:p>
        </w:tc>
      </w:tr>
    </w:tbl>
    <w:p>
      <w:pPr>
        <w:bidi/>
        <w:spacing w:after="14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متطلبات المرافق والبنية التحتية</w:t>
      </w:r>
    </w:p>
    <w:p>
      <w:pPr>
        <w:keepNext/>
        <w:bidi/>
        <w:spacing w:after="60" w:before="160" w:line="300"/>
        <w:jc w:val="start"/>
      </w:pPr>
      <w:r>
        <w:rPr>
          <w:rFonts w:ascii="Arial" w:cs="Arial" w:hAnsi="Arial"/>
          <w:b/>
          <w:bCs/>
          <w:i w:val="false"/>
          <w:color w:val="8A6A12"/>
          <w:sz w:val="16"/>
          <w:szCs w:val="16"/>
          <w:rtl/>
        </w:rPr>
        <w:t xml:space="preserve">جدول 22 — أحمال المرافق ومتطلباتها التصميمية</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0"/>
        <w:gridCol w:w="2560"/>
        <w:gridCol w:w="4626"/>
      </w:tblGrid>
      <w:tr>
        <w:trPr>
          <w:tblHeader/>
        </w:trPr>
        <w:tc>
          <w:tcPr>
            <w:tcW w:type="dxa" w:w="2680"/>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المرفق</w:t>
            </w:r>
          </w:p>
        </w:tc>
        <w:tc>
          <w:tcPr>
            <w:tcW w:type="dxa" w:w="2560"/>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الحمل التصميمي</w:t>
            </w:r>
          </w:p>
        </w:tc>
        <w:tc>
          <w:tcPr>
            <w:tcW w:type="dxa" w:w="462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المتطلب</w:t>
            </w:r>
          </w:p>
        </w:tc>
      </w:tr>
      <w:tr>
        <w:tc>
          <w:tcPr>
            <w:tcW w:type="dxa" w:w="26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الطاقة الكهربائية</w:t>
            </w:r>
          </w:p>
        </w:tc>
        <w:tc>
          <w:tcPr>
            <w:tcW w:type="dxa" w:w="25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380 ك.ف.أ</w:t>
            </w:r>
          </w:p>
        </w:tc>
        <w:tc>
          <w:tcPr>
            <w:tcW w:type="dxa" w:w="46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محول مستقل · لوحة رئيسية ولوحات فرعية لكل خط · تصحيح معامل القدرة</w:t>
            </w:r>
          </w:p>
        </w:tc>
      </w:tr>
      <w:tr>
        <w:tc>
          <w:tcPr>
            <w:tcW w:type="dxa" w:w="26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الطاقة الاحتياطية</w:t>
            </w:r>
          </w:p>
        </w:tc>
        <w:tc>
          <w:tcPr>
            <w:tcW w:type="dxa" w:w="25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250 ك.ف.أ</w:t>
            </w:r>
          </w:p>
        </w:tc>
        <w:tc>
          <w:tcPr>
            <w:tcW w:type="dxa" w:w="46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مولد آلي يغطي غرف التبريد والتجميد والإنارة الطارئة وأنظمة السلامة خلال ‏≤ 15 ثانية</w:t>
            </w:r>
          </w:p>
        </w:tc>
      </w:tr>
      <w:tr>
        <w:tc>
          <w:tcPr>
            <w:tcW w:type="dxa" w:w="26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المياه</w:t>
            </w:r>
          </w:p>
        </w:tc>
        <w:tc>
          <w:tcPr>
            <w:tcW w:type="dxa" w:w="25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28 م³/يوم</w:t>
            </w:r>
          </w:p>
        </w:tc>
        <w:tc>
          <w:tcPr>
            <w:tcW w:type="dxa" w:w="46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خزان أرضي 60 م³ · فلترة ومعالجة · تحليل دوري كل 3 أشهر</w:t>
            </w:r>
          </w:p>
        </w:tc>
      </w:tr>
      <w:tr>
        <w:tc>
          <w:tcPr>
            <w:tcW w:type="dxa" w:w="26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الغاز</w:t>
            </w:r>
          </w:p>
        </w:tc>
        <w:tc>
          <w:tcPr>
            <w:tcW w:type="dxa" w:w="25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 × 500 كجم</w:t>
            </w:r>
          </w:p>
        </w:tc>
        <w:tc>
          <w:tcPr>
            <w:tcW w:type="dxa" w:w="46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شبكة مركزية · كواشف تسرّب · صمام إغلاق طوارئ مرتبط بالإنذار</w:t>
            </w:r>
          </w:p>
        </w:tc>
      </w:tr>
      <w:tr>
        <w:tc>
          <w:tcPr>
            <w:tcW w:type="dxa" w:w="26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الصرف الصحي</w:t>
            </w:r>
          </w:p>
        </w:tc>
        <w:tc>
          <w:tcPr>
            <w:tcW w:type="dxa" w:w="25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24 م³/يوم</w:t>
            </w:r>
          </w:p>
        </w:tc>
        <w:tc>
          <w:tcPr>
            <w:tcW w:type="dxa" w:w="46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مصيدة شحوم ثلاثية المراحل سعة 5 م³ · شبكة منفصلة عن مياه الأمطار</w:t>
            </w:r>
          </w:p>
        </w:tc>
      </w:tr>
      <w:tr>
        <w:tc>
          <w:tcPr>
            <w:tcW w:type="dxa" w:w="26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التهوية والشفط</w:t>
            </w:r>
          </w:p>
        </w:tc>
        <w:tc>
          <w:tcPr>
            <w:tcW w:type="dxa" w:w="25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24,000 م³/ساعة</w:t>
            </w:r>
          </w:p>
        </w:tc>
        <w:tc>
          <w:tcPr>
            <w:tcW w:type="dxa" w:w="46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مظلات شفط فوق الطهي · تجديد هواء 12 مرة/ساعة · فلاتر شحوم قابلة للغسل</w:t>
            </w:r>
          </w:p>
        </w:tc>
      </w:tr>
      <w:tr>
        <w:tc>
          <w:tcPr>
            <w:tcW w:type="dxa" w:w="26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التكييف والتحكم الحراري</w:t>
            </w:r>
          </w:p>
        </w:tc>
        <w:tc>
          <w:tcPr>
            <w:tcW w:type="dxa" w:w="25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18 – 22°</w:t>
            </w:r>
          </w:p>
        </w:tc>
        <w:tc>
          <w:tcPr>
            <w:tcW w:type="dxa" w:w="46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مناطق الإنتاج والتعبئة · التخزين الجاف ‏≤ 25° · ضغط موجب في منطقة التعبئة</w:t>
            </w:r>
          </w:p>
        </w:tc>
      </w:tr>
      <w:tr>
        <w:tc>
          <w:tcPr>
            <w:tcW w:type="dxa" w:w="26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الهواء المضغوط</w:t>
            </w:r>
          </w:p>
        </w:tc>
        <w:tc>
          <w:tcPr>
            <w:tcW w:type="dxa" w:w="25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1.5 م³/دقيقة عند 8 بار</w:t>
            </w:r>
          </w:p>
        </w:tc>
        <w:tc>
          <w:tcPr>
            <w:tcW w:type="dxa" w:w="46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ضاغط بفلتر زيت لخط التعبئة والتوسيم</w:t>
            </w:r>
          </w:p>
        </w:tc>
      </w:tr>
      <w:tr>
        <w:tc>
          <w:tcPr>
            <w:tcW w:type="dxa" w:w="26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مكافحة الحريق</w:t>
            </w:r>
          </w:p>
        </w:tc>
        <w:tc>
          <w:tcPr>
            <w:tcW w:type="dxa" w:w="25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تغطية 100٪</w:t>
            </w:r>
          </w:p>
        </w:tc>
        <w:tc>
          <w:tcPr>
            <w:tcW w:type="dxa" w:w="46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رشاشات آلية · نظام إطفاء المظلات · طفايات موزّعة · إنذار معنون · مخارج طوارئ</w:t>
            </w:r>
          </w:p>
        </w:tc>
      </w:tr>
    </w:tbl>
    <w:p>
      <w:pPr>
        <w:bidi/>
        <w:spacing w:after="14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احتساب الطاقة الإنتاجية</w:t>
      </w:r>
    </w:p>
    <w:p>
      <w:pPr>
        <w:bidi/>
        <w:spacing w:after="140" w:before="0" w:line="300"/>
        <w:jc w:val="both"/>
      </w:pPr>
      <w:r>
        <w:rPr>
          <w:rFonts w:ascii="Arial" w:cs="Arial" w:hAnsi="Arial"/>
          <w:b w:val="false"/>
          <w:i w:val="false"/>
          <w:color w:val="48534C"/>
          <w:sz w:val="20"/>
          <w:szCs w:val="20"/>
          <w:rtl/>
        </w:rPr>
        <w:t xml:space="preserve">اشتُقّت الطاقة التصميمية من المعدات لا من التمنّي، وفق المعادلة: </w:t>
      </w:r>
      <w:r>
        <w:rPr>
          <w:rFonts w:ascii="Arial" w:cs="Arial" w:hAnsi="Arial"/>
          <w:b/>
          <w:bCs/>
          <w:i w:val="false"/>
          <w:color w:val="48534C"/>
          <w:sz w:val="20"/>
          <w:szCs w:val="20"/>
          <w:rtl/>
        </w:rPr>
        <w:t xml:space="preserve">الطاقة السنوية = الطاقة الساعية للمعدة × ساعات التشغيل اليومية الفعّالة × أيام التشغيل × معامل الكفاءة</w:t>
      </w:r>
      <w:r>
        <w:rPr>
          <w:rFonts w:ascii="Arial" w:cs="Arial" w:hAnsi="Arial"/>
          <w:b w:val="false"/>
          <w:i w:val="false"/>
          <w:color w:val="48534C"/>
          <w:sz w:val="20"/>
          <w:szCs w:val="20"/>
          <w:rtl/>
        </w:rPr>
        <w:t xml:space="preserve">. ومعامل الكفاءة المعتمد 0.75 يعكس أوقات التحضير والتنظيف والتحويل بين المنتجات:</w:t>
      </w:r>
    </w:p>
    <w:p>
      <w:pPr>
        <w:keepNext/>
        <w:bidi/>
        <w:spacing w:after="60" w:before="160" w:line="300"/>
        <w:jc w:val="start"/>
      </w:pPr>
      <w:r>
        <w:rPr>
          <w:rFonts w:ascii="Arial" w:cs="Arial" w:hAnsi="Arial"/>
          <w:b/>
          <w:bCs/>
          <w:i w:val="false"/>
          <w:color w:val="8A6A12"/>
          <w:sz w:val="16"/>
          <w:szCs w:val="16"/>
          <w:rtl/>
        </w:rPr>
        <w:t xml:space="preserve">جدول 23 — اشتقاق الطاقة الإنتاجية التصميمية لكل خط</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2"/>
        <w:gridCol w:w="1806"/>
        <w:gridCol w:w="1269"/>
        <w:gridCol w:w="1022"/>
        <w:gridCol w:w="1561"/>
        <w:gridCol w:w="1876"/>
      </w:tblGrid>
      <w:tr>
        <w:trPr>
          <w:tblHeader/>
        </w:trPr>
        <w:tc>
          <w:tcPr>
            <w:tcW w:type="dxa" w:w="2332"/>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الخط</w:t>
            </w:r>
          </w:p>
        </w:tc>
        <w:tc>
          <w:tcPr>
            <w:tcW w:type="dxa" w:w="180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الطاقة الساعية</w:t>
            </w:r>
          </w:p>
        </w:tc>
        <w:tc>
          <w:tcPr>
            <w:tcW w:type="dxa" w:w="126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ساعات فعّالة/يوم</w:t>
            </w:r>
          </w:p>
        </w:tc>
        <w:tc>
          <w:tcPr>
            <w:tcW w:type="dxa" w:w="1022"/>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أيام/سنة</w:t>
            </w:r>
          </w:p>
        </w:tc>
        <w:tc>
          <w:tcPr>
            <w:tcW w:type="dxa" w:w="156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الطاقة اليومية</w:t>
            </w:r>
          </w:p>
        </w:tc>
        <w:tc>
          <w:tcPr>
            <w:tcW w:type="dxa" w:w="187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الطاقة السنوية</w:t>
            </w:r>
          </w:p>
        </w:tc>
      </w:tr>
      <w:tr>
        <w:tc>
          <w:tcPr>
            <w:tcW w:type="dxa" w:w="233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المخبوزات والمعجنات</w:t>
            </w:r>
          </w:p>
        </w:tc>
        <w:tc>
          <w:tcPr>
            <w:tcW w:type="dxa" w:w="18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150 كجم</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3.73</w:t>
            </w:r>
          </w:p>
        </w:tc>
        <w:tc>
          <w:tcPr>
            <w:tcW w:type="dxa" w:w="102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300</w:t>
            </w:r>
          </w:p>
        </w:tc>
        <w:tc>
          <w:tcPr>
            <w:tcW w:type="dxa" w:w="156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420 كجم</w:t>
            </w:r>
          </w:p>
        </w:tc>
        <w:tc>
          <w:tcPr>
            <w:tcW w:type="dxa" w:w="187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126,000 كجم</w:t>
            </w:r>
          </w:p>
        </w:tc>
      </w:tr>
      <w:tr>
        <w:tc>
          <w:tcPr>
            <w:tcW w:type="dxa" w:w="233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التمور والمنتجات المحفوظة</w:t>
            </w:r>
          </w:p>
        </w:tc>
        <w:tc>
          <w:tcPr>
            <w:tcW w:type="dxa" w:w="18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200 كجم</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1.73</w:t>
            </w:r>
          </w:p>
        </w:tc>
        <w:tc>
          <w:tcPr>
            <w:tcW w:type="dxa" w:w="102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300</w:t>
            </w:r>
          </w:p>
        </w:tc>
        <w:tc>
          <w:tcPr>
            <w:tcW w:type="dxa" w:w="156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260 كجم</w:t>
            </w:r>
          </w:p>
        </w:tc>
        <w:tc>
          <w:tcPr>
            <w:tcW w:type="dxa" w:w="187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78,000 كجم</w:t>
            </w:r>
          </w:p>
        </w:tc>
      </w:tr>
      <w:tr>
        <w:tc>
          <w:tcPr>
            <w:tcW w:type="dxa" w:w="233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الوجبات الجاهزة والتموين</w:t>
            </w:r>
          </w:p>
        </w:tc>
        <w:tc>
          <w:tcPr>
            <w:tcW w:type="dxa" w:w="18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233 وجبة</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8.00</w:t>
            </w:r>
          </w:p>
        </w:tc>
        <w:tc>
          <w:tcPr>
            <w:tcW w:type="dxa" w:w="102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300</w:t>
            </w:r>
          </w:p>
        </w:tc>
        <w:tc>
          <w:tcPr>
            <w:tcW w:type="dxa" w:w="156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1,400 وجبة</w:t>
            </w:r>
          </w:p>
        </w:tc>
        <w:tc>
          <w:tcPr>
            <w:tcW w:type="dxa" w:w="187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420,000 وجبة</w:t>
            </w:r>
          </w:p>
        </w:tc>
      </w:tr>
      <w:tr>
        <w:tc>
          <w:tcPr>
            <w:tcW w:type="dxa" w:w="233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محطات التصنيع بالتعاقد</w:t>
            </w:r>
          </w:p>
        </w:tc>
        <w:tc>
          <w:tcPr>
            <w:tcW w:type="dxa" w:w="18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 محطات</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6.00</w:t>
            </w:r>
          </w:p>
        </w:tc>
        <w:tc>
          <w:tcPr>
            <w:tcW w:type="dxa" w:w="102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300</w:t>
            </w:r>
          </w:p>
        </w:tc>
        <w:tc>
          <w:tcPr>
            <w:tcW w:type="dxa" w:w="156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60 ساعة</w:t>
            </w:r>
          </w:p>
        </w:tc>
        <w:tc>
          <w:tcPr>
            <w:tcW w:type="dxa" w:w="187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18,000 ساعة</w:t>
            </w:r>
          </w:p>
        </w:tc>
      </w:tr>
      <w:tr>
        <w:tc>
          <w:tcPr>
            <w:tcW w:type="dxa" w:w="233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التعبئة والتغليف</w:t>
            </w:r>
          </w:p>
        </w:tc>
        <w:tc>
          <w:tcPr>
            <w:tcW w:type="dxa" w:w="18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60 عبوة/دقيقة</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0.44</w:t>
            </w:r>
          </w:p>
        </w:tc>
        <w:tc>
          <w:tcPr>
            <w:tcW w:type="dxa" w:w="102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300</w:t>
            </w:r>
          </w:p>
        </w:tc>
        <w:tc>
          <w:tcPr>
            <w:tcW w:type="dxa" w:w="156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1,600 عبوة</w:t>
            </w:r>
          </w:p>
        </w:tc>
        <w:tc>
          <w:tcPr>
            <w:tcW w:type="dxa" w:w="187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480,000 عبوة</w:t>
            </w:r>
          </w:p>
        </w:tc>
      </w:tr>
      <w:tr>
        <w:tc>
          <w:tcPr>
            <w:tcW w:type="dxa" w:w="233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التدريب المؤسسي</w:t>
            </w:r>
          </w:p>
        </w:tc>
        <w:tc>
          <w:tcPr>
            <w:tcW w:type="dxa" w:w="18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قاعة + مطبخ تدريبي</w:t>
            </w:r>
          </w:p>
        </w:tc>
        <w:tc>
          <w:tcPr>
            <w:tcW w:type="dxa" w:w="126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02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56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87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22 برنامجًا</w:t>
            </w:r>
          </w:p>
        </w:tc>
      </w:tr>
    </w:tbl>
    <w:p>
      <w:pPr>
        <w:bidi/>
        <w:spacing w:after="140" w:before="0" w:line="300"/>
        <w:jc w:val="both"/>
      </w:pPr>
      <w:r>
        <w:rPr>
          <w:rFonts w:ascii="Arial" w:cs="Arial" w:hAnsi="Arial"/>
          <w:b w:val="false"/>
          <w:i w:val="false"/>
          <w:color w:val="48534C"/>
          <w:sz w:val="8"/>
          <w:szCs w:val="8"/>
          <w:rtl/>
        </w:rPr>
        <w:t xml:space="preserve"/>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c>
          <w:tcPr>
            <w:tcW w:type="dxa" w:w="9866"/>
            <w:tcBorders>
              <w:top w:val="single" w:color="DBE2DB" w:sz="4"/>
              <w:left w:val="single" w:color="DBE2DB" w:sz="4"/>
              <w:bottom w:val="single" w:color="DBE2DB" w:sz="4"/>
              <w:right w:val="single" w:color="8A6A12" w:sz="22"/>
            </w:tcBorders>
            <w:shd w:fill="FBFCFA" w:color="auto" w:val="clear"/>
            <w:tcMar>
              <w:top w:type="dxa" w:w="120"/>
              <w:left w:type="dxa" w:w="160"/>
              <w:bottom w:type="dxa" w:w="120"/>
              <w:right w:type="dxa" w:w="160"/>
            </w:tcMar>
          </w:tcPr>
          <w:p>
            <w:pPr>
              <w:bidi/>
              <w:spacing w:after="80" w:before="40" w:line="280"/>
              <w:jc w:val="start"/>
            </w:pPr>
            <w:r>
              <w:rPr>
                <w:rFonts w:ascii="Arial" w:cs="Arial" w:hAnsi="Arial"/>
                <w:b/>
                <w:bCs/>
                <w:i w:val="false"/>
                <w:color w:val="8A6A12"/>
                <w:sz w:val="19"/>
                <w:szCs w:val="19"/>
                <w:rtl/>
              </w:rPr>
              <w:t xml:space="preserve">قيد فني يجب أن تعرفه الجهة المانحة</w:t>
            </w:r>
          </w:p>
          <w:p>
            <w:pPr>
              <w:bidi/>
              <w:spacing w:after="80" w:line="290"/>
              <w:jc w:val="both"/>
            </w:pPr>
            <w:r>
              <w:rPr>
                <w:rFonts w:ascii="Arial" w:cs="Arial" w:hAnsi="Arial"/>
                <w:b w:val="false"/>
                <w:i w:val="false"/>
                <w:color w:val="48534C"/>
                <w:sz w:val="18"/>
                <w:szCs w:val="18"/>
                <w:rtl/>
              </w:rPr>
              <w:t xml:space="preserve">الطاقة أعلاه ليست قابلة للتحقق في وقت واحد: خط المخبوزات وخط الوجبات يتشاركان في مطبخ الطهي وفي مظلات الشفط، ولذلك حُسبت الساعات الفعّالة لكل خط بحيث لا يتجاوز مجموعها الطاقة المشتركة للمرافق. وأي زيادة مستقبلية في خط واحد تستلزم إما وردية ثالثة أو استثمارًا إضافيًا في التهوية — وهو ما يفسّر سقف الإشغال البالغ 88٪ المفروض في النموذج المالي.</w:t>
            </w:r>
          </w:p>
        </w:tc>
      </w:tr>
    </w:tbl>
    <w:p>
      <w:pPr>
        <w:bidi/>
        <w:spacing w:after="16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الاشتراطات الصحية ومنظومة الجودة</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الأسطح والتشطيبات:</w:t>
      </w:r>
      <w:r>
        <w:rPr>
          <w:rFonts w:ascii="Arial" w:cs="Arial" w:hAnsi="Arial"/>
          <w:b w:val="false"/>
          <w:i w:val="false"/>
          <w:color w:val="48534C"/>
          <w:sz w:val="20"/>
          <w:szCs w:val="20"/>
          <w:rtl/>
        </w:rPr>
        <w:t xml:space="preserve"> أرضيات إيبوكسي غير منفذة بميل 1.5٪ نحو مصارف خطية، وزوايا مقعّرة بين الأرضية والجدار تمنع تراكم البقايا، وجدران قابلة للغسل حتى ارتفاع السقف.</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فصل المسارات:</w:t>
      </w:r>
      <w:r>
        <w:rPr>
          <w:rFonts w:ascii="Arial" w:cs="Arial" w:hAnsi="Arial"/>
          <w:b w:val="false"/>
          <w:i w:val="false"/>
          <w:color w:val="48534C"/>
          <w:sz w:val="20"/>
          <w:szCs w:val="20"/>
          <w:rtl/>
        </w:rPr>
        <w:t xml:space="preserve"> فصل تام بين مسار العاملات ومسار المواد ومسار النفايات، بثلاثة أبواب مستقلة.</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مكافحة الآفات:</w:t>
      </w:r>
      <w:r>
        <w:rPr>
          <w:rFonts w:ascii="Arial" w:cs="Arial" w:hAnsi="Arial"/>
          <w:b w:val="false"/>
          <w:i w:val="false"/>
          <w:color w:val="48534C"/>
          <w:sz w:val="20"/>
          <w:szCs w:val="20"/>
          <w:rtl/>
        </w:rPr>
        <w:t xml:space="preserve"> برنامج تعاقدي شهري · ستائر هوائية على الأبواب الخارجية · شبك على الفتحات · محطات مراقبة موثّقة.</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التتبّع:</w:t>
      </w:r>
      <w:r>
        <w:rPr>
          <w:rFonts w:ascii="Arial" w:cs="Arial" w:hAnsi="Arial"/>
          <w:b w:val="false"/>
          <w:i w:val="false"/>
          <w:color w:val="48534C"/>
          <w:sz w:val="20"/>
          <w:szCs w:val="20"/>
          <w:rtl/>
        </w:rPr>
        <w:t xml:space="preserve"> ترقيم دفعات لكل أمر إنتاج يربط المنتج النهائي بالمواد الخام وبالمستفيدة المنتِجة وبساعة الإنتاج — بما يتيح استدعاءً دقيقًا خلال ‏≤ 4 ساعات.</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الاعتمادات المستهدفة:</w:t>
      </w:r>
      <w:r>
        <w:rPr>
          <w:rFonts w:ascii="Arial" w:cs="Arial" w:hAnsi="Arial"/>
          <w:b w:val="false"/>
          <w:i w:val="false"/>
          <w:color w:val="48534C"/>
          <w:sz w:val="20"/>
          <w:szCs w:val="20"/>
          <w:rtl/>
        </w:rPr>
        <w:t xml:space="preserve"> رخصة تشغيل بلدية وصحية عند الشهر الخامس · تطبيق نظام تحليل المخاطر ونقاط التحكم الحرجة عند الشهر الثاني عشر · شهادة ISO 22000 خلال 18 شهرًا من بدء التشغيل.</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بروتوكول الاستدعاء:</w:t>
      </w:r>
      <w:r>
        <w:rPr>
          <w:rFonts w:ascii="Arial" w:cs="Arial" w:hAnsi="Arial"/>
          <w:b w:val="false"/>
          <w:i w:val="false"/>
          <w:color w:val="48534C"/>
          <w:sz w:val="20"/>
          <w:szCs w:val="20"/>
          <w:rtl/>
        </w:rPr>
        <w:t xml:space="preserve"> إجراء مكتوب ومُختبَر بتمرين محاكاة مرتين سنويًا، مع تأمين مسؤولية منتج ساري من اليوم الأول للتشغيل.</w:t>
      </w:r>
    </w:p>
    <w:p>
      <w:pPr>
        <w:bidi/>
        <w:spacing w:after="60" w:before="0" w:line="300"/>
        <w:jc w:val="both"/>
      </w:pPr>
      <w:r>
        <w:rPr>
          <w:rFonts w:ascii="Arial" w:cs="Arial" w:hAnsi="Arial"/>
          <w:b w:val="false"/>
          <w:i w:val="false"/>
          <w:color w:val="48534C"/>
          <w:sz w:val="6"/>
          <w:szCs w:val="6"/>
          <w:rtl/>
        </w:rPr>
        <w:t xml:space="preserve"/>
      </w:r>
    </w:p>
    <w:p>
      <w:pPr>
        <w:pStyle w:val="Heading1"/>
        <w:keepNext/>
        <w:pageBreakBefore/>
        <w:bidi/>
        <w:spacing w:after="60" w:before="0" w:line="300"/>
        <w:jc w:val="start"/>
        <w:outlineLvl w:val="0"/>
      </w:pPr>
      <w:r>
        <w:rPr>
          <w:rFonts w:ascii="Arial" w:cs="Arial" w:hAnsi="Arial"/>
          <w:b/>
          <w:bCs/>
          <w:i w:val="false"/>
          <w:color w:val="8A6A12"/>
          <w:sz w:val="30"/>
          <w:szCs w:val="30"/>
          <w:rtl/>
        </w:rPr>
        <w:t xml:space="preserve">12   </w:t>
      </w:r>
      <w:r>
        <w:rPr>
          <w:rFonts w:ascii="Arial" w:cs="Arial" w:hAnsi="Arial"/>
          <w:b/>
          <w:bCs/>
          <w:i w:val="false"/>
          <w:color w:val="0E5A49"/>
          <w:sz w:val="30"/>
          <w:szCs w:val="30"/>
          <w:rtl/>
        </w:rPr>
        <w:t xml:space="preserve">خطة التنفيذ والجدول الزمني</w:t>
      </w:r>
    </w:p>
    <w:p>
      <w:pPr>
        <w:pBdr>
          <w:bottom w:val="single" w:color="DBE2DB" w:sz="6"/>
        </w:pBdr>
        <w:bidi/>
        <w:spacing w:after="260"/>
        <w:jc w:val="start"/>
      </w:pPr>
      <w:r>
        <w:rPr>
          <w:rFonts w:ascii="Arial" w:cs="Arial" w:hAnsi="Arial"/>
          <w:b w:val="false"/>
          <w:i w:val="false"/>
          <w:color w:val="77817A"/>
          <w:sz w:val="17"/>
          <w:szCs w:val="17"/>
          <w:rtl/>
        </w:rPr>
        <w:t xml:space="preserve">ثمانية عشر شهرًا من الاعتماد إلى التقييم الأول</w:t>
      </w:r>
    </w:p>
    <w:p>
      <w:pPr>
        <w:keepNext/>
        <w:bidi/>
        <w:spacing w:after="100" w:before="200" w:line="300"/>
        <w:jc w:val="start"/>
      </w:pPr>
      <w:r>
        <w:rPr>
          <w:rFonts w:ascii="Arial" w:cs="Arial" w:hAnsi="Arial"/>
          <w:b/>
          <w:bCs/>
          <w:i w:val="false"/>
          <w:color w:val="8A6A12"/>
          <w:sz w:val="16"/>
          <w:szCs w:val="16"/>
          <w:rtl/>
        </w:rPr>
        <w:t xml:space="preserve">شكل 14  </w:t>
      </w:r>
      <w:r>
        <w:rPr>
          <w:rFonts w:ascii="Arial" w:cs="Arial" w:hAnsi="Arial"/>
          <w:b/>
          <w:bCs/>
          <w:i w:val="false"/>
          <w:color w:val="111A15"/>
          <w:sz w:val="18"/>
          <w:szCs w:val="18"/>
          <w:rtl/>
        </w:rPr>
        <w:t xml:space="preserve">الجدول الزمني للتنفيذ — عشرون نشاطًا على ستة محاور</w:t>
      </w:r>
    </w:p>
    <w:p>
      <w:pPr>
        <w:keepNext/>
        <w:bidi/>
        <w:spacing w:after="80"/>
        <w:jc w:val="center"/>
      </w:pPr>
      <w:r>
        <w:drawing>
          <wp:inline distT="0" distB="0" distL="0" distR="0">
            <wp:extent cx="6238875"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238875" cy="4924425"/>
                    </a:xfrm>
                    <a:prstGeom prst="rect">
                      <a:avLst/>
                    </a:prstGeom>
                  </pic:spPr>
                </pic:pic>
              </a:graphicData>
            </a:graphic>
          </wp:inline>
        </w:drawing>
      </w:r>
    </w:p>
    <w:p>
      <w:pPr>
        <w:bidi/>
        <w:spacing w:after="200" w:before="0" w:line="300"/>
        <w:jc w:val="both"/>
      </w:pPr>
      <w:r>
        <w:rPr>
          <w:rFonts w:ascii="Arial" w:cs="Arial" w:hAnsi="Arial"/>
          <w:b w:val="false"/>
          <w:i w:val="false"/>
          <w:color w:val="77817A"/>
          <w:sz w:val="16"/>
          <w:szCs w:val="16"/>
          <w:rtl/>
        </w:rPr>
        <w:t xml:space="preserve">المسار الحرج يمر عبر: التراخيص ← التشطيبات ← توريد المعدات ← اختبارات التشغيل ← الإطلاق. أي تأخير في التراخيص ينتقل بالكامل إلى تاريخ الإطلاق، ولذلك خُصص لها احتياطي زمني قدره ستة أسابيع وبُدئ العمل عليها في الشهر الثاني بالتوازي مع التصميم لا بعده.</w:t>
      </w:r>
    </w:p>
    <w:p>
      <w:pPr>
        <w:pStyle w:val="Heading2"/>
        <w:keepNext/>
        <w:bidi/>
        <w:spacing w:after="120" w:before="300" w:line="300"/>
        <w:jc w:val="start"/>
        <w:outlineLvl w:val="1"/>
      </w:pPr>
      <w:r>
        <w:rPr>
          <w:rFonts w:ascii="Arial" w:cs="Arial" w:hAnsi="Arial"/>
          <w:b/>
          <w:bCs/>
          <w:i w:val="false"/>
          <w:color w:val="0E5A49"/>
          <w:sz w:val="24"/>
          <w:szCs w:val="24"/>
          <w:rtl/>
        </w:rPr>
        <w:t xml:space="preserve">المعالم الرئيسية وشروط الانتقال</w:t>
      </w:r>
    </w:p>
    <w:p>
      <w:pPr>
        <w:keepNext/>
        <w:bidi/>
        <w:spacing w:after="60" w:before="160" w:line="300"/>
        <w:jc w:val="start"/>
      </w:pPr>
      <w:r>
        <w:rPr>
          <w:rFonts w:ascii="Arial" w:cs="Arial" w:hAnsi="Arial"/>
          <w:b/>
          <w:bCs/>
          <w:i w:val="false"/>
          <w:color w:val="8A6A12"/>
          <w:sz w:val="16"/>
          <w:szCs w:val="16"/>
          <w:rtl/>
        </w:rPr>
        <w:t xml:space="preserve">جدول 24 — معالم الإنجاز وشروط اجتيازها ودفعات الصرف المرتبطة بها</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14"/>
        <w:gridCol w:w="2641"/>
        <w:gridCol w:w="4397"/>
        <w:gridCol w:w="1714"/>
      </w:tblGrid>
      <w:tr>
        <w:trPr>
          <w:tblHeader/>
        </w:trPr>
        <w:tc>
          <w:tcPr>
            <w:tcW w:type="dxa" w:w="1114"/>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الشهر</w:t>
            </w:r>
          </w:p>
        </w:tc>
        <w:tc>
          <w:tcPr>
            <w:tcW w:type="dxa" w:w="264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المعلم</w:t>
            </w:r>
          </w:p>
        </w:tc>
        <w:tc>
          <w:tcPr>
            <w:tcW w:type="dxa" w:w="4397"/>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شرط الاجتياز القابل للتحقق</w:t>
            </w:r>
          </w:p>
        </w:tc>
        <w:tc>
          <w:tcPr>
            <w:tcW w:type="dxa" w:w="1714"/>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دفعة الصرف</w:t>
            </w:r>
          </w:p>
        </w:tc>
      </w:tr>
      <w:tr>
        <w:tc>
          <w:tcPr>
            <w:tcW w:type="dxa" w:w="11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2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الانطلاق الرسمي</w:t>
            </w:r>
          </w:p>
        </w:tc>
        <w:tc>
          <w:tcPr>
            <w:tcW w:type="dxa" w:w="43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اعتماد الدراسة · تشكيل لجنة الإشراف · توقيع اتفاقية المنحة · فتح حساب مخصص</w:t>
            </w:r>
          </w:p>
        </w:tc>
        <w:tc>
          <w:tcPr>
            <w:tcW w:type="dxa" w:w="17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1,500,000</w:t>
            </w:r>
          </w:p>
        </w:tc>
      </w:tr>
      <w:tr>
        <w:tc>
          <w:tcPr>
            <w:tcW w:type="dxa" w:w="11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w:t>
            </w:r>
          </w:p>
        </w:tc>
        <w:tc>
          <w:tcPr>
            <w:tcW w:type="dxa" w:w="2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اكتمال التراخيص والمقر</w:t>
            </w:r>
          </w:p>
        </w:tc>
        <w:tc>
          <w:tcPr>
            <w:tcW w:type="dxa" w:w="43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رخصة بلدية وصحية سارية · عقد المقر موثّق · المخططات التنفيذية معتمدة</w:t>
            </w:r>
          </w:p>
        </w:tc>
        <w:tc>
          <w:tcPr>
            <w:tcW w:type="dxa" w:w="17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r>
      <w:tr>
        <w:tc>
          <w:tcPr>
            <w:tcW w:type="dxa" w:w="11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w:t>
            </w:r>
          </w:p>
        </w:tc>
        <w:tc>
          <w:tcPr>
            <w:tcW w:type="dxa" w:w="2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جاهزية المبنى</w:t>
            </w:r>
          </w:p>
        </w:tc>
        <w:tc>
          <w:tcPr>
            <w:tcW w:type="dxa" w:w="43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اجتياز فحص التشطيبات والسلامة · تسليم الأرضيات والصرف والتهوية</w:t>
            </w:r>
          </w:p>
        </w:tc>
        <w:tc>
          <w:tcPr>
            <w:tcW w:type="dxa" w:w="17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1,750,000</w:t>
            </w:r>
          </w:p>
        </w:tc>
      </w:tr>
      <w:tr>
        <w:tc>
          <w:tcPr>
            <w:tcW w:type="dxa" w:w="11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w:t>
            </w:r>
          </w:p>
        </w:tc>
        <w:tc>
          <w:tcPr>
            <w:tcW w:type="dxa" w:w="2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جاهزية الخط الإنتاجي</w:t>
            </w:r>
          </w:p>
        </w:tc>
        <w:tc>
          <w:tcPr>
            <w:tcW w:type="dxa" w:w="43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تركيب المعدات · اجتياز اختبارات التشغيل والمعايرة · تشغيل نظام التتبّع</w:t>
            </w:r>
          </w:p>
        </w:tc>
        <w:tc>
          <w:tcPr>
            <w:tcW w:type="dxa" w:w="17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2,000,000</w:t>
            </w:r>
          </w:p>
        </w:tc>
      </w:tr>
      <w:tr>
        <w:tc>
          <w:tcPr>
            <w:tcW w:type="dxa" w:w="11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13</w:t>
            </w:r>
          </w:p>
        </w:tc>
        <w:tc>
          <w:tcPr>
            <w:tcW w:type="dxa" w:w="2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اكتمال التشغيل التجريبي</w:t>
            </w:r>
          </w:p>
        </w:tc>
        <w:tc>
          <w:tcPr>
            <w:tcW w:type="dxa" w:w="43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إنتاج 3 دفعات مطابقة · تخريج الدفعة التدريبية الأولى · 6 عقود مؤسسية موقّعة</w:t>
            </w:r>
          </w:p>
        </w:tc>
        <w:tc>
          <w:tcPr>
            <w:tcW w:type="dxa" w:w="17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r>
      <w:tr>
        <w:tc>
          <w:tcPr>
            <w:tcW w:type="dxa" w:w="11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14</w:t>
            </w:r>
          </w:p>
        </w:tc>
        <w:tc>
          <w:tcPr>
            <w:tcW w:type="dxa" w:w="2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الإطلاق الرسمي</w:t>
            </w:r>
          </w:p>
        </w:tc>
        <w:tc>
          <w:tcPr>
            <w:tcW w:type="dxa" w:w="43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بدء الإنتاج التجاري · تشغيل القنوات الأربع · فريق مكتمل</w:t>
            </w:r>
          </w:p>
        </w:tc>
        <w:tc>
          <w:tcPr>
            <w:tcW w:type="dxa" w:w="17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1,500,000</w:t>
            </w:r>
          </w:p>
        </w:tc>
      </w:tr>
      <w:tr>
        <w:tc>
          <w:tcPr>
            <w:tcW w:type="dxa" w:w="11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18</w:t>
            </w:r>
          </w:p>
        </w:tc>
        <w:tc>
          <w:tcPr>
            <w:tcW w:type="dxa" w:w="2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التقييم التكويني الأول</w:t>
            </w:r>
          </w:p>
        </w:tc>
        <w:tc>
          <w:tcPr>
            <w:tcW w:type="dxa" w:w="43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تقرير أثر معتمد · مقارنة الأداء بخط الأساس · خطة تصحيح</w:t>
            </w:r>
          </w:p>
        </w:tc>
        <w:tc>
          <w:tcPr>
            <w:tcW w:type="dxa" w:w="17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750,000</w:t>
            </w:r>
          </w:p>
        </w:tc>
      </w:tr>
      <w:tr>
        <w:tc>
          <w:tcPr>
            <w:tcW w:type="dxa" w:w="8152"/>
            <w:gridSpan w:val="3"/>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start"/>
            </w:pPr>
            <w:r>
              <w:rPr>
                <w:rFonts w:ascii="Arial" w:cs="Arial" w:hAnsi="Arial"/>
                <w:b/>
                <w:bCs/>
                <w:i w:val="false"/>
                <w:color w:val="111A15"/>
                <w:sz w:val="17"/>
                <w:szCs w:val="17"/>
                <w:rtl/>
              </w:rPr>
              <w:t xml:space="preserve">إجمالي الصرف المرتبط بالمعالم</w:t>
            </w:r>
          </w:p>
        </w:tc>
        <w:tc>
          <w:tcPr>
            <w:tcW w:type="dxa" w:w="1714"/>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7,500,000</w:t>
            </w:r>
          </w:p>
        </w:tc>
      </w:tr>
    </w:tbl>
    <w:p>
      <w:pPr>
        <w:bidi/>
        <w:spacing w:after="14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مصفوفة المسؤوليات</w:t>
      </w:r>
    </w:p>
    <w:p>
      <w:pPr>
        <w:keepNext/>
        <w:bidi/>
        <w:spacing w:after="60" w:before="160" w:line="300"/>
        <w:jc w:val="start"/>
      </w:pPr>
      <w:r>
        <w:rPr>
          <w:rFonts w:ascii="Arial" w:cs="Arial" w:hAnsi="Arial"/>
          <w:b/>
          <w:bCs/>
          <w:i w:val="false"/>
          <w:color w:val="8A6A12"/>
          <w:sz w:val="16"/>
          <w:szCs w:val="16"/>
          <w:rtl/>
        </w:rPr>
        <w:t xml:space="preserve">جدول 25 — توزيع المسؤوليات على المحاور التنفيذية (م = مسؤول · ن = منفّذ · ش = يُستشار · ع = يُعلَم)</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2"/>
        <w:gridCol w:w="1216"/>
        <w:gridCol w:w="1216"/>
        <w:gridCol w:w="1216"/>
        <w:gridCol w:w="1216"/>
        <w:gridCol w:w="1216"/>
        <w:gridCol w:w="1214"/>
      </w:tblGrid>
      <w:tr>
        <w:trPr>
          <w:tblHeader/>
        </w:trPr>
        <w:tc>
          <w:tcPr>
            <w:tcW w:type="dxa" w:w="2572"/>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المحور</w:t>
            </w:r>
          </w:p>
        </w:tc>
        <w:tc>
          <w:tcPr>
            <w:tcW w:type="dxa" w:w="121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مجلس الإدارة</w:t>
            </w:r>
          </w:p>
        </w:tc>
        <w:tc>
          <w:tcPr>
            <w:tcW w:type="dxa" w:w="121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لجنة الإشراف</w:t>
            </w:r>
          </w:p>
        </w:tc>
        <w:tc>
          <w:tcPr>
            <w:tcW w:type="dxa" w:w="121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مدير المركز</w:t>
            </w:r>
          </w:p>
        </w:tc>
        <w:tc>
          <w:tcPr>
            <w:tcW w:type="dxa" w:w="121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مدير التشغيل</w:t>
            </w:r>
          </w:p>
        </w:tc>
        <w:tc>
          <w:tcPr>
            <w:tcW w:type="dxa" w:w="121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مدير التسويق</w:t>
            </w:r>
          </w:p>
        </w:tc>
        <w:tc>
          <w:tcPr>
            <w:tcW w:type="dxa" w:w="1214"/>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الجهة المانحة</w:t>
            </w:r>
          </w:p>
        </w:tc>
      </w:tr>
      <w:tr>
        <w:tc>
          <w:tcPr>
            <w:tcW w:type="dxa" w:w="257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التأسيس والحوكمة</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ن</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ن</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ع</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ع</w:t>
            </w:r>
          </w:p>
        </w:tc>
        <w:tc>
          <w:tcPr>
            <w:tcW w:type="dxa" w:w="12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w:t>
            </w:r>
          </w:p>
        </w:tc>
      </w:tr>
      <w:tr>
        <w:tc>
          <w:tcPr>
            <w:tcW w:type="dxa" w:w="257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المقر والتراخيص</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ن</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ع</w:t>
            </w:r>
          </w:p>
        </w:tc>
        <w:tc>
          <w:tcPr>
            <w:tcW w:type="dxa" w:w="12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ع</w:t>
            </w:r>
          </w:p>
        </w:tc>
      </w:tr>
      <w:tr>
        <w:tc>
          <w:tcPr>
            <w:tcW w:type="dxa" w:w="257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التجهيز الفني</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ع</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ن</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ع</w:t>
            </w:r>
          </w:p>
        </w:tc>
        <w:tc>
          <w:tcPr>
            <w:tcW w:type="dxa" w:w="12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ع</w:t>
            </w:r>
          </w:p>
        </w:tc>
      </w:tr>
      <w:tr>
        <w:tc>
          <w:tcPr>
            <w:tcW w:type="dxa" w:w="257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التمكين والتشغيل</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ع</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ن</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w:t>
            </w:r>
          </w:p>
        </w:tc>
        <w:tc>
          <w:tcPr>
            <w:tcW w:type="dxa" w:w="12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ع</w:t>
            </w:r>
          </w:p>
        </w:tc>
      </w:tr>
      <w:tr>
        <w:tc>
          <w:tcPr>
            <w:tcW w:type="dxa" w:w="257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التسويق والسوق</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ع</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ع</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ن</w:t>
            </w:r>
          </w:p>
        </w:tc>
        <w:tc>
          <w:tcPr>
            <w:tcW w:type="dxa" w:w="12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ع</w:t>
            </w:r>
          </w:p>
        </w:tc>
      </w:tr>
      <w:tr>
        <w:tc>
          <w:tcPr>
            <w:tcW w:type="dxa" w:w="257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الرصد والتقييم</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ع</w:t>
            </w:r>
          </w:p>
        </w:tc>
        <w:tc>
          <w:tcPr>
            <w:tcW w:type="dxa" w:w="121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ع</w:t>
            </w:r>
          </w:p>
        </w:tc>
        <w:tc>
          <w:tcPr>
            <w:tcW w:type="dxa" w:w="121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ن</w:t>
            </w:r>
          </w:p>
        </w:tc>
      </w:tr>
    </w:tbl>
    <w:p>
      <w:pPr>
        <w:bidi/>
        <w:spacing w:after="140" w:before="0" w:line="300"/>
        <w:jc w:val="both"/>
      </w:pPr>
      <w:r>
        <w:rPr>
          <w:rFonts w:ascii="Arial" w:cs="Arial" w:hAnsi="Arial"/>
          <w:b w:val="false"/>
          <w:i w:val="false"/>
          <w:color w:val="48534C"/>
          <w:sz w:val="8"/>
          <w:szCs w:val="8"/>
          <w:rtl/>
        </w:rPr>
        <w:t xml:space="preserve"/>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c>
          <w:tcPr>
            <w:tcW w:type="dxa" w:w="9866"/>
            <w:tcBorders>
              <w:top w:val="single" w:color="DBE2DB" w:sz="4"/>
              <w:left w:val="single" w:color="DBE2DB" w:sz="4"/>
              <w:bottom w:val="single" w:color="DBE2DB" w:sz="4"/>
              <w:right w:val="single" w:color="A52626" w:sz="22"/>
            </w:tcBorders>
            <w:shd w:fill="FBFCFA" w:color="auto" w:val="clear"/>
            <w:tcMar>
              <w:top w:type="dxa" w:w="120"/>
              <w:left w:type="dxa" w:w="160"/>
              <w:bottom w:type="dxa" w:w="120"/>
              <w:right w:type="dxa" w:w="160"/>
            </w:tcMar>
          </w:tcPr>
          <w:p>
            <w:pPr>
              <w:bidi/>
              <w:spacing w:after="80" w:before="40" w:line="280"/>
              <w:jc w:val="start"/>
            </w:pPr>
            <w:r>
              <w:rPr>
                <w:rFonts w:ascii="Arial" w:cs="Arial" w:hAnsi="Arial"/>
                <w:b/>
                <w:bCs/>
                <w:i w:val="false"/>
                <w:color w:val="A52626"/>
                <w:sz w:val="19"/>
                <w:szCs w:val="19"/>
                <w:rtl/>
              </w:rPr>
              <w:t xml:space="preserve">المسار الحرج — أين يُفقد الوقت فعليًا</w:t>
            </w:r>
          </w:p>
          <w:p>
            <w:pPr>
              <w:bidi/>
              <w:spacing w:after="80" w:line="290"/>
              <w:jc w:val="both"/>
            </w:pPr>
            <w:r>
              <w:rPr>
                <w:rFonts w:ascii="Arial" w:cs="Arial" w:hAnsi="Arial"/>
                <w:b w:val="false"/>
                <w:i w:val="false"/>
                <w:color w:val="48534C"/>
                <w:sz w:val="18"/>
                <w:szCs w:val="18"/>
                <w:rtl/>
              </w:rPr>
              <w:t xml:space="preserve">تُظهر خبرة المشاريع المماثلة أن التأخير لا يقع عادةً في التنفيذ بل في نقطتَين إداريتَين: </w:t>
            </w:r>
            <w:r>
              <w:rPr>
                <w:rFonts w:ascii="Arial" w:cs="Arial" w:hAnsi="Arial"/>
                <w:b/>
                <w:bCs/>
                <w:i w:val="false"/>
                <w:color w:val="48534C"/>
                <w:sz w:val="18"/>
                <w:szCs w:val="18"/>
                <w:rtl/>
              </w:rPr>
              <w:t xml:space="preserve">الأولى</w:t>
            </w:r>
            <w:r>
              <w:rPr>
                <w:rFonts w:ascii="Arial" w:cs="Arial" w:hAnsi="Arial"/>
                <w:b w:val="false"/>
                <w:i w:val="false"/>
                <w:color w:val="48534C"/>
                <w:sz w:val="18"/>
                <w:szCs w:val="18"/>
                <w:rtl/>
              </w:rPr>
              <w:t xml:space="preserve"> هي الفجوة بين اعتماد المنحة وتوقيع عقد المقر، إذ تنتظر الجمعية اكتمال التمويل قبل التعاقد فتضيع أشهر؛ والعلاج أن يُوقَّع عقد المقر مشروطًا بنفاذ المنحة. </w:t>
            </w:r>
            <w:r>
              <w:rPr>
                <w:rFonts w:ascii="Arial" w:cs="Arial" w:hAnsi="Arial"/>
                <w:b/>
                <w:bCs/>
                <w:i w:val="false"/>
                <w:color w:val="48534C"/>
                <w:sz w:val="18"/>
                <w:szCs w:val="18"/>
                <w:rtl/>
              </w:rPr>
              <w:t xml:space="preserve">والثانية</w:t>
            </w:r>
            <w:r>
              <w:rPr>
                <w:rFonts w:ascii="Arial" w:cs="Arial" w:hAnsi="Arial"/>
                <w:b w:val="false"/>
                <w:i w:val="false"/>
                <w:color w:val="48534C"/>
                <w:sz w:val="18"/>
                <w:szCs w:val="18"/>
                <w:rtl/>
              </w:rPr>
              <w:t xml:space="preserve"> هي تسلسل «صمّم ثم رخّص ثم نفّذ»؛ والعلاج أن يبدأ مسار الترخيص بالتوازي مع التصميم وأن تُعرض المخططات على الجهة المختصة قبل اعتمادها النهائي لا بعده. وقد بُني الجدول الزمني أعلاه على هذين التصحيحين، وبدونهما يمتد التنفيذ إلى 20 شهرًا بدل 14.</w:t>
            </w:r>
          </w:p>
        </w:tc>
      </w:tr>
    </w:tbl>
    <w:p>
      <w:pPr>
        <w:bidi/>
        <w:spacing w:after="160" w:before="0" w:line="300"/>
        <w:jc w:val="both"/>
      </w:pPr>
      <w:r>
        <w:rPr>
          <w:rFonts w:ascii="Arial" w:cs="Arial" w:hAnsi="Arial"/>
          <w:b w:val="false"/>
          <w:i w:val="false"/>
          <w:color w:val="48534C"/>
          <w:sz w:val="8"/>
          <w:szCs w:val="8"/>
          <w:rtl/>
        </w:rPr>
        <w:t xml:space="preserve"/>
      </w:r>
    </w:p>
    <w:p>
      <w:pPr>
        <w:pStyle w:val="Heading1"/>
        <w:keepNext/>
        <w:pageBreakBefore/>
        <w:bidi/>
        <w:spacing w:after="60" w:before="0" w:line="300"/>
        <w:jc w:val="start"/>
        <w:outlineLvl w:val="0"/>
      </w:pPr>
      <w:r>
        <w:rPr>
          <w:rFonts w:ascii="Arial" w:cs="Arial" w:hAnsi="Arial"/>
          <w:b/>
          <w:bCs/>
          <w:i w:val="false"/>
          <w:color w:val="8A6A12"/>
          <w:sz w:val="30"/>
          <w:szCs w:val="30"/>
          <w:rtl/>
        </w:rPr>
        <w:t xml:space="preserve">13   </w:t>
      </w:r>
      <w:r>
        <w:rPr>
          <w:rFonts w:ascii="Arial" w:cs="Arial" w:hAnsi="Arial"/>
          <w:b/>
          <w:bCs/>
          <w:i w:val="false"/>
          <w:color w:val="0E5A49"/>
          <w:sz w:val="30"/>
          <w:szCs w:val="30"/>
          <w:rtl/>
        </w:rPr>
        <w:t xml:space="preserve">الدراسة المالية</w:t>
      </w:r>
    </w:p>
    <w:p>
      <w:pPr>
        <w:pBdr>
          <w:bottom w:val="single" w:color="DBE2DB" w:sz="6"/>
        </w:pBdr>
        <w:bidi/>
        <w:spacing w:after="260"/>
        <w:jc w:val="start"/>
      </w:pPr>
      <w:r>
        <w:rPr>
          <w:rFonts w:ascii="Arial" w:cs="Arial" w:hAnsi="Arial"/>
          <w:b w:val="false"/>
          <w:i w:val="false"/>
          <w:color w:val="77817A"/>
          <w:sz w:val="17"/>
          <w:szCs w:val="17"/>
          <w:rtl/>
        </w:rPr>
        <w:t xml:space="preserve">التكاليف · التمويل · قائمة النشاط · التدفق النقدي · التعادل · المؤشرات · الحساسية</w:t>
      </w:r>
    </w:p>
    <w:p>
      <w:pPr>
        <w:pStyle w:val="Heading2"/>
        <w:keepNext/>
        <w:bidi/>
        <w:spacing w:after="120" w:before="300" w:line="300"/>
        <w:jc w:val="start"/>
        <w:outlineLvl w:val="1"/>
      </w:pPr>
      <w:r>
        <w:rPr>
          <w:rFonts w:ascii="Arial" w:cs="Arial" w:hAnsi="Arial"/>
          <w:b/>
          <w:bCs/>
          <w:i w:val="false"/>
          <w:color w:val="0E5A49"/>
          <w:sz w:val="24"/>
          <w:szCs w:val="24"/>
          <w:rtl/>
        </w:rPr>
        <w:t xml:space="preserve">التكاليف الرأسمالية</w:t>
      </w:r>
    </w:p>
    <w:p>
      <w:pPr>
        <w:keepNext/>
        <w:bidi/>
        <w:spacing w:after="60" w:before="160" w:line="300"/>
        <w:jc w:val="start"/>
      </w:pPr>
      <w:r>
        <w:rPr>
          <w:rFonts w:ascii="Arial" w:cs="Arial" w:hAnsi="Arial"/>
          <w:b/>
          <w:bCs/>
          <w:i w:val="false"/>
          <w:color w:val="8A6A12"/>
          <w:sz w:val="16"/>
          <w:szCs w:val="16"/>
          <w:rtl/>
        </w:rPr>
        <w:t xml:space="preserve">جدول 26 — التكاليف الرأسمالية وأعمارها الإنتاجية (بالريال السعودي)</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63"/>
        <w:gridCol w:w="1900"/>
        <w:gridCol w:w="1441"/>
        <w:gridCol w:w="1202"/>
        <w:gridCol w:w="1760"/>
      </w:tblGrid>
      <w:tr>
        <w:trPr>
          <w:tblHeader/>
        </w:trPr>
        <w:tc>
          <w:tcPr>
            <w:tcW w:type="dxa" w:w="3563"/>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البند</w:t>
            </w:r>
          </w:p>
        </w:tc>
        <w:tc>
          <w:tcPr>
            <w:tcW w:type="dxa" w:w="1900"/>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التكلفة</w:t>
            </w:r>
          </w:p>
        </w:tc>
        <w:tc>
          <w:tcPr>
            <w:tcW w:type="dxa" w:w="144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النسبة</w:t>
            </w:r>
          </w:p>
        </w:tc>
        <w:tc>
          <w:tcPr>
            <w:tcW w:type="dxa" w:w="1202"/>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العمر (سنة)</w:t>
            </w:r>
          </w:p>
        </w:tc>
        <w:tc>
          <w:tcPr>
            <w:tcW w:type="dxa" w:w="1760"/>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الإهلاك السنوي</w:t>
            </w:r>
          </w:p>
        </w:tc>
      </w:tr>
      <w:tr>
        <w:tc>
          <w:tcPr>
            <w:tcW w:type="dxa" w:w="3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معدات المطبخ والتصنيع</w:t>
            </w:r>
          </w:p>
        </w:tc>
        <w:tc>
          <w:tcPr>
            <w:tcW w:type="dxa" w:w="190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1,850,000</w:t>
            </w:r>
          </w:p>
        </w:tc>
        <w:tc>
          <w:tcPr>
            <w:tcW w:type="dxa" w:w="14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30.8٪</w:t>
            </w:r>
          </w:p>
        </w:tc>
        <w:tc>
          <w:tcPr>
            <w:tcW w:type="dxa" w:w="120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w:t>
            </w:r>
          </w:p>
        </w:tc>
        <w:tc>
          <w:tcPr>
            <w:tcW w:type="dxa" w:w="17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231,250</w:t>
            </w:r>
          </w:p>
        </w:tc>
      </w:tr>
      <w:tr>
        <w:tc>
          <w:tcPr>
            <w:tcW w:type="dxa" w:w="3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تحسينات وتجهيزات المبنى</w:t>
            </w:r>
          </w:p>
        </w:tc>
        <w:tc>
          <w:tcPr>
            <w:tcW w:type="dxa" w:w="190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1,450,000</w:t>
            </w:r>
          </w:p>
        </w:tc>
        <w:tc>
          <w:tcPr>
            <w:tcW w:type="dxa" w:w="14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24.2٪</w:t>
            </w:r>
          </w:p>
        </w:tc>
        <w:tc>
          <w:tcPr>
            <w:tcW w:type="dxa" w:w="120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w:t>
            </w:r>
          </w:p>
        </w:tc>
        <w:tc>
          <w:tcPr>
            <w:tcW w:type="dxa" w:w="17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145,000</w:t>
            </w:r>
          </w:p>
        </w:tc>
      </w:tr>
      <w:tr>
        <w:tc>
          <w:tcPr>
            <w:tcW w:type="dxa" w:w="3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غرف التبريد والتجميد وسلسلة التبريد</w:t>
            </w:r>
          </w:p>
        </w:tc>
        <w:tc>
          <w:tcPr>
            <w:tcW w:type="dxa" w:w="190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460,000</w:t>
            </w:r>
          </w:p>
        </w:tc>
        <w:tc>
          <w:tcPr>
            <w:tcW w:type="dxa" w:w="14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7.7٪</w:t>
            </w:r>
          </w:p>
        </w:tc>
        <w:tc>
          <w:tcPr>
            <w:tcW w:type="dxa" w:w="120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w:t>
            </w:r>
          </w:p>
        </w:tc>
        <w:tc>
          <w:tcPr>
            <w:tcW w:type="dxa" w:w="17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46,000</w:t>
            </w:r>
          </w:p>
        </w:tc>
      </w:tr>
      <w:tr>
        <w:tc>
          <w:tcPr>
            <w:tcW w:type="dxa" w:w="3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خط التعبئة والتغليف والتوسيم</w:t>
            </w:r>
          </w:p>
        </w:tc>
        <w:tc>
          <w:tcPr>
            <w:tcW w:type="dxa" w:w="190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390,000</w:t>
            </w:r>
          </w:p>
        </w:tc>
        <w:tc>
          <w:tcPr>
            <w:tcW w:type="dxa" w:w="14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6.5٪</w:t>
            </w:r>
          </w:p>
        </w:tc>
        <w:tc>
          <w:tcPr>
            <w:tcW w:type="dxa" w:w="120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w:t>
            </w:r>
          </w:p>
        </w:tc>
        <w:tc>
          <w:tcPr>
            <w:tcW w:type="dxa" w:w="17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48,750</w:t>
            </w:r>
          </w:p>
        </w:tc>
      </w:tr>
      <w:tr>
        <w:tc>
          <w:tcPr>
            <w:tcW w:type="dxa" w:w="3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مركبات نقل مبرّدة (3)</w:t>
            </w:r>
          </w:p>
        </w:tc>
        <w:tc>
          <w:tcPr>
            <w:tcW w:type="dxa" w:w="190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390,000</w:t>
            </w:r>
          </w:p>
        </w:tc>
        <w:tc>
          <w:tcPr>
            <w:tcW w:type="dxa" w:w="14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6.5٪</w:t>
            </w:r>
          </w:p>
        </w:tc>
        <w:tc>
          <w:tcPr>
            <w:tcW w:type="dxa" w:w="120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w:t>
            </w:r>
          </w:p>
        </w:tc>
        <w:tc>
          <w:tcPr>
            <w:tcW w:type="dxa" w:w="17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78,000</w:t>
            </w:r>
          </w:p>
        </w:tc>
      </w:tr>
      <w:tr>
        <w:tc>
          <w:tcPr>
            <w:tcW w:type="dxa" w:w="3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تجهيزات قاعتَي التدريب والمكاتب والأثاث</w:t>
            </w:r>
          </w:p>
        </w:tc>
        <w:tc>
          <w:tcPr>
            <w:tcW w:type="dxa" w:w="190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260,000</w:t>
            </w:r>
          </w:p>
        </w:tc>
        <w:tc>
          <w:tcPr>
            <w:tcW w:type="dxa" w:w="14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4.3٪</w:t>
            </w:r>
          </w:p>
        </w:tc>
        <w:tc>
          <w:tcPr>
            <w:tcW w:type="dxa" w:w="120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w:t>
            </w:r>
          </w:p>
        </w:tc>
        <w:tc>
          <w:tcPr>
            <w:tcW w:type="dxa" w:w="17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43,333</w:t>
            </w:r>
          </w:p>
        </w:tc>
      </w:tr>
      <w:tr>
        <w:tc>
          <w:tcPr>
            <w:tcW w:type="dxa" w:w="3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أنظمة السلامة والإطفاء والتهوية</w:t>
            </w:r>
          </w:p>
        </w:tc>
        <w:tc>
          <w:tcPr>
            <w:tcW w:type="dxa" w:w="190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245,000</w:t>
            </w:r>
          </w:p>
        </w:tc>
        <w:tc>
          <w:tcPr>
            <w:tcW w:type="dxa" w:w="14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4.1٪</w:t>
            </w:r>
          </w:p>
        </w:tc>
        <w:tc>
          <w:tcPr>
            <w:tcW w:type="dxa" w:w="120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w:t>
            </w:r>
          </w:p>
        </w:tc>
        <w:tc>
          <w:tcPr>
            <w:tcW w:type="dxa" w:w="17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24,500</w:t>
            </w:r>
          </w:p>
        </w:tc>
      </w:tr>
      <w:tr>
        <w:tc>
          <w:tcPr>
            <w:tcW w:type="dxa" w:w="3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البنية التقنية ونظام ERP ونظام التتبّع</w:t>
            </w:r>
          </w:p>
        </w:tc>
        <w:tc>
          <w:tcPr>
            <w:tcW w:type="dxa" w:w="190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195,000</w:t>
            </w:r>
          </w:p>
        </w:tc>
        <w:tc>
          <w:tcPr>
            <w:tcW w:type="dxa" w:w="14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3.3٪</w:t>
            </w:r>
          </w:p>
        </w:tc>
        <w:tc>
          <w:tcPr>
            <w:tcW w:type="dxa" w:w="120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w:t>
            </w:r>
          </w:p>
        </w:tc>
        <w:tc>
          <w:tcPr>
            <w:tcW w:type="dxa" w:w="17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48,750</w:t>
            </w:r>
          </w:p>
        </w:tc>
      </w:tr>
      <w:tr>
        <w:tc>
          <w:tcPr>
            <w:tcW w:type="dxa" w:w="3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مختبر مراقبة الجودة</w:t>
            </w:r>
          </w:p>
        </w:tc>
        <w:tc>
          <w:tcPr>
            <w:tcW w:type="dxa" w:w="190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145,000</w:t>
            </w:r>
          </w:p>
        </w:tc>
        <w:tc>
          <w:tcPr>
            <w:tcW w:type="dxa" w:w="14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2.4٪</w:t>
            </w:r>
          </w:p>
        </w:tc>
        <w:tc>
          <w:tcPr>
            <w:tcW w:type="dxa" w:w="120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w:t>
            </w:r>
          </w:p>
        </w:tc>
        <w:tc>
          <w:tcPr>
            <w:tcW w:type="dxa" w:w="17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18,125</w:t>
            </w:r>
          </w:p>
        </w:tc>
      </w:tr>
      <w:tr>
        <w:tc>
          <w:tcPr>
            <w:tcW w:type="dxa" w:w="3563"/>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start"/>
            </w:pPr>
            <w:r>
              <w:rPr>
                <w:rFonts w:ascii="Arial" w:cs="Arial" w:hAnsi="Arial"/>
                <w:b w:val="false"/>
                <w:i w:val="false"/>
                <w:color w:val="111A15"/>
                <w:sz w:val="17"/>
                <w:szCs w:val="17"/>
                <w:rtl/>
              </w:rPr>
              <w:t xml:space="preserve">إجمالي الأصول الملموسة</w:t>
            </w:r>
          </w:p>
        </w:tc>
        <w:tc>
          <w:tcPr>
            <w:tcW w:type="dxa" w:w="1900"/>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111A15"/>
                <w:sz w:val="17"/>
                <w:szCs w:val="17"/>
                <w:rtl/>
              </w:rPr>
              <w:t xml:space="preserve">5,385,000</w:t>
            </w:r>
          </w:p>
        </w:tc>
        <w:tc>
          <w:tcPr>
            <w:tcW w:type="dxa" w:w="1441"/>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111A15"/>
                <w:sz w:val="17"/>
                <w:szCs w:val="17"/>
                <w:rtl/>
              </w:rPr>
              <w:t xml:space="preserve">89.7٪</w:t>
            </w:r>
          </w:p>
        </w:tc>
        <w:tc>
          <w:tcPr>
            <w:tcW w:type="dxa" w:w="1202"/>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111A15"/>
                <w:sz w:val="17"/>
                <w:szCs w:val="17"/>
                <w:rtl/>
              </w:rPr>
              <w:t xml:space="preserve">—</w:t>
            </w:r>
          </w:p>
        </w:tc>
        <w:tc>
          <w:tcPr>
            <w:tcW w:type="dxa" w:w="1760"/>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111A15"/>
                <w:sz w:val="17"/>
                <w:szCs w:val="17"/>
                <w:rtl/>
              </w:rPr>
              <w:t xml:space="preserve">683,708</w:t>
            </w:r>
          </w:p>
        </w:tc>
      </w:tr>
      <w:tr>
        <w:tc>
          <w:tcPr>
            <w:tcW w:type="dxa" w:w="3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الرسوم والتراخيص والتصاميم والاستشارات</w:t>
            </w:r>
          </w:p>
        </w:tc>
        <w:tc>
          <w:tcPr>
            <w:tcW w:type="dxa" w:w="190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195,000</w:t>
            </w:r>
          </w:p>
        </w:tc>
        <w:tc>
          <w:tcPr>
            <w:tcW w:type="dxa" w:w="14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3.3٪</w:t>
            </w:r>
          </w:p>
        </w:tc>
        <w:tc>
          <w:tcPr>
            <w:tcW w:type="dxa" w:w="120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w:t>
            </w:r>
          </w:p>
        </w:tc>
        <w:tc>
          <w:tcPr>
            <w:tcW w:type="dxa" w:w="17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39,000</w:t>
            </w:r>
          </w:p>
        </w:tc>
      </w:tr>
      <w:tr>
        <w:tc>
          <w:tcPr>
            <w:tcW w:type="dxa" w:w="3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العلامة التجارية والهوية والإطلاق</w:t>
            </w:r>
          </w:p>
        </w:tc>
        <w:tc>
          <w:tcPr>
            <w:tcW w:type="dxa" w:w="190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135,000</w:t>
            </w:r>
          </w:p>
        </w:tc>
        <w:tc>
          <w:tcPr>
            <w:tcW w:type="dxa" w:w="14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2.3٪</w:t>
            </w:r>
          </w:p>
        </w:tc>
        <w:tc>
          <w:tcPr>
            <w:tcW w:type="dxa" w:w="120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w:t>
            </w:r>
          </w:p>
        </w:tc>
        <w:tc>
          <w:tcPr>
            <w:tcW w:type="dxa" w:w="17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27,000</w:t>
            </w:r>
          </w:p>
        </w:tc>
      </w:tr>
      <w:tr>
        <w:tc>
          <w:tcPr>
            <w:tcW w:type="dxa" w:w="3563"/>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start"/>
            </w:pPr>
            <w:r>
              <w:rPr>
                <w:rFonts w:ascii="Arial" w:cs="Arial" w:hAnsi="Arial"/>
                <w:b w:val="false"/>
                <w:i w:val="false"/>
                <w:color w:val="111A15"/>
                <w:sz w:val="17"/>
                <w:szCs w:val="17"/>
                <w:rtl/>
              </w:rPr>
              <w:t xml:space="preserve">إجمالي الأصول غير الملموسة</w:t>
            </w:r>
          </w:p>
        </w:tc>
        <w:tc>
          <w:tcPr>
            <w:tcW w:type="dxa" w:w="1900"/>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111A15"/>
                <w:sz w:val="17"/>
                <w:szCs w:val="17"/>
                <w:rtl/>
              </w:rPr>
              <w:t xml:space="preserve">330,000</w:t>
            </w:r>
          </w:p>
        </w:tc>
        <w:tc>
          <w:tcPr>
            <w:tcW w:type="dxa" w:w="1441"/>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111A15"/>
                <w:sz w:val="17"/>
                <w:szCs w:val="17"/>
                <w:rtl/>
              </w:rPr>
              <w:t xml:space="preserve">5.5٪</w:t>
            </w:r>
          </w:p>
        </w:tc>
        <w:tc>
          <w:tcPr>
            <w:tcW w:type="dxa" w:w="1202"/>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111A15"/>
                <w:sz w:val="17"/>
                <w:szCs w:val="17"/>
                <w:rtl/>
              </w:rPr>
              <w:t xml:space="preserve">—</w:t>
            </w:r>
          </w:p>
        </w:tc>
        <w:tc>
          <w:tcPr>
            <w:tcW w:type="dxa" w:w="1760"/>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111A15"/>
                <w:sz w:val="17"/>
                <w:szCs w:val="17"/>
                <w:rtl/>
              </w:rPr>
              <w:t xml:space="preserve">66,000</w:t>
            </w:r>
          </w:p>
        </w:tc>
      </w:tr>
      <w:tr>
        <w:tc>
          <w:tcPr>
            <w:tcW w:type="dxa" w:w="356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احتياطي طوارئ (5٪)</w:t>
            </w:r>
          </w:p>
        </w:tc>
        <w:tc>
          <w:tcPr>
            <w:tcW w:type="dxa" w:w="190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285,750</w:t>
            </w:r>
          </w:p>
        </w:tc>
        <w:tc>
          <w:tcPr>
            <w:tcW w:type="dxa" w:w="14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4.8٪</w:t>
            </w:r>
          </w:p>
        </w:tc>
        <w:tc>
          <w:tcPr>
            <w:tcW w:type="dxa" w:w="120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7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r>
      <w:tr>
        <w:tc>
          <w:tcPr>
            <w:tcW w:type="dxa" w:w="3563"/>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start"/>
            </w:pPr>
            <w:r>
              <w:rPr>
                <w:rFonts w:ascii="Arial" w:cs="Arial" w:hAnsi="Arial"/>
                <w:b/>
                <w:bCs/>
                <w:i w:val="false"/>
                <w:color w:val="111A15"/>
                <w:sz w:val="17"/>
                <w:szCs w:val="17"/>
                <w:rtl/>
              </w:rPr>
              <w:t xml:space="preserve">إجمالي التكلفة الرأسمالية</w:t>
            </w:r>
          </w:p>
        </w:tc>
        <w:tc>
          <w:tcPr>
            <w:tcW w:type="dxa" w:w="1900"/>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6,000,750</w:t>
            </w:r>
          </w:p>
        </w:tc>
        <w:tc>
          <w:tcPr>
            <w:tcW w:type="dxa" w:w="1441"/>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100٪</w:t>
            </w:r>
          </w:p>
        </w:tc>
        <w:tc>
          <w:tcPr>
            <w:tcW w:type="dxa" w:w="1202"/>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w:t>
            </w:r>
          </w:p>
        </w:tc>
        <w:tc>
          <w:tcPr>
            <w:tcW w:type="dxa" w:w="1760"/>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749,708</w:t>
            </w:r>
          </w:p>
        </w:tc>
      </w:tr>
    </w:tbl>
    <w:p>
      <w:pPr>
        <w:bidi/>
        <w:spacing w:after="14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هيكل التمويل</w:t>
      </w:r>
    </w:p>
    <w:p>
      <w:pPr>
        <w:keepNext/>
        <w:bidi/>
        <w:spacing w:after="60" w:before="160" w:line="300"/>
        <w:jc w:val="start"/>
      </w:pPr>
      <w:r>
        <w:rPr>
          <w:rFonts w:ascii="Arial" w:cs="Arial" w:hAnsi="Arial"/>
          <w:b/>
          <w:bCs/>
          <w:i w:val="false"/>
          <w:color w:val="8A6A12"/>
          <w:sz w:val="16"/>
          <w:szCs w:val="16"/>
          <w:rtl/>
        </w:rPr>
        <w:t xml:space="preserve">جدول 27 — مصادر التمويل وطبيعتها</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4"/>
        <w:gridCol w:w="1729"/>
        <w:gridCol w:w="1158"/>
        <w:gridCol w:w="3905"/>
      </w:tblGrid>
      <w:tr>
        <w:trPr>
          <w:tblHeader/>
        </w:trPr>
        <w:tc>
          <w:tcPr>
            <w:tcW w:type="dxa" w:w="3074"/>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المصدر</w:t>
            </w:r>
          </w:p>
        </w:tc>
        <w:tc>
          <w:tcPr>
            <w:tcW w:type="dxa" w:w="172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المبلغ</w:t>
            </w:r>
          </w:p>
        </w:tc>
        <w:tc>
          <w:tcPr>
            <w:tcW w:type="dxa" w:w="1158"/>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النسبة</w:t>
            </w:r>
          </w:p>
        </w:tc>
        <w:tc>
          <w:tcPr>
            <w:tcW w:type="dxa" w:w="390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الطبيعة والالتزام</w:t>
            </w:r>
          </w:p>
        </w:tc>
      </w:tr>
      <w:tr>
        <w:tc>
          <w:tcPr>
            <w:tcW w:type="dxa" w:w="307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منحة تأسيسية من الجهة المانحة الرئيسية</w:t>
            </w:r>
          </w:p>
        </w:tc>
        <w:tc>
          <w:tcPr>
            <w:tcW w:type="dxa" w:w="172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4,500,000</w:t>
            </w:r>
          </w:p>
        </w:tc>
        <w:tc>
          <w:tcPr>
            <w:tcW w:type="dxa" w:w="115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60٪</w:t>
            </w:r>
          </w:p>
        </w:tc>
        <w:tc>
          <w:tcPr>
            <w:tcW w:type="dxa" w:w="39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غير مستردة · تُصرف على 5 دفعات مرتبطة بالمعالم</w:t>
            </w:r>
          </w:p>
        </w:tc>
      </w:tr>
      <w:tr>
        <w:tc>
          <w:tcPr>
            <w:tcW w:type="dxa" w:w="307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مساهمة الجمعية (نقدية وعينية)</w:t>
            </w:r>
          </w:p>
        </w:tc>
        <w:tc>
          <w:tcPr>
            <w:tcW w:type="dxa" w:w="172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1,125,000</w:t>
            </w:r>
          </w:p>
        </w:tc>
        <w:tc>
          <w:tcPr>
            <w:tcW w:type="dxa" w:w="115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15٪</w:t>
            </w:r>
          </w:p>
        </w:tc>
        <w:tc>
          <w:tcPr>
            <w:tcW w:type="dxa" w:w="39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تشمل حق الانتفاع بالمقر بقيمة سوقية 525,000 ر.س سنويًا وإدارة المشروع</w:t>
            </w:r>
          </w:p>
        </w:tc>
      </w:tr>
      <w:tr>
        <w:tc>
          <w:tcPr>
            <w:tcW w:type="dxa" w:w="307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شراكات القطاع الخاص — المسؤولية الاجتماعية</w:t>
            </w:r>
          </w:p>
        </w:tc>
        <w:tc>
          <w:tcPr>
            <w:tcW w:type="dxa" w:w="172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1,125,000</w:t>
            </w:r>
          </w:p>
        </w:tc>
        <w:tc>
          <w:tcPr>
            <w:tcW w:type="dxa" w:w="115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15٪</w:t>
            </w:r>
          </w:p>
        </w:tc>
        <w:tc>
          <w:tcPr>
            <w:tcW w:type="dxa" w:w="39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نقدية وعينية (معدات · خبرة فنية · تدريب)</w:t>
            </w:r>
          </w:p>
        </w:tc>
      </w:tr>
      <w:tr>
        <w:tc>
          <w:tcPr>
            <w:tcW w:type="dxa" w:w="307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تمويل ميسّر من صندوق تنموي</w:t>
            </w:r>
          </w:p>
        </w:tc>
        <w:tc>
          <w:tcPr>
            <w:tcW w:type="dxa" w:w="172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750,000</w:t>
            </w:r>
          </w:p>
        </w:tc>
        <w:tc>
          <w:tcPr>
            <w:tcW w:type="dxa" w:w="115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w:t>
            </w:r>
          </w:p>
        </w:tc>
        <w:tc>
          <w:tcPr>
            <w:tcW w:type="dxa" w:w="39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قرض حسن بلا فوائد · يُسدَّد على 3 سنوات من السنة الثالثة بواقع 250,000 سنويًا</w:t>
            </w:r>
          </w:p>
        </w:tc>
      </w:tr>
      <w:tr>
        <w:tc>
          <w:tcPr>
            <w:tcW w:type="dxa" w:w="3074"/>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start"/>
            </w:pPr>
            <w:r>
              <w:rPr>
                <w:rFonts w:ascii="Arial" w:cs="Arial" w:hAnsi="Arial"/>
                <w:b/>
                <w:bCs/>
                <w:i w:val="false"/>
                <w:color w:val="111A15"/>
                <w:sz w:val="17"/>
                <w:szCs w:val="17"/>
                <w:rtl/>
              </w:rPr>
              <w:t xml:space="preserve">إجمالي التمويل</w:t>
            </w:r>
          </w:p>
        </w:tc>
        <w:tc>
          <w:tcPr>
            <w:tcW w:type="dxa" w:w="1729"/>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7,500,000</w:t>
            </w:r>
          </w:p>
        </w:tc>
        <w:tc>
          <w:tcPr>
            <w:tcW w:type="dxa" w:w="1158"/>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100٪</w:t>
            </w:r>
          </w:p>
        </w:tc>
        <w:tc>
          <w:tcPr>
            <w:tcW w:type="dxa" w:w="3905"/>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start"/>
            </w:pPr>
            <w:r>
              <w:rPr>
                <w:rFonts w:ascii="Arial" w:cs="Arial" w:hAnsi="Arial"/>
                <w:b/>
                <w:bCs/>
                <w:i w:val="false"/>
                <w:color w:val="111A15"/>
                <w:sz w:val="17"/>
                <w:szCs w:val="17"/>
                <w:rtl/>
              </w:rPr>
              <w:t xml:space="preserve">—</w:t>
            </w:r>
          </w:p>
        </w:tc>
      </w:tr>
    </w:tbl>
    <w:p>
      <w:pPr>
        <w:bidi/>
        <w:spacing w:after="140" w:before="0" w:line="300"/>
        <w:jc w:val="both"/>
      </w:pPr>
      <w:r>
        <w:rPr>
          <w:rFonts w:ascii="Arial" w:cs="Arial" w:hAnsi="Arial"/>
          <w:b w:val="false"/>
          <w:i w:val="false"/>
          <w:color w:val="48534C"/>
          <w:sz w:val="8"/>
          <w:szCs w:val="8"/>
          <w:rtl/>
        </w:rPr>
        <w:t xml:space="preserve"/>
      </w:r>
    </w:p>
    <w:p>
      <w:pPr>
        <w:bidi/>
        <w:spacing w:after="140" w:before="0" w:line="300"/>
        <w:jc w:val="both"/>
      </w:pPr>
      <w:r>
        <w:rPr>
          <w:rFonts w:ascii="Arial" w:cs="Arial" w:hAnsi="Arial"/>
          <w:b w:val="false"/>
          <w:i w:val="false"/>
          <w:color w:val="48534C"/>
          <w:sz w:val="20"/>
          <w:szCs w:val="20"/>
          <w:rtl/>
        </w:rPr>
        <w:t xml:space="preserve">ويُوزَّع التمويل على ثلاثة استخدامات: </w:t>
      </w:r>
      <w:r>
        <w:rPr>
          <w:rFonts w:ascii="Arial" w:cs="Arial" w:hAnsi="Arial"/>
          <w:b/>
          <w:bCs/>
          <w:i w:val="false"/>
          <w:color w:val="48534C"/>
          <w:sz w:val="20"/>
          <w:szCs w:val="20"/>
          <w:rtl/>
        </w:rPr>
        <w:t xml:space="preserve">6,000,750</w:t>
      </w:r>
      <w:r>
        <w:rPr>
          <w:rFonts w:ascii="Arial" w:cs="Arial" w:hAnsi="Arial"/>
          <w:b w:val="false"/>
          <w:i w:val="false"/>
          <w:color w:val="48534C"/>
          <w:sz w:val="20"/>
          <w:szCs w:val="20"/>
          <w:rtl/>
        </w:rPr>
        <w:t xml:space="preserve"> للتكاليف الرأسمالية، و</w:t>
      </w:r>
      <w:r>
        <w:rPr>
          <w:rFonts w:ascii="Arial" w:cs="Arial" w:hAnsi="Arial"/>
          <w:b/>
          <w:bCs/>
          <w:i w:val="false"/>
          <w:color w:val="48534C"/>
          <w:sz w:val="20"/>
          <w:szCs w:val="20"/>
          <w:rtl/>
        </w:rPr>
        <w:t xml:space="preserve">749,250</w:t>
      </w:r>
      <w:r>
        <w:rPr>
          <w:rFonts w:ascii="Arial" w:cs="Arial" w:hAnsi="Arial"/>
          <w:b w:val="false"/>
          <w:i w:val="false"/>
          <w:color w:val="48534C"/>
          <w:sz w:val="20"/>
          <w:szCs w:val="20"/>
          <w:rtl/>
        </w:rPr>
        <w:t xml:space="preserve"> رأس مال عامل يغطي دورة مخزون 30 يومًا وذممًا مدينة 45 يومًا، و</w:t>
      </w:r>
      <w:r>
        <w:rPr>
          <w:rFonts w:ascii="Arial" w:cs="Arial" w:hAnsi="Arial"/>
          <w:b/>
          <w:bCs/>
          <w:i w:val="false"/>
          <w:color w:val="48534C"/>
          <w:sz w:val="20"/>
          <w:szCs w:val="20"/>
          <w:rtl/>
        </w:rPr>
        <w:t xml:space="preserve">750,000</w:t>
      </w:r>
      <w:r>
        <w:rPr>
          <w:rFonts w:ascii="Arial" w:cs="Arial" w:hAnsi="Arial"/>
          <w:b w:val="false"/>
          <w:i w:val="false"/>
          <w:color w:val="48534C"/>
          <w:sz w:val="20"/>
          <w:szCs w:val="20"/>
          <w:rtl/>
        </w:rPr>
        <w:t xml:space="preserve"> جسرًا تشغيليًا يغطي عجز السنة الأولى المخطط له. ووجود هذا الجسر ضمن الطلب — لا خارجه — هو ما يمنع أشيع أسباب تعثّر المشاريع الإنتاجية غير الربحية: بناء أصل ممتاز ثم العجز عن تشغيله لنقص السيولة في أشهره الأولى.</w:t>
      </w:r>
    </w:p>
    <w:p>
      <w:pPr>
        <w:pStyle w:val="Heading2"/>
        <w:keepNext/>
        <w:bidi/>
        <w:spacing w:after="120" w:before="300" w:line="300"/>
        <w:jc w:val="start"/>
        <w:outlineLvl w:val="1"/>
      </w:pPr>
      <w:r>
        <w:rPr>
          <w:rFonts w:ascii="Arial" w:cs="Arial" w:hAnsi="Arial"/>
          <w:b/>
          <w:bCs/>
          <w:i w:val="false"/>
          <w:color w:val="0E5A49"/>
          <w:sz w:val="24"/>
          <w:szCs w:val="24"/>
          <w:rtl/>
        </w:rPr>
        <w:t xml:space="preserve">هيكل التكاليف التشغيلية</w:t>
      </w:r>
    </w:p>
    <w:p>
      <w:pPr>
        <w:keepNext/>
        <w:bidi/>
        <w:spacing w:after="100" w:before="200" w:line="300"/>
        <w:jc w:val="start"/>
      </w:pPr>
      <w:r>
        <w:rPr>
          <w:rFonts w:ascii="Arial" w:cs="Arial" w:hAnsi="Arial"/>
          <w:b/>
          <w:bCs/>
          <w:i w:val="false"/>
          <w:color w:val="8A6A12"/>
          <w:sz w:val="16"/>
          <w:szCs w:val="16"/>
          <w:rtl/>
        </w:rPr>
        <w:t xml:space="preserve">شكل 15  </w:t>
      </w:r>
      <w:r>
        <w:rPr>
          <w:rFonts w:ascii="Arial" w:cs="Arial" w:hAnsi="Arial"/>
          <w:b/>
          <w:bCs/>
          <w:i w:val="false"/>
          <w:color w:val="111A15"/>
          <w:sz w:val="18"/>
          <w:szCs w:val="18"/>
          <w:rtl/>
        </w:rPr>
        <w:t xml:space="preserve">توزيع التكاليف في السنة الثالثة</w:t>
      </w:r>
    </w:p>
    <w:p>
      <w:pPr>
        <w:keepNext/>
        <w:bidi/>
        <w:spacing w:after="80"/>
        <w:jc w:val="center"/>
      </w:pPr>
      <w:r>
        <w:drawing>
          <wp:inline distT="0" distB="0" distL="0" distR="0">
            <wp:extent cx="623887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238875" cy="3190875"/>
                    </a:xfrm>
                    <a:prstGeom prst="rect">
                      <a:avLst/>
                    </a:prstGeom>
                  </pic:spPr>
                </pic:pic>
              </a:graphicData>
            </a:graphic>
          </wp:inline>
        </w:drawing>
      </w:r>
    </w:p>
    <w:p>
      <w:pPr>
        <w:bidi/>
        <w:spacing w:after="200" w:before="0" w:line="300"/>
        <w:jc w:val="both"/>
      </w:pPr>
      <w:r>
        <w:rPr>
          <w:rFonts w:ascii="Arial" w:cs="Arial" w:hAnsi="Arial"/>
          <w:b w:val="false"/>
          <w:i w:val="false"/>
          <w:color w:val="77817A"/>
          <w:sz w:val="16"/>
          <w:szCs w:val="16"/>
          <w:rtl/>
        </w:rPr>
        <w:t xml:space="preserve">بندان يستحوذان على 70٪ من التكاليف: المواد الخام وأجور تصنيع الأسر (51٪) والرواتب (26٪). وهذا التركيز هو ما يجعل الشراء المركزي وإنتاجية العمل هما الرافعتَين الوحيدتَين ذواتَي الأثر المعتبر على الربحية — أما ترشيد المصروفات الإدارية فأثره هامشي مهما بولغ فيه.</w:t>
      </w:r>
    </w:p>
    <w:p>
      <w:pPr>
        <w:keepNext/>
        <w:bidi/>
        <w:spacing w:after="60" w:before="160" w:line="300"/>
        <w:jc w:val="start"/>
      </w:pPr>
      <w:r>
        <w:rPr>
          <w:rFonts w:ascii="Arial" w:cs="Arial" w:hAnsi="Arial"/>
          <w:b/>
          <w:bCs/>
          <w:i w:val="false"/>
          <w:color w:val="8A6A12"/>
          <w:sz w:val="16"/>
          <w:szCs w:val="16"/>
          <w:rtl/>
        </w:rPr>
        <w:t xml:space="preserve">جدول 28 — تفصيل المصروفات التشغيلية للسنوات الخمس (بالريال السعودي)</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9"/>
        <w:gridCol w:w="1403"/>
        <w:gridCol w:w="1410"/>
        <w:gridCol w:w="1417"/>
        <w:gridCol w:w="1423"/>
        <w:gridCol w:w="1424"/>
      </w:tblGrid>
      <w:tr>
        <w:trPr>
          <w:tblHeader/>
        </w:trPr>
        <w:tc>
          <w:tcPr>
            <w:tcW w:type="dxa" w:w="278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البند</w:t>
            </w:r>
          </w:p>
        </w:tc>
        <w:tc>
          <w:tcPr>
            <w:tcW w:type="dxa" w:w="1403"/>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السنة 1</w:t>
            </w:r>
          </w:p>
        </w:tc>
        <w:tc>
          <w:tcPr>
            <w:tcW w:type="dxa" w:w="1410"/>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السنة 2</w:t>
            </w:r>
          </w:p>
        </w:tc>
        <w:tc>
          <w:tcPr>
            <w:tcW w:type="dxa" w:w="1417"/>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السنة 3</w:t>
            </w:r>
          </w:p>
        </w:tc>
        <w:tc>
          <w:tcPr>
            <w:tcW w:type="dxa" w:w="1423"/>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السنة 4</w:t>
            </w:r>
          </w:p>
        </w:tc>
        <w:tc>
          <w:tcPr>
            <w:tcW w:type="dxa" w:w="1424"/>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السنة 5</w:t>
            </w:r>
          </w:p>
        </w:tc>
      </w:tr>
      <w:tr>
        <w:tc>
          <w:tcPr>
            <w:tcW w:type="dxa" w:w="27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الرواتب والأجور ومزايا العاملين</w:t>
            </w:r>
          </w:p>
        </w:tc>
        <w:tc>
          <w:tcPr>
            <w:tcW w:type="dxa" w:w="14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1,636,722</w:t>
            </w:r>
          </w:p>
        </w:tc>
        <w:tc>
          <w:tcPr>
            <w:tcW w:type="dxa" w:w="141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2,070,294</w:t>
            </w:r>
          </w:p>
        </w:tc>
        <w:tc>
          <w:tcPr>
            <w:tcW w:type="dxa" w:w="14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2,537,758</w:t>
            </w:r>
          </w:p>
        </w:tc>
        <w:tc>
          <w:tcPr>
            <w:tcW w:type="dxa" w:w="142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2,884,495</w:t>
            </w:r>
          </w:p>
        </w:tc>
        <w:tc>
          <w:tcPr>
            <w:tcW w:type="dxa" w:w="14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3,248,963</w:t>
            </w:r>
          </w:p>
        </w:tc>
      </w:tr>
      <w:tr>
        <w:tc>
          <w:tcPr>
            <w:tcW w:type="dxa" w:w="27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الكهرباء والمياه والغاز</w:t>
            </w:r>
          </w:p>
        </w:tc>
        <w:tc>
          <w:tcPr>
            <w:tcW w:type="dxa" w:w="14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300,000</w:t>
            </w:r>
          </w:p>
        </w:tc>
        <w:tc>
          <w:tcPr>
            <w:tcW w:type="dxa" w:w="141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409,155</w:t>
            </w:r>
          </w:p>
        </w:tc>
        <w:tc>
          <w:tcPr>
            <w:tcW w:type="dxa" w:w="14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503,903</w:t>
            </w:r>
          </w:p>
        </w:tc>
        <w:tc>
          <w:tcPr>
            <w:tcW w:type="dxa" w:w="142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583,561</w:t>
            </w:r>
          </w:p>
        </w:tc>
        <w:tc>
          <w:tcPr>
            <w:tcW w:type="dxa" w:w="14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657,632</w:t>
            </w:r>
          </w:p>
        </w:tc>
      </w:tr>
      <w:tr>
        <w:tc>
          <w:tcPr>
            <w:tcW w:type="dxa" w:w="27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النقل والتوزيع وسلسلة التبريد</w:t>
            </w:r>
          </w:p>
        </w:tc>
        <w:tc>
          <w:tcPr>
            <w:tcW w:type="dxa" w:w="14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157,661</w:t>
            </w:r>
          </w:p>
        </w:tc>
        <w:tc>
          <w:tcPr>
            <w:tcW w:type="dxa" w:w="141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250,163</w:t>
            </w:r>
          </w:p>
        </w:tc>
        <w:tc>
          <w:tcPr>
            <w:tcW w:type="dxa" w:w="14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334,720</w:t>
            </w:r>
          </w:p>
        </w:tc>
        <w:tc>
          <w:tcPr>
            <w:tcW w:type="dxa" w:w="142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397,555</w:t>
            </w:r>
          </w:p>
        </w:tc>
        <w:tc>
          <w:tcPr>
            <w:tcW w:type="dxa" w:w="14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454,196</w:t>
            </w:r>
          </w:p>
        </w:tc>
      </w:tr>
      <w:tr>
        <w:tc>
          <w:tcPr>
            <w:tcW w:type="dxa" w:w="27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التسويق والترويج والمعارض</w:t>
            </w:r>
          </w:p>
        </w:tc>
        <w:tc>
          <w:tcPr>
            <w:tcW w:type="dxa" w:w="14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221,711</w:t>
            </w:r>
          </w:p>
        </w:tc>
        <w:tc>
          <w:tcPr>
            <w:tcW w:type="dxa" w:w="141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234,527</w:t>
            </w:r>
          </w:p>
        </w:tc>
        <w:tc>
          <w:tcPr>
            <w:tcW w:type="dxa" w:w="14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313,800</w:t>
            </w:r>
          </w:p>
        </w:tc>
        <w:tc>
          <w:tcPr>
            <w:tcW w:type="dxa" w:w="142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372,708</w:t>
            </w:r>
          </w:p>
        </w:tc>
        <w:tc>
          <w:tcPr>
            <w:tcW w:type="dxa" w:w="14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425,809</w:t>
            </w:r>
          </w:p>
        </w:tc>
      </w:tr>
      <w:tr>
        <w:tc>
          <w:tcPr>
            <w:tcW w:type="dxa" w:w="27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برامج تمكين الأسر (تدريب · حقائب · حوافز)</w:t>
            </w:r>
          </w:p>
        </w:tc>
        <w:tc>
          <w:tcPr>
            <w:tcW w:type="dxa" w:w="14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265,000</w:t>
            </w:r>
          </w:p>
        </w:tc>
        <w:tc>
          <w:tcPr>
            <w:tcW w:type="dxa" w:w="141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280,900</w:t>
            </w:r>
          </w:p>
        </w:tc>
        <w:tc>
          <w:tcPr>
            <w:tcW w:type="dxa" w:w="14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297,754</w:t>
            </w:r>
          </w:p>
        </w:tc>
        <w:tc>
          <w:tcPr>
            <w:tcW w:type="dxa" w:w="142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315,619</w:t>
            </w:r>
          </w:p>
        </w:tc>
        <w:tc>
          <w:tcPr>
            <w:tcW w:type="dxa" w:w="14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334,556</w:t>
            </w:r>
          </w:p>
        </w:tc>
      </w:tr>
      <w:tr>
        <w:tc>
          <w:tcPr>
            <w:tcW w:type="dxa" w:w="27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الصيانة وقطع الغيار</w:t>
            </w:r>
          </w:p>
        </w:tc>
        <w:tc>
          <w:tcPr>
            <w:tcW w:type="dxa" w:w="14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99,575</w:t>
            </w:r>
          </w:p>
        </w:tc>
        <w:tc>
          <w:tcPr>
            <w:tcW w:type="dxa" w:w="141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104,554</w:t>
            </w:r>
          </w:p>
        </w:tc>
        <w:tc>
          <w:tcPr>
            <w:tcW w:type="dxa" w:w="14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109,781</w:t>
            </w:r>
          </w:p>
        </w:tc>
        <w:tc>
          <w:tcPr>
            <w:tcW w:type="dxa" w:w="142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115,270</w:t>
            </w:r>
          </w:p>
        </w:tc>
        <w:tc>
          <w:tcPr>
            <w:tcW w:type="dxa" w:w="14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121,034</w:t>
            </w:r>
          </w:p>
        </w:tc>
      </w:tr>
      <w:tr>
        <w:tc>
          <w:tcPr>
            <w:tcW w:type="dxa" w:w="27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الحوكمة والمراجعة الخارجية والاستشارات</w:t>
            </w:r>
          </w:p>
        </w:tc>
        <w:tc>
          <w:tcPr>
            <w:tcW w:type="dxa" w:w="14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95,000</w:t>
            </w:r>
          </w:p>
        </w:tc>
        <w:tc>
          <w:tcPr>
            <w:tcW w:type="dxa" w:w="141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97,850</w:t>
            </w:r>
          </w:p>
        </w:tc>
        <w:tc>
          <w:tcPr>
            <w:tcW w:type="dxa" w:w="14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100,786</w:t>
            </w:r>
          </w:p>
        </w:tc>
        <w:tc>
          <w:tcPr>
            <w:tcW w:type="dxa" w:w="142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103,809</w:t>
            </w:r>
          </w:p>
        </w:tc>
        <w:tc>
          <w:tcPr>
            <w:tcW w:type="dxa" w:w="14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106,924</w:t>
            </w:r>
          </w:p>
        </w:tc>
      </w:tr>
      <w:tr>
        <w:tc>
          <w:tcPr>
            <w:tcW w:type="dxa" w:w="27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رسوم خدمات المقر والمرافق المشتركة</w:t>
            </w:r>
          </w:p>
        </w:tc>
        <w:tc>
          <w:tcPr>
            <w:tcW w:type="dxa" w:w="14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120,000</w:t>
            </w:r>
          </w:p>
        </w:tc>
        <w:tc>
          <w:tcPr>
            <w:tcW w:type="dxa" w:w="141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123,600</w:t>
            </w:r>
          </w:p>
        </w:tc>
        <w:tc>
          <w:tcPr>
            <w:tcW w:type="dxa" w:w="14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127,308</w:t>
            </w:r>
          </w:p>
        </w:tc>
        <w:tc>
          <w:tcPr>
            <w:tcW w:type="dxa" w:w="142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131,127</w:t>
            </w:r>
          </w:p>
        </w:tc>
        <w:tc>
          <w:tcPr>
            <w:tcW w:type="dxa" w:w="14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135,061</w:t>
            </w:r>
          </w:p>
        </w:tc>
      </w:tr>
      <w:tr>
        <w:tc>
          <w:tcPr>
            <w:tcW w:type="dxa" w:w="27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المصروفات الإدارية والاتصالات</w:t>
            </w:r>
          </w:p>
        </w:tc>
        <w:tc>
          <w:tcPr>
            <w:tcW w:type="dxa" w:w="14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100,000</w:t>
            </w:r>
          </w:p>
        </w:tc>
        <w:tc>
          <w:tcPr>
            <w:tcW w:type="dxa" w:w="141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103,000</w:t>
            </w:r>
          </w:p>
        </w:tc>
        <w:tc>
          <w:tcPr>
            <w:tcW w:type="dxa" w:w="14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106,090</w:t>
            </w:r>
          </w:p>
        </w:tc>
        <w:tc>
          <w:tcPr>
            <w:tcW w:type="dxa" w:w="142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109,273</w:t>
            </w:r>
          </w:p>
        </w:tc>
        <w:tc>
          <w:tcPr>
            <w:tcW w:type="dxa" w:w="14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112,551</w:t>
            </w:r>
          </w:p>
        </w:tc>
      </w:tr>
      <w:tr>
        <w:tc>
          <w:tcPr>
            <w:tcW w:type="dxa" w:w="27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الرسوم والتراخيص والشهادات</w:t>
            </w:r>
          </w:p>
        </w:tc>
        <w:tc>
          <w:tcPr>
            <w:tcW w:type="dxa" w:w="14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85,000</w:t>
            </w:r>
          </w:p>
        </w:tc>
        <w:tc>
          <w:tcPr>
            <w:tcW w:type="dxa" w:w="141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87,550</w:t>
            </w:r>
          </w:p>
        </w:tc>
        <w:tc>
          <w:tcPr>
            <w:tcW w:type="dxa" w:w="14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90,177</w:t>
            </w:r>
          </w:p>
        </w:tc>
        <w:tc>
          <w:tcPr>
            <w:tcW w:type="dxa" w:w="142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92,882</w:t>
            </w:r>
          </w:p>
        </w:tc>
        <w:tc>
          <w:tcPr>
            <w:tcW w:type="dxa" w:w="14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95,668</w:t>
            </w:r>
          </w:p>
        </w:tc>
      </w:tr>
      <w:tr>
        <w:tc>
          <w:tcPr>
            <w:tcW w:type="dxa" w:w="27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التأمينات على الأصول والمسؤولية</w:t>
            </w:r>
          </w:p>
        </w:tc>
        <w:tc>
          <w:tcPr>
            <w:tcW w:type="dxa" w:w="14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70,000</w:t>
            </w:r>
          </w:p>
        </w:tc>
        <w:tc>
          <w:tcPr>
            <w:tcW w:type="dxa" w:w="141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72,100</w:t>
            </w:r>
          </w:p>
        </w:tc>
        <w:tc>
          <w:tcPr>
            <w:tcW w:type="dxa" w:w="14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74,263</w:t>
            </w:r>
          </w:p>
        </w:tc>
        <w:tc>
          <w:tcPr>
            <w:tcW w:type="dxa" w:w="142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76,491</w:t>
            </w:r>
          </w:p>
        </w:tc>
        <w:tc>
          <w:tcPr>
            <w:tcW w:type="dxa" w:w="14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78,786</w:t>
            </w:r>
          </w:p>
        </w:tc>
      </w:tr>
      <w:tr>
        <w:tc>
          <w:tcPr>
            <w:tcW w:type="dxa" w:w="27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تدريب وتطوير فريق العمل</w:t>
            </w:r>
          </w:p>
        </w:tc>
        <w:tc>
          <w:tcPr>
            <w:tcW w:type="dxa" w:w="14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70,000</w:t>
            </w:r>
          </w:p>
        </w:tc>
        <w:tc>
          <w:tcPr>
            <w:tcW w:type="dxa" w:w="141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72,100</w:t>
            </w:r>
          </w:p>
        </w:tc>
        <w:tc>
          <w:tcPr>
            <w:tcW w:type="dxa" w:w="14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74,263</w:t>
            </w:r>
          </w:p>
        </w:tc>
        <w:tc>
          <w:tcPr>
            <w:tcW w:type="dxa" w:w="142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76,491</w:t>
            </w:r>
          </w:p>
        </w:tc>
        <w:tc>
          <w:tcPr>
            <w:tcW w:type="dxa" w:w="14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78,786</w:t>
            </w:r>
          </w:p>
        </w:tc>
      </w:tr>
      <w:tr>
        <w:tc>
          <w:tcPr>
            <w:tcW w:type="dxa" w:w="278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مصروفات أخرى وطوارئ تشغيلية</w:t>
            </w:r>
          </w:p>
        </w:tc>
        <w:tc>
          <w:tcPr>
            <w:tcW w:type="dxa" w:w="14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64,427</w:t>
            </w:r>
          </w:p>
        </w:tc>
        <w:tc>
          <w:tcPr>
            <w:tcW w:type="dxa" w:w="141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76,283</w:t>
            </w:r>
          </w:p>
        </w:tc>
        <w:tc>
          <w:tcPr>
            <w:tcW w:type="dxa" w:w="141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93,412</w:t>
            </w:r>
          </w:p>
        </w:tc>
        <w:tc>
          <w:tcPr>
            <w:tcW w:type="dxa" w:w="142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105,794</w:t>
            </w:r>
          </w:p>
        </w:tc>
        <w:tc>
          <w:tcPr>
            <w:tcW w:type="dxa" w:w="14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116,749</w:t>
            </w:r>
          </w:p>
        </w:tc>
      </w:tr>
      <w:tr>
        <w:tc>
          <w:tcPr>
            <w:tcW w:type="dxa" w:w="2789"/>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start"/>
            </w:pPr>
            <w:r>
              <w:rPr>
                <w:rFonts w:ascii="Arial" w:cs="Arial" w:hAnsi="Arial"/>
                <w:b/>
                <w:bCs/>
                <w:i w:val="false"/>
                <w:color w:val="111A15"/>
                <w:sz w:val="17"/>
                <w:szCs w:val="17"/>
                <w:rtl/>
              </w:rPr>
              <w:t xml:space="preserve">إجمالي المصروفات التشغيلية</w:t>
            </w:r>
          </w:p>
        </w:tc>
        <w:tc>
          <w:tcPr>
            <w:tcW w:type="dxa" w:w="1403"/>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3,285,476</w:t>
            </w:r>
          </w:p>
        </w:tc>
        <w:tc>
          <w:tcPr>
            <w:tcW w:type="dxa" w:w="1410"/>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3,982,076</w:t>
            </w:r>
          </w:p>
        </w:tc>
        <w:tc>
          <w:tcPr>
            <w:tcW w:type="dxa" w:w="1417"/>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4,764,015</w:t>
            </w:r>
          </w:p>
        </w:tc>
        <w:tc>
          <w:tcPr>
            <w:tcW w:type="dxa" w:w="1423"/>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5,355,244</w:t>
            </w:r>
          </w:p>
        </w:tc>
        <w:tc>
          <w:tcPr>
            <w:tcW w:type="dxa" w:w="1424"/>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5,953,186</w:t>
            </w:r>
          </w:p>
        </w:tc>
      </w:tr>
    </w:tbl>
    <w:p>
      <w:pPr>
        <w:bidi/>
        <w:spacing w:after="14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قائمة النشاط المتوقعة</w:t>
      </w:r>
    </w:p>
    <w:p>
      <w:pPr>
        <w:keepNext/>
        <w:bidi/>
        <w:spacing w:after="60" w:before="160" w:line="300"/>
        <w:jc w:val="start"/>
      </w:pPr>
      <w:r>
        <w:rPr>
          <w:rFonts w:ascii="Arial" w:cs="Arial" w:hAnsi="Arial"/>
          <w:b/>
          <w:bCs/>
          <w:i w:val="false"/>
          <w:color w:val="8A6A12"/>
          <w:sz w:val="16"/>
          <w:szCs w:val="16"/>
          <w:rtl/>
        </w:rPr>
        <w:t xml:space="preserve">جدول 29 — قائمة النشاط للسنوات الخمس الأولى (بالريال السعودي)</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0"/>
        <w:gridCol w:w="1499"/>
        <w:gridCol w:w="1466"/>
        <w:gridCol w:w="1474"/>
        <w:gridCol w:w="1483"/>
        <w:gridCol w:w="1484"/>
      </w:tblGrid>
      <w:tr>
        <w:trPr>
          <w:tblHeader/>
        </w:trPr>
        <w:tc>
          <w:tcPr>
            <w:tcW w:type="dxa" w:w="2460"/>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البند</w:t>
            </w:r>
          </w:p>
        </w:tc>
        <w:tc>
          <w:tcPr>
            <w:tcW w:type="dxa" w:w="149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السنة 1</w:t>
            </w:r>
          </w:p>
        </w:tc>
        <w:tc>
          <w:tcPr>
            <w:tcW w:type="dxa" w:w="146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السنة 2</w:t>
            </w:r>
          </w:p>
        </w:tc>
        <w:tc>
          <w:tcPr>
            <w:tcW w:type="dxa" w:w="1474"/>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السنة 3</w:t>
            </w:r>
          </w:p>
        </w:tc>
        <w:tc>
          <w:tcPr>
            <w:tcW w:type="dxa" w:w="1483"/>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السنة 4</w:t>
            </w:r>
          </w:p>
        </w:tc>
        <w:tc>
          <w:tcPr>
            <w:tcW w:type="dxa" w:w="1484"/>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السنة 5</w:t>
            </w:r>
          </w:p>
        </w:tc>
      </w:tr>
      <w:tr>
        <w:tc>
          <w:tcPr>
            <w:tcW w:type="dxa" w:w="24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الإيرادات</w:t>
            </w:r>
          </w:p>
        </w:tc>
        <w:tc>
          <w:tcPr>
            <w:tcW w:type="dxa" w:w="14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4,926,900</w:t>
            </w:r>
          </w:p>
        </w:tc>
        <w:tc>
          <w:tcPr>
            <w:tcW w:type="dxa" w:w="146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7,817,576</w:t>
            </w:r>
          </w:p>
        </w:tc>
        <w:tc>
          <w:tcPr>
            <w:tcW w:type="dxa" w:w="147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10,460,007</w:t>
            </w:r>
          </w:p>
        </w:tc>
        <w:tc>
          <w:tcPr>
            <w:tcW w:type="dxa" w:w="148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12,423,585</w:t>
            </w:r>
          </w:p>
        </w:tc>
        <w:tc>
          <w:tcPr>
            <w:tcW w:type="dxa" w:w="14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14,193,634</w:t>
            </w:r>
          </w:p>
        </w:tc>
      </w:tr>
      <w:tr>
        <w:tc>
          <w:tcPr>
            <w:tcW w:type="dxa" w:w="24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تكلفة المبيعات (مواد خام + أجور تصنيع الأسر)</w:t>
            </w:r>
          </w:p>
        </w:tc>
        <w:tc>
          <w:tcPr>
            <w:tcW w:type="dxa" w:w="14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(2,358,814)</w:t>
            </w:r>
          </w:p>
        </w:tc>
        <w:tc>
          <w:tcPr>
            <w:tcW w:type="dxa" w:w="146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(3,747,263)</w:t>
            </w:r>
          </w:p>
        </w:tc>
        <w:tc>
          <w:tcPr>
            <w:tcW w:type="dxa" w:w="147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(5,024,332)</w:t>
            </w:r>
          </w:p>
        </w:tc>
        <w:tc>
          <w:tcPr>
            <w:tcW w:type="dxa" w:w="148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(5,969,415)</w:t>
            </w:r>
          </w:p>
        </w:tc>
        <w:tc>
          <w:tcPr>
            <w:tcW w:type="dxa" w:w="14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(6,832,345)</w:t>
            </w:r>
          </w:p>
        </w:tc>
      </w:tr>
      <w:tr>
        <w:tc>
          <w:tcPr>
            <w:tcW w:type="dxa" w:w="2460"/>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start"/>
            </w:pPr>
            <w:r>
              <w:rPr>
                <w:rFonts w:ascii="Arial" w:cs="Arial" w:hAnsi="Arial"/>
                <w:b w:val="false"/>
                <w:i w:val="false"/>
                <w:color w:val="111A15"/>
                <w:sz w:val="17"/>
                <w:szCs w:val="17"/>
                <w:rtl/>
              </w:rPr>
              <w:t xml:space="preserve">مجمل الربح</w:t>
            </w:r>
          </w:p>
        </w:tc>
        <w:tc>
          <w:tcPr>
            <w:tcW w:type="dxa" w:w="1499"/>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111A15"/>
                <w:sz w:val="17"/>
                <w:szCs w:val="17"/>
                <w:rtl/>
              </w:rPr>
              <w:t xml:space="preserve">2,568,086</w:t>
            </w:r>
          </w:p>
        </w:tc>
        <w:tc>
          <w:tcPr>
            <w:tcW w:type="dxa" w:w="1466"/>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111A15"/>
                <w:sz w:val="17"/>
                <w:szCs w:val="17"/>
                <w:rtl/>
              </w:rPr>
              <w:t xml:space="preserve">4,070,313</w:t>
            </w:r>
          </w:p>
        </w:tc>
        <w:tc>
          <w:tcPr>
            <w:tcW w:type="dxa" w:w="1474"/>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111A15"/>
                <w:sz w:val="17"/>
                <w:szCs w:val="17"/>
                <w:rtl/>
              </w:rPr>
              <w:t xml:space="preserve">5,435,675</w:t>
            </w:r>
          </w:p>
        </w:tc>
        <w:tc>
          <w:tcPr>
            <w:tcW w:type="dxa" w:w="1483"/>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111A15"/>
                <w:sz w:val="17"/>
                <w:szCs w:val="17"/>
                <w:rtl/>
              </w:rPr>
              <w:t xml:space="preserve">6,454,170</w:t>
            </w:r>
          </w:p>
        </w:tc>
        <w:tc>
          <w:tcPr>
            <w:tcW w:type="dxa" w:w="1484"/>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111A15"/>
                <w:sz w:val="17"/>
                <w:szCs w:val="17"/>
                <w:rtl/>
              </w:rPr>
              <w:t xml:space="preserve">7,361,289</w:t>
            </w:r>
          </w:p>
        </w:tc>
      </w:tr>
      <w:tr>
        <w:tc>
          <w:tcPr>
            <w:tcW w:type="dxa" w:w="24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هامش مجمل الربح</w:t>
            </w:r>
          </w:p>
        </w:tc>
        <w:tc>
          <w:tcPr>
            <w:tcW w:type="dxa" w:w="14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52.1٪</w:t>
            </w:r>
          </w:p>
        </w:tc>
        <w:tc>
          <w:tcPr>
            <w:tcW w:type="dxa" w:w="146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52.1٪</w:t>
            </w:r>
          </w:p>
        </w:tc>
        <w:tc>
          <w:tcPr>
            <w:tcW w:type="dxa" w:w="147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52.0٪</w:t>
            </w:r>
          </w:p>
        </w:tc>
        <w:tc>
          <w:tcPr>
            <w:tcW w:type="dxa" w:w="148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52.0٪</w:t>
            </w:r>
          </w:p>
        </w:tc>
        <w:tc>
          <w:tcPr>
            <w:tcW w:type="dxa" w:w="14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51.9٪</w:t>
            </w:r>
          </w:p>
        </w:tc>
      </w:tr>
      <w:tr>
        <w:tc>
          <w:tcPr>
            <w:tcW w:type="dxa" w:w="24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المصروفات التشغيلية</w:t>
            </w:r>
          </w:p>
        </w:tc>
        <w:tc>
          <w:tcPr>
            <w:tcW w:type="dxa" w:w="14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(3,285,476)</w:t>
            </w:r>
          </w:p>
        </w:tc>
        <w:tc>
          <w:tcPr>
            <w:tcW w:type="dxa" w:w="146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(3,982,076)</w:t>
            </w:r>
          </w:p>
        </w:tc>
        <w:tc>
          <w:tcPr>
            <w:tcW w:type="dxa" w:w="147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(4,764,015)</w:t>
            </w:r>
          </w:p>
        </w:tc>
        <w:tc>
          <w:tcPr>
            <w:tcW w:type="dxa" w:w="148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(5,355,244)</w:t>
            </w:r>
          </w:p>
        </w:tc>
        <w:tc>
          <w:tcPr>
            <w:tcW w:type="dxa" w:w="14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(5,953,186)</w:t>
            </w:r>
          </w:p>
        </w:tc>
      </w:tr>
      <w:tr>
        <w:tc>
          <w:tcPr>
            <w:tcW w:type="dxa" w:w="2460"/>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start"/>
            </w:pPr>
            <w:r>
              <w:rPr>
                <w:rFonts w:ascii="Arial" w:cs="Arial" w:hAnsi="Arial"/>
                <w:b w:val="false"/>
                <w:i w:val="false"/>
                <w:color w:val="111A15"/>
                <w:sz w:val="17"/>
                <w:szCs w:val="17"/>
                <w:rtl/>
              </w:rPr>
              <w:t xml:space="preserve">الفائض التشغيلي قبل الإهلاك</w:t>
            </w:r>
          </w:p>
        </w:tc>
        <w:tc>
          <w:tcPr>
            <w:tcW w:type="dxa" w:w="1499"/>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(717,390)</w:t>
            </w:r>
          </w:p>
        </w:tc>
        <w:tc>
          <w:tcPr>
            <w:tcW w:type="dxa" w:w="1466"/>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88,237</w:t>
            </w:r>
          </w:p>
        </w:tc>
        <w:tc>
          <w:tcPr>
            <w:tcW w:type="dxa" w:w="1474"/>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671,660</w:t>
            </w:r>
          </w:p>
        </w:tc>
        <w:tc>
          <w:tcPr>
            <w:tcW w:type="dxa" w:w="1483"/>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1,098,925</w:t>
            </w:r>
          </w:p>
        </w:tc>
        <w:tc>
          <w:tcPr>
            <w:tcW w:type="dxa" w:w="1484"/>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1,408,104</w:t>
            </w:r>
          </w:p>
        </w:tc>
      </w:tr>
      <w:tr>
        <w:tc>
          <w:tcPr>
            <w:tcW w:type="dxa" w:w="24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الإهلاك والإطفاء</w:t>
            </w:r>
          </w:p>
        </w:tc>
        <w:tc>
          <w:tcPr>
            <w:tcW w:type="dxa" w:w="14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(749,708)</w:t>
            </w:r>
          </w:p>
        </w:tc>
        <w:tc>
          <w:tcPr>
            <w:tcW w:type="dxa" w:w="146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(749,708)</w:t>
            </w:r>
          </w:p>
        </w:tc>
        <w:tc>
          <w:tcPr>
            <w:tcW w:type="dxa" w:w="147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(749,708)</w:t>
            </w:r>
          </w:p>
        </w:tc>
        <w:tc>
          <w:tcPr>
            <w:tcW w:type="dxa" w:w="148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(749,708)</w:t>
            </w:r>
          </w:p>
        </w:tc>
        <w:tc>
          <w:tcPr>
            <w:tcW w:type="dxa" w:w="14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(749,708)</w:t>
            </w:r>
          </w:p>
        </w:tc>
      </w:tr>
      <w:tr>
        <w:tc>
          <w:tcPr>
            <w:tcW w:type="dxa" w:w="2460"/>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start"/>
            </w:pPr>
            <w:r>
              <w:rPr>
                <w:rFonts w:ascii="Arial" w:cs="Arial" w:hAnsi="Arial"/>
                <w:b/>
                <w:bCs/>
                <w:i w:val="false"/>
                <w:color w:val="111A15"/>
                <w:sz w:val="17"/>
                <w:szCs w:val="17"/>
                <w:rtl/>
              </w:rPr>
              <w:t xml:space="preserve">صافي الفائض (العجز)</w:t>
            </w:r>
          </w:p>
        </w:tc>
        <w:tc>
          <w:tcPr>
            <w:tcW w:type="dxa" w:w="1499"/>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A52626"/>
                <w:sz w:val="17"/>
                <w:szCs w:val="17"/>
                <w:rtl/>
              </w:rPr>
              <w:t xml:space="preserve">(1,467,098)</w:t>
            </w:r>
          </w:p>
        </w:tc>
        <w:tc>
          <w:tcPr>
            <w:tcW w:type="dxa" w:w="1466"/>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A52626"/>
                <w:sz w:val="17"/>
                <w:szCs w:val="17"/>
                <w:rtl/>
              </w:rPr>
              <w:t xml:space="preserve">(661,471)</w:t>
            </w:r>
          </w:p>
        </w:tc>
        <w:tc>
          <w:tcPr>
            <w:tcW w:type="dxa" w:w="1474"/>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A52626"/>
                <w:sz w:val="17"/>
                <w:szCs w:val="17"/>
                <w:rtl/>
              </w:rPr>
              <w:t xml:space="preserve">(78,049)</w:t>
            </w:r>
          </w:p>
        </w:tc>
        <w:tc>
          <w:tcPr>
            <w:tcW w:type="dxa" w:w="1483"/>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006300"/>
                <w:sz w:val="17"/>
                <w:szCs w:val="17"/>
                <w:rtl/>
              </w:rPr>
              <w:t xml:space="preserve">349,217</w:t>
            </w:r>
          </w:p>
        </w:tc>
        <w:tc>
          <w:tcPr>
            <w:tcW w:type="dxa" w:w="1484"/>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006300"/>
                <w:sz w:val="17"/>
                <w:szCs w:val="17"/>
                <w:rtl/>
              </w:rPr>
              <w:t xml:space="preserve">658,396</w:t>
            </w:r>
          </w:p>
        </w:tc>
      </w:tr>
      <w:tr>
        <w:tc>
          <w:tcPr>
            <w:tcW w:type="dxa" w:w="24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الاكتفاء التشغيلي الذاتي</w:t>
            </w:r>
          </w:p>
        </w:tc>
        <w:tc>
          <w:tcPr>
            <w:tcW w:type="dxa" w:w="14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87٪</w:t>
            </w:r>
          </w:p>
        </w:tc>
        <w:tc>
          <w:tcPr>
            <w:tcW w:type="dxa" w:w="146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101٪</w:t>
            </w:r>
          </w:p>
        </w:tc>
        <w:tc>
          <w:tcPr>
            <w:tcW w:type="dxa" w:w="147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107٪</w:t>
            </w:r>
          </w:p>
        </w:tc>
        <w:tc>
          <w:tcPr>
            <w:tcW w:type="dxa" w:w="148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110٪</w:t>
            </w:r>
          </w:p>
        </w:tc>
        <w:tc>
          <w:tcPr>
            <w:tcW w:type="dxa" w:w="14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111٪</w:t>
            </w:r>
          </w:p>
        </w:tc>
      </w:tr>
      <w:tr>
        <w:tc>
          <w:tcPr>
            <w:tcW w:type="dxa" w:w="24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الإشغال من الطاقة التصميمية</w:t>
            </w:r>
          </w:p>
        </w:tc>
        <w:tc>
          <w:tcPr>
            <w:tcW w:type="dxa" w:w="14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31.1٪</w:t>
            </w:r>
          </w:p>
        </w:tc>
        <w:tc>
          <w:tcPr>
            <w:tcW w:type="dxa" w:w="146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47.9٪</w:t>
            </w:r>
          </w:p>
        </w:tc>
        <w:tc>
          <w:tcPr>
            <w:tcW w:type="dxa" w:w="147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62.2٪</w:t>
            </w:r>
          </w:p>
        </w:tc>
        <w:tc>
          <w:tcPr>
            <w:tcW w:type="dxa" w:w="148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71.7٪</w:t>
            </w:r>
          </w:p>
        </w:tc>
        <w:tc>
          <w:tcPr>
            <w:tcW w:type="dxa" w:w="14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79.5٪</w:t>
            </w:r>
          </w:p>
        </w:tc>
      </w:tr>
      <w:tr>
        <w:tc>
          <w:tcPr>
            <w:tcW w:type="dxa" w:w="246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عدد الوظائف المباشرة</w:t>
            </w:r>
          </w:p>
        </w:tc>
        <w:tc>
          <w:tcPr>
            <w:tcW w:type="dxa" w:w="14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17</w:t>
            </w:r>
          </w:p>
        </w:tc>
        <w:tc>
          <w:tcPr>
            <w:tcW w:type="dxa" w:w="146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22</w:t>
            </w:r>
          </w:p>
        </w:tc>
        <w:tc>
          <w:tcPr>
            <w:tcW w:type="dxa" w:w="147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26</w:t>
            </w:r>
          </w:p>
        </w:tc>
        <w:tc>
          <w:tcPr>
            <w:tcW w:type="dxa" w:w="148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29</w:t>
            </w:r>
          </w:p>
        </w:tc>
        <w:tc>
          <w:tcPr>
            <w:tcW w:type="dxa" w:w="148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32</w:t>
            </w:r>
          </w:p>
        </w:tc>
      </w:tr>
    </w:tbl>
    <w:p>
      <w:pPr>
        <w:bidi/>
        <w:spacing w:after="140" w:before="0" w:line="300"/>
        <w:jc w:val="both"/>
      </w:pPr>
      <w:r>
        <w:rPr>
          <w:rFonts w:ascii="Arial" w:cs="Arial" w:hAnsi="Arial"/>
          <w:b w:val="false"/>
          <w:i w:val="false"/>
          <w:color w:val="48534C"/>
          <w:sz w:val="8"/>
          <w:szCs w:val="8"/>
          <w:rtl/>
        </w:rPr>
        <w:t xml:space="preserve"/>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c>
          <w:tcPr>
            <w:tcW w:type="dxa" w:w="9866"/>
            <w:tcBorders>
              <w:top w:val="single" w:color="DBE2DB" w:sz="4"/>
              <w:left w:val="single" w:color="DBE2DB" w:sz="4"/>
              <w:bottom w:val="single" w:color="DBE2DB" w:sz="4"/>
              <w:right w:val="single" w:color="0E5A49" w:sz="22"/>
            </w:tcBorders>
            <w:shd w:fill="FBFCFA" w:color="auto" w:val="clear"/>
            <w:tcMar>
              <w:top w:type="dxa" w:w="120"/>
              <w:left w:type="dxa" w:w="160"/>
              <w:bottom w:type="dxa" w:w="120"/>
              <w:right w:type="dxa" w:w="160"/>
            </w:tcMar>
          </w:tcPr>
          <w:p>
            <w:pPr>
              <w:bidi/>
              <w:spacing w:after="80" w:before="40" w:line="280"/>
              <w:jc w:val="start"/>
            </w:pPr>
            <w:r>
              <w:rPr>
                <w:rFonts w:ascii="Arial" w:cs="Arial" w:hAnsi="Arial"/>
                <w:b/>
                <w:bCs/>
                <w:i w:val="false"/>
                <w:color w:val="0E5A49"/>
                <w:sz w:val="19"/>
                <w:szCs w:val="19"/>
                <w:rtl/>
              </w:rPr>
              <w:t xml:space="preserve">كيف تُقرأ هذه القائمة قراءة صحيحة</w:t>
            </w:r>
          </w:p>
          <w:p>
            <w:pPr>
              <w:bidi/>
              <w:spacing w:after="80" w:line="290"/>
              <w:jc w:val="both"/>
            </w:pPr>
            <w:r>
              <w:rPr>
                <w:rFonts w:ascii="Arial" w:cs="Arial" w:hAnsi="Arial"/>
                <w:b w:val="false"/>
                <w:i w:val="false"/>
                <w:color w:val="48534C"/>
                <w:sz w:val="18"/>
                <w:szCs w:val="18"/>
                <w:rtl/>
              </w:rPr>
              <w:t xml:space="preserve">السطر الحاسم ليس «صافي الفائض» بل </w:t>
            </w:r>
            <w:r>
              <w:rPr>
                <w:rFonts w:ascii="Arial" w:cs="Arial" w:hAnsi="Arial"/>
                <w:b/>
                <w:bCs/>
                <w:i w:val="false"/>
                <w:color w:val="48534C"/>
                <w:sz w:val="18"/>
                <w:szCs w:val="18"/>
                <w:rtl/>
              </w:rPr>
              <w:t xml:space="preserve">«الفائض التشغيلي قبل الإهلاك»</w:t>
            </w:r>
            <w:r>
              <w:rPr>
                <w:rFonts w:ascii="Arial" w:cs="Arial" w:hAnsi="Arial"/>
                <w:b w:val="false"/>
                <w:i w:val="false"/>
                <w:color w:val="48534C"/>
                <w:sz w:val="18"/>
                <w:szCs w:val="18"/>
                <w:rtl/>
              </w:rPr>
              <w:t xml:space="preserve">. والسبب أن الأصل الرأسمالي مموَّل بمنحة غير مستردة، فلا يقابل عبء الإهلاك أي التزام سداد نقدي. ومن ثم فإن السؤال العملي — هل يغطي المشروع مصروفاته النقدية من إيراداته؟ — تجيب عنه هذه القائمة بـ </w:t>
            </w:r>
            <w:r>
              <w:rPr>
                <w:rFonts w:ascii="Arial" w:cs="Arial" w:hAnsi="Arial"/>
                <w:b/>
                <w:bCs/>
                <w:i w:val="false"/>
                <w:color w:val="48534C"/>
                <w:sz w:val="18"/>
                <w:szCs w:val="18"/>
                <w:rtl/>
              </w:rPr>
              <w:t xml:space="preserve">نعم اعتبارًا من السنة الثانية</w:t>
            </w:r>
            <w:r>
              <w:rPr>
                <w:rFonts w:ascii="Arial" w:cs="Arial" w:hAnsi="Arial"/>
                <w:b w:val="false"/>
                <w:i w:val="false"/>
                <w:color w:val="48534C"/>
                <w:sz w:val="18"/>
                <w:szCs w:val="18"/>
                <w:rtl/>
              </w:rPr>
              <w:t xml:space="preserve">.</w:t>
            </w:r>
          </w:p>
          <w:p>
            <w:pPr>
              <w:bidi/>
              <w:spacing w:after="80" w:line="290"/>
              <w:jc w:val="both"/>
            </w:pPr>
            <w:r>
              <w:rPr>
                <w:rFonts w:ascii="Arial" w:cs="Arial" w:hAnsi="Arial"/>
                <w:b w:val="false"/>
                <w:i w:val="false"/>
                <w:color w:val="48534C"/>
                <w:sz w:val="18"/>
                <w:szCs w:val="18"/>
                <w:rtl/>
              </w:rPr>
              <w:t xml:space="preserve">ومع ذلك، لم تُهمَل الدراسةُ الإهلاكَ ولم تُخفِه، لسببين: أنه يعكس استهلاكًا حقيقيًا للأصل يجب تمويل إحلاله يومًا ما، وأن إخفاءه ممارسة محاسبية مضللة. ولذلك يُخصَّص من الفائض اعتبارًا من السنة الرابعة </w:t>
            </w:r>
            <w:r>
              <w:rPr>
                <w:rFonts w:ascii="Arial" w:cs="Arial" w:hAnsi="Arial"/>
                <w:b/>
                <w:bCs/>
                <w:i w:val="false"/>
                <w:color w:val="48534C"/>
                <w:sz w:val="18"/>
                <w:szCs w:val="18"/>
                <w:rtl/>
              </w:rPr>
              <w:t xml:space="preserve">احتياطي إحلال الأصول</w:t>
            </w:r>
            <w:r>
              <w:rPr>
                <w:rFonts w:ascii="Arial" w:cs="Arial" w:hAnsi="Arial"/>
                <w:b w:val="false"/>
                <w:i w:val="false"/>
                <w:color w:val="48534C"/>
                <w:sz w:val="18"/>
                <w:szCs w:val="18"/>
                <w:rtl/>
              </w:rPr>
              <w:t xml:space="preserve"> بواقع 35٪ من الفائض السنوي، بحيث يتحقق التعافي الكامل للتكلفة دون العودة إلى المانح.</w:t>
            </w:r>
          </w:p>
        </w:tc>
      </w:tr>
    </w:tbl>
    <w:p>
      <w:pPr>
        <w:bidi/>
        <w:spacing w:after="16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التدفقات النقدية</w:t>
      </w:r>
    </w:p>
    <w:p>
      <w:pPr>
        <w:keepNext/>
        <w:bidi/>
        <w:spacing w:after="60" w:before="160" w:line="300"/>
        <w:jc w:val="start"/>
      </w:pPr>
      <w:r>
        <w:rPr>
          <w:rFonts w:ascii="Arial" w:cs="Arial" w:hAnsi="Arial"/>
          <w:b/>
          <w:bCs/>
          <w:i w:val="false"/>
          <w:color w:val="8A6A12"/>
          <w:sz w:val="16"/>
          <w:szCs w:val="16"/>
          <w:rtl/>
        </w:rPr>
        <w:t xml:space="preserve">جدول 30 — التدفقات النقدية الحرة على أفق عشر سنوات (بالريال السعودي)</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2"/>
        <w:gridCol w:w="1628"/>
        <w:gridCol w:w="1726"/>
        <w:gridCol w:w="1480"/>
        <w:gridCol w:w="1704"/>
        <w:gridCol w:w="1806"/>
      </w:tblGrid>
      <w:tr>
        <w:trPr>
          <w:tblHeader/>
        </w:trPr>
        <w:tc>
          <w:tcPr>
            <w:tcW w:type="dxa" w:w="1522"/>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السنة</w:t>
            </w:r>
          </w:p>
        </w:tc>
        <w:tc>
          <w:tcPr>
            <w:tcW w:type="dxa" w:w="1628"/>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الفائض قبل الإهلاك</w:t>
            </w:r>
          </w:p>
        </w:tc>
        <w:tc>
          <w:tcPr>
            <w:tcW w:type="dxa" w:w="172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التغير في رأس المال العامل</w:t>
            </w:r>
          </w:p>
        </w:tc>
        <w:tc>
          <w:tcPr>
            <w:tcW w:type="dxa" w:w="1480"/>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الإحلال الرأسمالي</w:t>
            </w:r>
          </w:p>
        </w:tc>
        <w:tc>
          <w:tcPr>
            <w:tcW w:type="dxa" w:w="1704"/>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التدفق النقدي الحر</w:t>
            </w:r>
          </w:p>
        </w:tc>
        <w:tc>
          <w:tcPr>
            <w:tcW w:type="dxa" w:w="180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التدفق التراكمي</w:t>
            </w:r>
          </w:p>
        </w:tc>
      </w:tr>
      <w:tr>
        <w:tc>
          <w:tcPr>
            <w:tcW w:type="dxa" w:w="152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التأسيس (سنة 0)</w:t>
            </w:r>
          </w:p>
        </w:tc>
        <w:tc>
          <w:tcPr>
            <w:tcW w:type="dxa" w:w="162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7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(749,250)</w:t>
            </w:r>
          </w:p>
        </w:tc>
        <w:tc>
          <w:tcPr>
            <w:tcW w:type="dxa" w:w="14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(6,750,750)</w:t>
            </w:r>
          </w:p>
        </w:tc>
        <w:tc>
          <w:tcPr>
            <w:tcW w:type="dxa" w:w="170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(7,500,000)</w:t>
            </w:r>
          </w:p>
        </w:tc>
        <w:tc>
          <w:tcPr>
            <w:tcW w:type="dxa" w:w="18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(7,500,000)</w:t>
            </w:r>
          </w:p>
        </w:tc>
      </w:tr>
      <w:tr>
        <w:tc>
          <w:tcPr>
            <w:tcW w:type="dxa" w:w="152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السنة 1</w:t>
            </w:r>
          </w:p>
        </w:tc>
        <w:tc>
          <w:tcPr>
            <w:tcW w:type="dxa" w:w="162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(717,390)</w:t>
            </w:r>
          </w:p>
        </w:tc>
        <w:tc>
          <w:tcPr>
            <w:tcW w:type="dxa" w:w="17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478,271</w:t>
            </w:r>
          </w:p>
        </w:tc>
        <w:tc>
          <w:tcPr>
            <w:tcW w:type="dxa" w:w="14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70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(239,119)</w:t>
            </w:r>
          </w:p>
        </w:tc>
        <w:tc>
          <w:tcPr>
            <w:tcW w:type="dxa" w:w="18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(7,739,119)</w:t>
            </w:r>
          </w:p>
        </w:tc>
      </w:tr>
      <w:tr>
        <w:tc>
          <w:tcPr>
            <w:tcW w:type="dxa" w:w="152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السنة 2</w:t>
            </w:r>
          </w:p>
        </w:tc>
        <w:tc>
          <w:tcPr>
            <w:tcW w:type="dxa" w:w="162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88,237</w:t>
            </w:r>
          </w:p>
        </w:tc>
        <w:tc>
          <w:tcPr>
            <w:tcW w:type="dxa" w:w="17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(158,987)</w:t>
            </w:r>
          </w:p>
        </w:tc>
        <w:tc>
          <w:tcPr>
            <w:tcW w:type="dxa" w:w="14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70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(70,750)</w:t>
            </w:r>
          </w:p>
        </w:tc>
        <w:tc>
          <w:tcPr>
            <w:tcW w:type="dxa" w:w="18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(7,809,869)</w:t>
            </w:r>
          </w:p>
        </w:tc>
      </w:tr>
      <w:tr>
        <w:tc>
          <w:tcPr>
            <w:tcW w:type="dxa" w:w="152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السنة 3</w:t>
            </w:r>
          </w:p>
        </w:tc>
        <w:tc>
          <w:tcPr>
            <w:tcW w:type="dxa" w:w="162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671,660</w:t>
            </w:r>
          </w:p>
        </w:tc>
        <w:tc>
          <w:tcPr>
            <w:tcW w:type="dxa" w:w="17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(145,334)</w:t>
            </w:r>
          </w:p>
        </w:tc>
        <w:tc>
          <w:tcPr>
            <w:tcW w:type="dxa" w:w="14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70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526,326</w:t>
            </w:r>
          </w:p>
        </w:tc>
        <w:tc>
          <w:tcPr>
            <w:tcW w:type="dxa" w:w="18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(7,283,543)</w:t>
            </w:r>
          </w:p>
        </w:tc>
      </w:tr>
      <w:tr>
        <w:tc>
          <w:tcPr>
            <w:tcW w:type="dxa" w:w="152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السنة 4</w:t>
            </w:r>
          </w:p>
        </w:tc>
        <w:tc>
          <w:tcPr>
            <w:tcW w:type="dxa" w:w="162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1,098,925</w:t>
            </w:r>
          </w:p>
        </w:tc>
        <w:tc>
          <w:tcPr>
            <w:tcW w:type="dxa" w:w="17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(107,997)</w:t>
            </w:r>
          </w:p>
        </w:tc>
        <w:tc>
          <w:tcPr>
            <w:tcW w:type="dxa" w:w="14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70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990,928</w:t>
            </w:r>
          </w:p>
        </w:tc>
        <w:tc>
          <w:tcPr>
            <w:tcW w:type="dxa" w:w="18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(6,292,614)</w:t>
            </w:r>
          </w:p>
        </w:tc>
      </w:tr>
      <w:tr>
        <w:tc>
          <w:tcPr>
            <w:tcW w:type="dxa" w:w="152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السنة 5</w:t>
            </w:r>
          </w:p>
        </w:tc>
        <w:tc>
          <w:tcPr>
            <w:tcW w:type="dxa" w:w="162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1,408,104</w:t>
            </w:r>
          </w:p>
        </w:tc>
        <w:tc>
          <w:tcPr>
            <w:tcW w:type="dxa" w:w="17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(97,353)</w:t>
            </w:r>
          </w:p>
        </w:tc>
        <w:tc>
          <w:tcPr>
            <w:tcW w:type="dxa" w:w="14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(128,025)</w:t>
            </w:r>
          </w:p>
        </w:tc>
        <w:tc>
          <w:tcPr>
            <w:tcW w:type="dxa" w:w="170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1,182,726</w:t>
            </w:r>
          </w:p>
        </w:tc>
        <w:tc>
          <w:tcPr>
            <w:tcW w:type="dxa" w:w="18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(5,109,888)</w:t>
            </w:r>
          </w:p>
        </w:tc>
      </w:tr>
      <w:tr>
        <w:tc>
          <w:tcPr>
            <w:tcW w:type="dxa" w:w="152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السنة 6</w:t>
            </w:r>
          </w:p>
        </w:tc>
        <w:tc>
          <w:tcPr>
            <w:tcW w:type="dxa" w:w="162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1,496,264</w:t>
            </w:r>
          </w:p>
        </w:tc>
        <w:tc>
          <w:tcPr>
            <w:tcW w:type="dxa" w:w="17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(36,957)</w:t>
            </w:r>
          </w:p>
        </w:tc>
        <w:tc>
          <w:tcPr>
            <w:tcW w:type="dxa" w:w="14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(131,841)</w:t>
            </w:r>
          </w:p>
        </w:tc>
        <w:tc>
          <w:tcPr>
            <w:tcW w:type="dxa" w:w="170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1,327,466</w:t>
            </w:r>
          </w:p>
        </w:tc>
        <w:tc>
          <w:tcPr>
            <w:tcW w:type="dxa" w:w="18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(3,782,422)</w:t>
            </w:r>
          </w:p>
        </w:tc>
      </w:tr>
      <w:tr>
        <w:tc>
          <w:tcPr>
            <w:tcW w:type="dxa" w:w="152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السنة 7</w:t>
            </w:r>
          </w:p>
        </w:tc>
        <w:tc>
          <w:tcPr>
            <w:tcW w:type="dxa" w:w="162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1,597,022</w:t>
            </w:r>
          </w:p>
        </w:tc>
        <w:tc>
          <w:tcPr>
            <w:tcW w:type="dxa" w:w="17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(39,327)</w:t>
            </w:r>
          </w:p>
        </w:tc>
        <w:tc>
          <w:tcPr>
            <w:tcW w:type="dxa" w:w="14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(135,797)</w:t>
            </w:r>
          </w:p>
        </w:tc>
        <w:tc>
          <w:tcPr>
            <w:tcW w:type="dxa" w:w="170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1,421,897</w:t>
            </w:r>
          </w:p>
        </w:tc>
        <w:tc>
          <w:tcPr>
            <w:tcW w:type="dxa" w:w="18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(2,360,525)</w:t>
            </w:r>
          </w:p>
        </w:tc>
      </w:tr>
      <w:tr>
        <w:tc>
          <w:tcPr>
            <w:tcW w:type="dxa" w:w="152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السنة 8</w:t>
            </w:r>
          </w:p>
        </w:tc>
        <w:tc>
          <w:tcPr>
            <w:tcW w:type="dxa" w:w="162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1,697,990</w:t>
            </w:r>
          </w:p>
        </w:tc>
        <w:tc>
          <w:tcPr>
            <w:tcW w:type="dxa" w:w="17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(41,609)</w:t>
            </w:r>
          </w:p>
        </w:tc>
        <w:tc>
          <w:tcPr>
            <w:tcW w:type="dxa" w:w="14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(139,871)</w:t>
            </w:r>
          </w:p>
        </w:tc>
        <w:tc>
          <w:tcPr>
            <w:tcW w:type="dxa" w:w="170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1,517,513</w:t>
            </w:r>
          </w:p>
        </w:tc>
        <w:tc>
          <w:tcPr>
            <w:tcW w:type="dxa" w:w="18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(843,012)</w:t>
            </w:r>
          </w:p>
        </w:tc>
      </w:tr>
      <w:tr>
        <w:tc>
          <w:tcPr>
            <w:tcW w:type="dxa" w:w="152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السنة 9</w:t>
            </w:r>
          </w:p>
        </w:tc>
        <w:tc>
          <w:tcPr>
            <w:tcW w:type="dxa" w:w="162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1,801,651</w:t>
            </w:r>
          </w:p>
        </w:tc>
        <w:tc>
          <w:tcPr>
            <w:tcW w:type="dxa" w:w="17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(42,216)</w:t>
            </w:r>
          </w:p>
        </w:tc>
        <w:tc>
          <w:tcPr>
            <w:tcW w:type="dxa" w:w="14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(144,067)</w:t>
            </w:r>
          </w:p>
        </w:tc>
        <w:tc>
          <w:tcPr>
            <w:tcW w:type="dxa" w:w="170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1,615,368</w:t>
            </w:r>
          </w:p>
        </w:tc>
        <w:tc>
          <w:tcPr>
            <w:tcW w:type="dxa" w:w="18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772,356</w:t>
            </w:r>
          </w:p>
        </w:tc>
      </w:tr>
      <w:tr>
        <w:tc>
          <w:tcPr>
            <w:tcW w:type="dxa" w:w="152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السنة 10</w:t>
            </w:r>
          </w:p>
        </w:tc>
        <w:tc>
          <w:tcPr>
            <w:tcW w:type="dxa" w:w="162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1,911,371</w:t>
            </w:r>
          </w:p>
        </w:tc>
        <w:tc>
          <w:tcPr>
            <w:tcW w:type="dxa" w:w="172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(44,255)</w:t>
            </w:r>
          </w:p>
        </w:tc>
        <w:tc>
          <w:tcPr>
            <w:tcW w:type="dxa" w:w="14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(148,389)</w:t>
            </w:r>
          </w:p>
        </w:tc>
        <w:tc>
          <w:tcPr>
            <w:tcW w:type="dxa" w:w="170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1,718,728</w:t>
            </w:r>
          </w:p>
        </w:tc>
        <w:tc>
          <w:tcPr>
            <w:tcW w:type="dxa" w:w="180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2,491,084</w:t>
            </w:r>
          </w:p>
        </w:tc>
      </w:tr>
    </w:tbl>
    <w:p>
      <w:pPr>
        <w:bidi/>
        <w:spacing w:after="140" w:before="0" w:line="300"/>
        <w:jc w:val="both"/>
      </w:pPr>
      <w:r>
        <w:rPr>
          <w:rFonts w:ascii="Arial" w:cs="Arial" w:hAnsi="Arial"/>
          <w:b w:val="false"/>
          <w:i w:val="false"/>
          <w:color w:val="48534C"/>
          <w:sz w:val="8"/>
          <w:szCs w:val="8"/>
          <w:rtl/>
        </w:rPr>
        <w:t xml:space="preserve"/>
      </w:r>
    </w:p>
    <w:p>
      <w:pPr>
        <w:keepNext/>
        <w:bidi/>
        <w:spacing w:after="100" w:before="200" w:line="300"/>
        <w:jc w:val="start"/>
      </w:pPr>
      <w:r>
        <w:rPr>
          <w:rFonts w:ascii="Arial" w:cs="Arial" w:hAnsi="Arial"/>
          <w:b/>
          <w:bCs/>
          <w:i w:val="false"/>
          <w:color w:val="8A6A12"/>
          <w:sz w:val="16"/>
          <w:szCs w:val="16"/>
          <w:rtl/>
        </w:rPr>
        <w:t xml:space="preserve">شكل 16  </w:t>
      </w:r>
      <w:r>
        <w:rPr>
          <w:rFonts w:ascii="Arial" w:cs="Arial" w:hAnsi="Arial"/>
          <w:b/>
          <w:bCs/>
          <w:i w:val="false"/>
          <w:color w:val="111A15"/>
          <w:sz w:val="18"/>
          <w:szCs w:val="18"/>
          <w:rtl/>
        </w:rPr>
        <w:t xml:space="preserve">مسار التدفق النقدي التراكمي ونقطة استرداد رأس المال</w:t>
      </w:r>
    </w:p>
    <w:p>
      <w:pPr>
        <w:keepNext/>
        <w:bidi/>
        <w:spacing w:after="80"/>
        <w:jc w:val="center"/>
      </w:pPr>
      <w:r>
        <w:drawing>
          <wp:inline distT="0" distB="0" distL="0" distR="0">
            <wp:extent cx="623887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238875" cy="3257550"/>
                    </a:xfrm>
                    <a:prstGeom prst="rect">
                      <a:avLst/>
                    </a:prstGeom>
                  </pic:spPr>
                </pic:pic>
              </a:graphicData>
            </a:graphic>
          </wp:inline>
        </w:drawing>
      </w:r>
    </w:p>
    <w:p>
      <w:pPr>
        <w:bidi/>
        <w:spacing w:after="200" w:before="0" w:line="300"/>
        <w:jc w:val="both"/>
      </w:pPr>
      <w:r>
        <w:rPr>
          <w:rFonts w:ascii="Arial" w:cs="Arial" w:hAnsi="Arial"/>
          <w:b w:val="false"/>
          <w:i w:val="false"/>
          <w:color w:val="77817A"/>
          <w:sz w:val="16"/>
          <w:szCs w:val="16"/>
          <w:rtl/>
        </w:rPr>
        <w:t xml:space="preserve">يبلغ التدفق التراكمي قاعه في السنة الثانية (−7.81 مليون) ثم يبدأ الصعود. ونقطة التعادل النقدي عند السنة 8.5 — وهي فترة طويلة بمعايير الاستثمار التجاري، ومقبولة تمامًا بمعايير الأصول التنموية التي يمتد عمرها الإنتاجي إلى ما بعد العشرين سنة.</w:t>
      </w:r>
    </w:p>
    <w:p>
      <w:pPr>
        <w:pStyle w:val="Heading2"/>
        <w:keepNext/>
        <w:bidi/>
        <w:spacing w:after="120" w:before="300" w:line="300"/>
        <w:jc w:val="start"/>
        <w:outlineLvl w:val="1"/>
      </w:pPr>
      <w:r>
        <w:rPr>
          <w:rFonts w:ascii="Arial" w:cs="Arial" w:hAnsi="Arial"/>
          <w:b/>
          <w:bCs/>
          <w:i w:val="false"/>
          <w:color w:val="0E5A49"/>
          <w:sz w:val="24"/>
          <w:szCs w:val="24"/>
          <w:rtl/>
        </w:rPr>
        <w:t xml:space="preserve">نقطة التعادل</w:t>
      </w:r>
    </w:p>
    <w:p>
      <w:pPr>
        <w:keepNext/>
        <w:bidi/>
        <w:spacing w:after="100" w:before="200" w:line="300"/>
        <w:jc w:val="start"/>
      </w:pPr>
      <w:r>
        <w:rPr>
          <w:rFonts w:ascii="Arial" w:cs="Arial" w:hAnsi="Arial"/>
          <w:b/>
          <w:bCs/>
          <w:i w:val="false"/>
          <w:color w:val="8A6A12"/>
          <w:sz w:val="16"/>
          <w:szCs w:val="16"/>
          <w:rtl/>
        </w:rPr>
        <w:t xml:space="preserve">شكل 17  </w:t>
      </w:r>
      <w:r>
        <w:rPr>
          <w:rFonts w:ascii="Arial" w:cs="Arial" w:hAnsi="Arial"/>
          <w:b/>
          <w:bCs/>
          <w:i w:val="false"/>
          <w:color w:val="111A15"/>
          <w:sz w:val="18"/>
          <w:szCs w:val="18"/>
          <w:rtl/>
        </w:rPr>
        <w:t xml:space="preserve">تحليل نقطة التعادل على أساس السنة الثالثة</w:t>
      </w:r>
    </w:p>
    <w:p>
      <w:pPr>
        <w:keepNext/>
        <w:bidi/>
        <w:spacing w:after="80"/>
        <w:jc w:val="center"/>
      </w:pPr>
      <w:r>
        <w:drawing>
          <wp:inline distT="0" distB="0" distL="0" distR="0">
            <wp:extent cx="623887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238875" cy="3457575"/>
                    </a:xfrm>
                    <a:prstGeom prst="rect">
                      <a:avLst/>
                    </a:prstGeom>
                  </pic:spPr>
                </pic:pic>
              </a:graphicData>
            </a:graphic>
          </wp:inline>
        </w:drawing>
      </w:r>
    </w:p>
    <w:p>
      <w:pPr>
        <w:bidi/>
        <w:spacing w:after="200" w:before="0" w:line="300"/>
        <w:jc w:val="both"/>
      </w:pPr>
      <w:r>
        <w:rPr>
          <w:rFonts w:ascii="Arial" w:cs="Arial" w:hAnsi="Arial"/>
          <w:b w:val="false"/>
          <w:i w:val="false"/>
          <w:color w:val="77817A"/>
          <w:sz w:val="16"/>
          <w:szCs w:val="16"/>
          <w:rtl/>
        </w:rPr>
        <w:t xml:space="preserve">تقع نقطة التعادل عند إيراد سنوي قدره 10.64 مليون ريال، أي عند تشغيل 63٪ من الطاقة التصميمية. والمشروع يبلغ 62.2٪ في السنة الثالثة و71.7٪ في الرابعة — وهو ما يفسّر تمامًا لماذا يتحوّل صافي الفائض من سالب إلى موجب بين هاتين السنتين.</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88"/>
        <w:gridCol w:w="3288"/>
        <w:gridCol w:w="3290"/>
      </w:tblGrid>
      <w:tr>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val="false"/>
                <w:i w:val="false"/>
                <w:color w:val="77817A"/>
                <w:sz w:val="15"/>
                <w:szCs w:val="15"/>
                <w:rtl/>
              </w:rPr>
              <w:t xml:space="preserve">إيراد التعادل السنوي</w:t>
            </w:r>
          </w:p>
          <w:p>
            <w:pPr>
              <w:bidi/>
              <w:spacing w:after="60" w:line="270"/>
              <w:jc w:val="start"/>
            </w:pPr>
            <w:r>
              <w:rPr>
                <w:rFonts w:ascii="Arial" w:cs="Arial" w:hAnsi="Arial"/>
                <w:b/>
                <w:bCs/>
                <w:i w:val="false"/>
                <w:color w:val="0E5A49"/>
                <w:sz w:val="26"/>
                <w:szCs w:val="26"/>
                <w:rtl/>
              </w:rPr>
              <w:t xml:space="preserve">10.64 م ر.س</w:t>
            </w:r>
          </w:p>
          <w:p>
            <w:pPr>
              <w:bidi/>
              <w:spacing w:after="0" w:line="270"/>
              <w:jc w:val="start"/>
            </w:pPr>
            <w:r>
              <w:rPr>
                <w:rFonts w:ascii="Arial" w:cs="Arial" w:hAnsi="Arial"/>
                <w:b w:val="false"/>
                <w:i w:val="false"/>
                <w:color w:val="77817A"/>
                <w:sz w:val="15"/>
                <w:szCs w:val="15"/>
                <w:rtl/>
              </w:rPr>
              <w:t xml:space="preserve">شامل الإهلاك والتكاليف الثابتة كافة</w:t>
            </w:r>
          </w:p>
        </w:tc>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val="false"/>
                <w:i w:val="false"/>
                <w:color w:val="77817A"/>
                <w:sz w:val="15"/>
                <w:szCs w:val="15"/>
                <w:rtl/>
              </w:rPr>
              <w:t xml:space="preserve">نسبة التشغيل عند التعادل</w:t>
            </w:r>
          </w:p>
          <w:p>
            <w:pPr>
              <w:bidi/>
              <w:spacing w:after="60" w:line="270"/>
              <w:jc w:val="start"/>
            </w:pPr>
            <w:r>
              <w:rPr>
                <w:rFonts w:ascii="Arial" w:cs="Arial" w:hAnsi="Arial"/>
                <w:b/>
                <w:bCs/>
                <w:i w:val="false"/>
                <w:color w:val="0E5A49"/>
                <w:sz w:val="26"/>
                <w:szCs w:val="26"/>
                <w:rtl/>
              </w:rPr>
              <w:t xml:space="preserve">63.3٪</w:t>
            </w:r>
          </w:p>
          <w:p>
            <w:pPr>
              <w:bidi/>
              <w:spacing w:after="0" w:line="270"/>
              <w:jc w:val="start"/>
            </w:pPr>
            <w:r>
              <w:rPr>
                <w:rFonts w:ascii="Arial" w:cs="Arial" w:hAnsi="Arial"/>
                <w:b w:val="false"/>
                <w:i w:val="false"/>
                <w:color w:val="77817A"/>
                <w:sz w:val="15"/>
                <w:szCs w:val="15"/>
                <w:rtl/>
              </w:rPr>
              <w:t xml:space="preserve">من الطاقة الإنتاجية التصميمية</w:t>
            </w:r>
          </w:p>
        </w:tc>
        <w:tc>
          <w:tcPr>
            <w:tcW w:type="dxa" w:w="3290"/>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val="false"/>
                <w:i w:val="false"/>
                <w:color w:val="77817A"/>
                <w:sz w:val="15"/>
                <w:szCs w:val="15"/>
                <w:rtl/>
              </w:rPr>
              <w:t xml:space="preserve">هامش المساهمة</w:t>
            </w:r>
          </w:p>
          <w:p>
            <w:pPr>
              <w:bidi/>
              <w:spacing w:after="60" w:line="270"/>
              <w:jc w:val="start"/>
            </w:pPr>
            <w:r>
              <w:rPr>
                <w:rFonts w:ascii="Arial" w:cs="Arial" w:hAnsi="Arial"/>
                <w:b/>
                <w:bCs/>
                <w:i w:val="false"/>
                <w:color w:val="0E5A49"/>
                <w:sz w:val="26"/>
                <w:szCs w:val="26"/>
                <w:rtl/>
              </w:rPr>
              <w:t xml:space="preserve">43.0٪</w:t>
            </w:r>
          </w:p>
          <w:p>
            <w:pPr>
              <w:bidi/>
              <w:spacing w:after="0" w:line="270"/>
              <w:jc w:val="start"/>
            </w:pPr>
            <w:r>
              <w:rPr>
                <w:rFonts w:ascii="Arial" w:cs="Arial" w:hAnsi="Arial"/>
                <w:b w:val="false"/>
                <w:i w:val="false"/>
                <w:color w:val="77817A"/>
                <w:sz w:val="15"/>
                <w:szCs w:val="15"/>
                <w:rtl/>
              </w:rPr>
              <w:t xml:space="preserve">بعد خصم كل التكاليف المتغيرة</w:t>
            </w:r>
          </w:p>
        </w:tc>
      </w:tr>
      <w:tr>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val="false"/>
                <w:i w:val="false"/>
                <w:color w:val="77817A"/>
                <w:sz w:val="15"/>
                <w:szCs w:val="15"/>
                <w:rtl/>
              </w:rPr>
              <w:t xml:space="preserve">هامش الأمان في السنة 5</w:t>
            </w:r>
          </w:p>
          <w:p>
            <w:pPr>
              <w:bidi/>
              <w:spacing w:after="60" w:line="270"/>
              <w:jc w:val="start"/>
            </w:pPr>
            <w:r>
              <w:rPr>
                <w:rFonts w:ascii="Arial" w:cs="Arial" w:hAnsi="Arial"/>
                <w:b/>
                <w:bCs/>
                <w:i w:val="false"/>
                <w:color w:val="0E5A49"/>
                <w:sz w:val="26"/>
                <w:szCs w:val="26"/>
                <w:rtl/>
              </w:rPr>
              <w:t xml:space="preserve">25.0٪</w:t>
            </w:r>
          </w:p>
          <w:p>
            <w:pPr>
              <w:bidi/>
              <w:spacing w:after="0" w:line="270"/>
              <w:jc w:val="start"/>
            </w:pPr>
            <w:r>
              <w:rPr>
                <w:rFonts w:ascii="Arial" w:cs="Arial" w:hAnsi="Arial"/>
                <w:b w:val="false"/>
                <w:i w:val="false"/>
                <w:color w:val="77817A"/>
                <w:sz w:val="15"/>
                <w:szCs w:val="15"/>
                <w:rtl/>
              </w:rPr>
              <w:t xml:space="preserve">فرق الإيراد الفعلي عن إيراد التعادل</w:t>
            </w:r>
          </w:p>
        </w:tc>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120" w:before="0" w:line="300"/>
              <w:jc w:val="both"/>
            </w:pPr>
            <w:r>
              <w:rPr>
                <w:rFonts w:ascii="Arial" w:cs="Arial" w:hAnsi="Arial"/>
                <w:b w:val="false"/>
                <w:i w:val="false"/>
                <w:color w:val="48534C"/>
                <w:sz w:val="20"/>
                <w:szCs w:val="20"/>
                <w:rtl/>
              </w:rPr>
              <w:t xml:space="preserve"/>
            </w:r>
          </w:p>
        </w:tc>
        <w:tc>
          <w:tcPr>
            <w:tcW w:type="dxa" w:w="3290"/>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120" w:before="0" w:line="300"/>
              <w:jc w:val="both"/>
            </w:pPr>
            <w:r>
              <w:rPr>
                <w:rFonts w:ascii="Arial" w:cs="Arial" w:hAnsi="Arial"/>
                <w:b w:val="false"/>
                <w:i w:val="false"/>
                <w:color w:val="48534C"/>
                <w:sz w:val="20"/>
                <w:szCs w:val="20"/>
                <w:rtl/>
              </w:rPr>
              <w:t xml:space="preserve"/>
            </w:r>
          </w:p>
        </w:tc>
      </w:tr>
    </w:tbl>
    <w:p>
      <w:pPr>
        <w:bidi/>
        <w:spacing w:after="16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المؤشرات المالية</w:t>
      </w:r>
    </w:p>
    <w:p>
      <w:pPr>
        <w:keepNext/>
        <w:bidi/>
        <w:spacing w:after="60" w:before="160" w:line="300"/>
        <w:jc w:val="start"/>
      </w:pPr>
      <w:r>
        <w:rPr>
          <w:rFonts w:ascii="Arial" w:cs="Arial" w:hAnsi="Arial"/>
          <w:b/>
          <w:bCs/>
          <w:i w:val="false"/>
          <w:color w:val="8A6A12"/>
          <w:sz w:val="16"/>
          <w:szCs w:val="16"/>
          <w:rtl/>
        </w:rPr>
        <w:t xml:space="preserve">جدول 31 — مؤشرات التقييم المالي (أفق عشر سنوات)</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91"/>
        <w:gridCol w:w="1893"/>
        <w:gridCol w:w="4182"/>
      </w:tblGrid>
      <w:tr>
        <w:trPr>
          <w:tblHeader/>
        </w:trPr>
        <w:tc>
          <w:tcPr>
            <w:tcW w:type="dxa" w:w="379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المؤشر</w:t>
            </w:r>
          </w:p>
        </w:tc>
        <w:tc>
          <w:tcPr>
            <w:tcW w:type="dxa" w:w="1893"/>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القيمة</w:t>
            </w:r>
          </w:p>
        </w:tc>
        <w:tc>
          <w:tcPr>
            <w:tcW w:type="dxa" w:w="4182"/>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القراءة</w:t>
            </w:r>
          </w:p>
        </w:tc>
      </w:tr>
      <w:tr>
        <w:tc>
          <w:tcPr>
            <w:tcW w:type="dxa" w:w="379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صافي القيمة الحالية عند 4٪ (معدل الخصم الاجتماعي)</w:t>
            </w:r>
          </w:p>
        </w:tc>
        <w:tc>
          <w:tcPr>
            <w:tcW w:type="dxa" w:w="189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+26,252</w:t>
            </w:r>
          </w:p>
        </w:tc>
        <w:tc>
          <w:tcPr>
            <w:tcW w:type="dxa" w:w="418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موجب — المشروع مجدٍ عند معدل الخصم المعتاد للمشاريع التنموية</w:t>
            </w:r>
          </w:p>
        </w:tc>
      </w:tr>
      <w:tr>
        <w:tc>
          <w:tcPr>
            <w:tcW w:type="dxa" w:w="379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صافي القيمة الحالية عند 6٪</w:t>
            </w:r>
          </w:p>
        </w:tc>
        <w:tc>
          <w:tcPr>
            <w:tcW w:type="dxa" w:w="189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(928,505)</w:t>
            </w:r>
          </w:p>
        </w:tc>
        <w:tc>
          <w:tcPr>
            <w:tcW w:type="dxa" w:w="418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سالب — عتبة الجدوى التجارية تقع عند نحو 4.1٪</w:t>
            </w:r>
          </w:p>
        </w:tc>
      </w:tr>
      <w:tr>
        <w:tc>
          <w:tcPr>
            <w:tcW w:type="dxa" w:w="379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صافي القيمة الحالية عند 8٪ (السيناريو الأساسي)</w:t>
            </w:r>
          </w:p>
        </w:tc>
        <w:tc>
          <w:tcPr>
            <w:tcW w:type="dxa" w:w="189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(1,740,696)</w:t>
            </w:r>
          </w:p>
        </w:tc>
        <w:tc>
          <w:tcPr>
            <w:tcW w:type="dxa" w:w="418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سالب — لا يجتاز عتبة العائد التجاري، وهو مبرر التمويل بالمنحة</w:t>
            </w:r>
          </w:p>
        </w:tc>
      </w:tr>
      <w:tr>
        <w:tc>
          <w:tcPr>
            <w:tcW w:type="dxa" w:w="379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معدل العائد الداخلي على كامل الاستثمار</w:t>
            </w:r>
          </w:p>
        </w:tc>
        <w:tc>
          <w:tcPr>
            <w:tcW w:type="dxa" w:w="189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4.1٪</w:t>
            </w:r>
          </w:p>
        </w:tc>
        <w:tc>
          <w:tcPr>
            <w:tcW w:type="dxa" w:w="418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دون تكلفة رأس المال التجارية وفوق الصفر بوضوح</w:t>
            </w:r>
          </w:p>
        </w:tc>
      </w:tr>
      <w:tr>
        <w:tc>
          <w:tcPr>
            <w:tcW w:type="dxa" w:w="379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معدل العائد الداخلي على مساهمة الجمعية</w:t>
            </w:r>
          </w:p>
        </w:tc>
        <w:tc>
          <w:tcPr>
            <w:tcW w:type="dxa" w:w="189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33.7٪</w:t>
            </w:r>
          </w:p>
        </w:tc>
        <w:tc>
          <w:tcPr>
            <w:tcW w:type="dxa" w:w="418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مرتفع — لأن معظم الأصل مموَّل بمنحة غير مستردة</w:t>
            </w:r>
          </w:p>
        </w:tc>
      </w:tr>
      <w:tr>
        <w:tc>
          <w:tcPr>
            <w:tcW w:type="dxa" w:w="379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فترة استرداد رأس المال</w:t>
            </w:r>
          </w:p>
        </w:tc>
        <w:tc>
          <w:tcPr>
            <w:tcW w:type="dxa" w:w="189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8.5 سنوات</w:t>
            </w:r>
          </w:p>
        </w:tc>
        <w:tc>
          <w:tcPr>
            <w:tcW w:type="dxa" w:w="418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ضمن المدى المقبول لأصل عمره الإنتاجي يتجاوز 20 سنة</w:t>
            </w:r>
          </w:p>
        </w:tc>
      </w:tr>
      <w:tr>
        <w:tc>
          <w:tcPr>
            <w:tcW w:type="dxa" w:w="379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تغطية خدمة الدين (س3 · س4 · س5)</w:t>
            </w:r>
          </w:p>
        </w:tc>
        <w:tc>
          <w:tcPr>
            <w:tcW w:type="dxa" w:w="189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2.69 · 4.40 · 5.63</w:t>
            </w:r>
          </w:p>
        </w:tc>
        <w:tc>
          <w:tcPr>
            <w:tcW w:type="dxa" w:w="418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تغطية مريحة لأقساط القرض الميسّر</w:t>
            </w:r>
          </w:p>
        </w:tc>
      </w:tr>
      <w:tr>
        <w:tc>
          <w:tcPr>
            <w:tcW w:type="dxa" w:w="379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الاكتفاء التشغيلي الذاتي (س2 ← س5)</w:t>
            </w:r>
          </w:p>
        </w:tc>
        <w:tc>
          <w:tcPr>
            <w:tcW w:type="dxa" w:w="189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101٪ ← 111٪</w:t>
            </w:r>
          </w:p>
        </w:tc>
        <w:tc>
          <w:tcPr>
            <w:tcW w:type="dxa" w:w="418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المؤشر الحاسم</w:t>
            </w:r>
            <w:r>
              <w:rPr>
                <w:rFonts w:ascii="Arial" w:cs="Arial" w:hAnsi="Arial"/>
                <w:b w:val="false"/>
                <w:i w:val="false"/>
                <w:color w:val="48534C"/>
                <w:sz w:val="17"/>
                <w:szCs w:val="17"/>
                <w:rtl/>
              </w:rPr>
              <w:t xml:space="preserve"> — لا حاجة لدعم تشغيلي متكرر</w:t>
            </w:r>
          </w:p>
        </w:tc>
      </w:tr>
      <w:tr>
        <w:tc>
          <w:tcPr>
            <w:tcW w:type="dxa" w:w="379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هامش الفائض التشغيلي في السنة الخامسة</w:t>
            </w:r>
          </w:p>
        </w:tc>
        <w:tc>
          <w:tcPr>
            <w:tcW w:type="dxa" w:w="189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9.9٪</w:t>
            </w:r>
          </w:p>
        </w:tc>
        <w:tc>
          <w:tcPr>
            <w:tcW w:type="dxa" w:w="418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ضمن النطاق المعتاد لصناعة الأغذية المتوسطة</w:t>
            </w:r>
          </w:p>
        </w:tc>
      </w:tr>
    </w:tbl>
    <w:p>
      <w:pPr>
        <w:bidi/>
        <w:spacing w:after="14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تحليل الحساسية</w:t>
      </w:r>
    </w:p>
    <w:p>
      <w:pPr>
        <w:keepNext/>
        <w:bidi/>
        <w:spacing w:after="100" w:before="200" w:line="300"/>
        <w:jc w:val="start"/>
      </w:pPr>
      <w:r>
        <w:rPr>
          <w:rFonts w:ascii="Arial" w:cs="Arial" w:hAnsi="Arial"/>
          <w:b/>
          <w:bCs/>
          <w:i w:val="false"/>
          <w:color w:val="8A6A12"/>
          <w:sz w:val="16"/>
          <w:szCs w:val="16"/>
          <w:rtl/>
        </w:rPr>
        <w:t xml:space="preserve">شكل 18  </w:t>
      </w:r>
      <w:r>
        <w:rPr>
          <w:rFonts w:ascii="Arial" w:cs="Arial" w:hAnsi="Arial"/>
          <w:b/>
          <w:bCs/>
          <w:i w:val="false"/>
          <w:color w:val="111A15"/>
          <w:sz w:val="18"/>
          <w:szCs w:val="18"/>
          <w:rtl/>
        </w:rPr>
        <w:t xml:space="preserve">أثر تغيّر كل متغيّر بنسبة ±15٪ على صافي القيمة الحالية</w:t>
      </w:r>
    </w:p>
    <w:p>
      <w:pPr>
        <w:keepNext/>
        <w:bidi/>
        <w:spacing w:after="80"/>
        <w:jc w:val="center"/>
      </w:pPr>
      <w:r>
        <w:drawing>
          <wp:inline distT="0" distB="0" distL="0" distR="0">
            <wp:extent cx="6238875"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238875" cy="3067050"/>
                    </a:xfrm>
                    <a:prstGeom prst="rect">
                      <a:avLst/>
                    </a:prstGeom>
                  </pic:spPr>
                </pic:pic>
              </a:graphicData>
            </a:graphic>
          </wp:inline>
        </w:drawing>
      </w:r>
    </w:p>
    <w:p>
      <w:pPr>
        <w:bidi/>
        <w:spacing w:after="200" w:before="0" w:line="300"/>
        <w:jc w:val="both"/>
      </w:pPr>
      <w:r>
        <w:rPr>
          <w:rFonts w:ascii="Arial" w:cs="Arial" w:hAnsi="Arial"/>
          <w:b w:val="false"/>
          <w:i w:val="false"/>
          <w:color w:val="77817A"/>
          <w:sz w:val="16"/>
          <w:szCs w:val="16"/>
          <w:rtl/>
        </w:rPr>
        <w:t xml:space="preserve">ثلاثة متغيّرات تفسّر معًا نحو ثلثَي التباين. والمقلق أن أشدّها أثرًا — تكلفة المواد الخام — هو أقلّها خضوعًا لسيطرة الإدارة. ومن هنا فإن التعاقد السنوي المثبّت مع الموردين وبند التصعيد السعري في عقود العملاء ليسا تحسينًا إداريًا بل إجراءَي تحوّط ماليَّين يحميان جدوى المشروع نفسها.</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75"/>
        <w:gridCol w:w="2359"/>
        <w:gridCol w:w="2329"/>
        <w:gridCol w:w="2203"/>
      </w:tblGrid>
      <w:tr>
        <w:trPr>
          <w:tblHeader/>
        </w:trPr>
        <w:tc>
          <w:tcPr>
            <w:tcW w:type="dxa" w:w="297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المتغيّر</w:t>
            </w:r>
          </w:p>
        </w:tc>
        <w:tc>
          <w:tcPr>
            <w:tcW w:type="dxa" w:w="235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أثر الارتفاع 15٪</w:t>
            </w:r>
          </w:p>
        </w:tc>
        <w:tc>
          <w:tcPr>
            <w:tcW w:type="dxa" w:w="232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أثر الانخفاض 15٪</w:t>
            </w:r>
          </w:p>
        </w:tc>
        <w:tc>
          <w:tcPr>
            <w:tcW w:type="dxa" w:w="2203"/>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مدى التأرجح</w:t>
            </w:r>
          </w:p>
        </w:tc>
      </w:tr>
      <w:tr>
        <w:tc>
          <w:tcPr>
            <w:tcW w:type="dxa" w:w="297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تكلفة المواد الخام والتصنيع</w:t>
            </w:r>
          </w:p>
        </w:tc>
        <w:tc>
          <w:tcPr>
            <w:tcW w:type="dxa" w:w="23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(5,960,769)</w:t>
            </w:r>
          </w:p>
        </w:tc>
        <w:tc>
          <w:tcPr>
            <w:tcW w:type="dxa" w:w="232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+5,960,769</w:t>
            </w:r>
          </w:p>
        </w:tc>
        <w:tc>
          <w:tcPr>
            <w:tcW w:type="dxa" w:w="22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11,921,538</w:t>
            </w:r>
          </w:p>
        </w:tc>
      </w:tr>
      <w:tr>
        <w:tc>
          <w:tcPr>
            <w:tcW w:type="dxa" w:w="297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سعر البيع</w:t>
            </w:r>
          </w:p>
        </w:tc>
        <w:tc>
          <w:tcPr>
            <w:tcW w:type="dxa" w:w="23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+5,502,699</w:t>
            </w:r>
          </w:p>
        </w:tc>
        <w:tc>
          <w:tcPr>
            <w:tcW w:type="dxa" w:w="232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(5,502,699)</w:t>
            </w:r>
          </w:p>
        </w:tc>
        <w:tc>
          <w:tcPr>
            <w:tcW w:type="dxa" w:w="22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11,005,398</w:t>
            </w:r>
          </w:p>
        </w:tc>
      </w:tr>
      <w:tr>
        <w:tc>
          <w:tcPr>
            <w:tcW w:type="dxa" w:w="297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حجم المبيعات ونسبة الإشغال</w:t>
            </w:r>
          </w:p>
        </w:tc>
        <w:tc>
          <w:tcPr>
            <w:tcW w:type="dxa" w:w="23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+5,056,113</w:t>
            </w:r>
          </w:p>
        </w:tc>
        <w:tc>
          <w:tcPr>
            <w:tcW w:type="dxa" w:w="232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(5,056,113)</w:t>
            </w:r>
          </w:p>
        </w:tc>
        <w:tc>
          <w:tcPr>
            <w:tcW w:type="dxa" w:w="22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10,112,226</w:t>
            </w:r>
          </w:p>
        </w:tc>
      </w:tr>
      <w:tr>
        <w:tc>
          <w:tcPr>
            <w:tcW w:type="dxa" w:w="297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الرواتب والأجور</w:t>
            </w:r>
          </w:p>
        </w:tc>
        <w:tc>
          <w:tcPr>
            <w:tcW w:type="dxa" w:w="23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(2,986,748)</w:t>
            </w:r>
          </w:p>
        </w:tc>
        <w:tc>
          <w:tcPr>
            <w:tcW w:type="dxa" w:w="232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+2,986,748</w:t>
            </w:r>
          </w:p>
        </w:tc>
        <w:tc>
          <w:tcPr>
            <w:tcW w:type="dxa" w:w="22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5,973,496</w:t>
            </w:r>
          </w:p>
        </w:tc>
      </w:tr>
      <w:tr>
        <w:tc>
          <w:tcPr>
            <w:tcW w:type="dxa" w:w="297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التكلفة الرأسمالية</w:t>
            </w:r>
          </w:p>
        </w:tc>
        <w:tc>
          <w:tcPr>
            <w:tcW w:type="dxa" w:w="23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(1,094,672)</w:t>
            </w:r>
          </w:p>
        </w:tc>
        <w:tc>
          <w:tcPr>
            <w:tcW w:type="dxa" w:w="232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+1,094,672</w:t>
            </w:r>
          </w:p>
        </w:tc>
        <w:tc>
          <w:tcPr>
            <w:tcW w:type="dxa" w:w="22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2,189,344</w:t>
            </w:r>
          </w:p>
        </w:tc>
      </w:tr>
      <w:tr>
        <w:tc>
          <w:tcPr>
            <w:tcW w:type="dxa" w:w="297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تكاليف المقر والمرافق</w:t>
            </w:r>
          </w:p>
        </w:tc>
        <w:tc>
          <w:tcPr>
            <w:tcW w:type="dxa" w:w="23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(730,758)</w:t>
            </w:r>
          </w:p>
        </w:tc>
        <w:tc>
          <w:tcPr>
            <w:tcW w:type="dxa" w:w="232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+730,758</w:t>
            </w:r>
          </w:p>
        </w:tc>
        <w:tc>
          <w:tcPr>
            <w:tcW w:type="dxa" w:w="220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1,461,516</w:t>
            </w:r>
          </w:p>
        </w:tc>
      </w:tr>
    </w:tbl>
    <w:p>
      <w:pPr>
        <w:bidi/>
        <w:spacing w:after="14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السيناريوهات</w:t>
      </w:r>
    </w:p>
    <w:p>
      <w:pPr>
        <w:keepNext/>
        <w:bidi/>
        <w:spacing w:after="60" w:before="160" w:line="300"/>
        <w:jc w:val="start"/>
      </w:pPr>
      <w:r>
        <w:rPr>
          <w:rFonts w:ascii="Arial" w:cs="Arial" w:hAnsi="Arial"/>
          <w:b/>
          <w:bCs/>
          <w:i w:val="false"/>
          <w:color w:val="8A6A12"/>
          <w:sz w:val="16"/>
          <w:szCs w:val="16"/>
          <w:rtl/>
        </w:rPr>
        <w:t xml:space="preserve">جدول 32 — ثلاثة سيناريوهات لأداء المشروع</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8"/>
        <w:gridCol w:w="2559"/>
        <w:gridCol w:w="2159"/>
        <w:gridCol w:w="2380"/>
      </w:tblGrid>
      <w:tr>
        <w:trPr>
          <w:tblHeader/>
        </w:trPr>
        <w:tc>
          <w:tcPr>
            <w:tcW w:type="dxa" w:w="2768"/>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المؤشر</w:t>
            </w:r>
          </w:p>
        </w:tc>
        <w:tc>
          <w:tcPr>
            <w:tcW w:type="dxa" w:w="255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متحفّظ</w:t>
            </w:r>
          </w:p>
        </w:tc>
        <w:tc>
          <w:tcPr>
            <w:tcW w:type="dxa" w:w="215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أساسي</w:t>
            </w:r>
          </w:p>
        </w:tc>
        <w:tc>
          <w:tcPr>
            <w:tcW w:type="dxa" w:w="2380"/>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متفائل</w:t>
            </w:r>
          </w:p>
        </w:tc>
      </w:tr>
      <w:tr>
        <w:tc>
          <w:tcPr>
            <w:tcW w:type="dxa" w:w="27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الافتراض</w:t>
            </w:r>
          </w:p>
        </w:tc>
        <w:tc>
          <w:tcPr>
            <w:tcW w:type="dxa" w:w="25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حجم ‏−15٪ · سعر ‏−4٪ · تكلفة ‏+5٪</w:t>
            </w:r>
          </w:p>
        </w:tc>
        <w:tc>
          <w:tcPr>
            <w:tcW w:type="dxa" w:w="21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كما في النموذج</w:t>
            </w:r>
          </w:p>
        </w:tc>
        <w:tc>
          <w:tcPr>
            <w:tcW w:type="dxa" w:w="23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حجم ‏+12٪ · سعر ‏+4٪ · تكلفة ‏−3٪</w:t>
            </w:r>
          </w:p>
        </w:tc>
      </w:tr>
      <w:tr>
        <w:tc>
          <w:tcPr>
            <w:tcW w:type="dxa" w:w="27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إيرادات السنة 3</w:t>
            </w:r>
          </w:p>
        </w:tc>
        <w:tc>
          <w:tcPr>
            <w:tcW w:type="dxa" w:w="25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8,535,366</w:t>
            </w:r>
          </w:p>
        </w:tc>
        <w:tc>
          <w:tcPr>
            <w:tcW w:type="dxa" w:w="21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10,460,007</w:t>
            </w:r>
          </w:p>
        </w:tc>
        <w:tc>
          <w:tcPr>
            <w:tcW w:type="dxa" w:w="23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12,183,816</w:t>
            </w:r>
          </w:p>
        </w:tc>
      </w:tr>
      <w:tr>
        <w:tc>
          <w:tcPr>
            <w:tcW w:type="dxa" w:w="27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صافي الفائض في السنة 3</w:t>
            </w:r>
          </w:p>
        </w:tc>
        <w:tc>
          <w:tcPr>
            <w:tcW w:type="dxa" w:w="25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(1,104,846)</w:t>
            </w:r>
          </w:p>
        </w:tc>
        <w:tc>
          <w:tcPr>
            <w:tcW w:type="dxa" w:w="21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(78,049)</w:t>
            </w:r>
          </w:p>
        </w:tc>
        <w:tc>
          <w:tcPr>
            <w:tcW w:type="dxa" w:w="23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838,991</w:t>
            </w:r>
          </w:p>
        </w:tc>
      </w:tr>
      <w:tr>
        <w:tc>
          <w:tcPr>
            <w:tcW w:type="dxa" w:w="27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إيرادات السنة 5</w:t>
            </w:r>
          </w:p>
        </w:tc>
        <w:tc>
          <w:tcPr>
            <w:tcW w:type="dxa" w:w="25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11,582,005</w:t>
            </w:r>
          </w:p>
        </w:tc>
        <w:tc>
          <w:tcPr>
            <w:tcW w:type="dxa" w:w="21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14,193,634</w:t>
            </w:r>
          </w:p>
        </w:tc>
        <w:tc>
          <w:tcPr>
            <w:tcW w:type="dxa" w:w="23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16,532,745</w:t>
            </w:r>
          </w:p>
        </w:tc>
      </w:tr>
      <w:tr>
        <w:tc>
          <w:tcPr>
            <w:tcW w:type="dxa" w:w="27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صافي الفائض في السنة 5</w:t>
            </w:r>
          </w:p>
        </w:tc>
        <w:tc>
          <w:tcPr>
            <w:tcW w:type="dxa" w:w="25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(732,818)</w:t>
            </w:r>
          </w:p>
        </w:tc>
        <w:tc>
          <w:tcPr>
            <w:tcW w:type="dxa" w:w="21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658,396</w:t>
            </w:r>
          </w:p>
        </w:tc>
        <w:tc>
          <w:tcPr>
            <w:tcW w:type="dxa" w:w="23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1,900,869</w:t>
            </w:r>
          </w:p>
        </w:tc>
      </w:tr>
      <w:tr>
        <w:tc>
          <w:tcPr>
            <w:tcW w:type="dxa" w:w="27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صافي القيمة الحالية عند 8٪</w:t>
            </w:r>
          </w:p>
        </w:tc>
        <w:tc>
          <w:tcPr>
            <w:tcW w:type="dxa" w:w="25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(9,665,416)</w:t>
            </w:r>
          </w:p>
        </w:tc>
        <w:tc>
          <w:tcPr>
            <w:tcW w:type="dxa" w:w="21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A52626"/>
                <w:sz w:val="17"/>
                <w:szCs w:val="17"/>
                <w:rtl/>
              </w:rPr>
              <w:t xml:space="preserve">(1,740,696)</w:t>
            </w:r>
          </w:p>
        </w:tc>
        <w:tc>
          <w:tcPr>
            <w:tcW w:type="dxa" w:w="23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+5,336,288</w:t>
            </w:r>
          </w:p>
        </w:tc>
      </w:tr>
      <w:tr>
        <w:tc>
          <w:tcPr>
            <w:tcW w:type="dxa" w:w="27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معدل العائد الداخلي</w:t>
            </w:r>
          </w:p>
        </w:tc>
        <w:tc>
          <w:tcPr>
            <w:tcW w:type="dxa" w:w="25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لا يتحقق</w:t>
            </w:r>
          </w:p>
        </w:tc>
        <w:tc>
          <w:tcPr>
            <w:tcW w:type="dxa" w:w="21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4.1٪</w:t>
            </w:r>
          </w:p>
        </w:tc>
        <w:tc>
          <w:tcPr>
            <w:tcW w:type="dxa" w:w="238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006300"/>
                <w:sz w:val="17"/>
                <w:szCs w:val="17"/>
                <w:rtl/>
              </w:rPr>
              <w:t xml:space="preserve">17.9٪</w:t>
            </w:r>
          </w:p>
        </w:tc>
      </w:tr>
      <w:tr>
        <w:tc>
          <w:tcPr>
            <w:tcW w:type="dxa" w:w="2768"/>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start"/>
            </w:pPr>
            <w:r>
              <w:rPr>
                <w:rFonts w:ascii="Arial" w:cs="Arial" w:hAnsi="Arial"/>
                <w:b/>
                <w:bCs/>
                <w:i w:val="false"/>
                <w:color w:val="111A15"/>
                <w:sz w:val="17"/>
                <w:szCs w:val="17"/>
                <w:rtl/>
              </w:rPr>
              <w:t xml:space="preserve">الحكم</w:t>
            </w:r>
          </w:p>
        </w:tc>
        <w:tc>
          <w:tcPr>
            <w:tcW w:type="dxa" w:w="2559"/>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يتطلب تدخّلًا هيكليًا</w:t>
            </w:r>
          </w:p>
        </w:tc>
        <w:tc>
          <w:tcPr>
            <w:tcW w:type="dxa" w:w="2159"/>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مستدام تشغيليًا</w:t>
            </w:r>
          </w:p>
        </w:tc>
        <w:tc>
          <w:tcPr>
            <w:tcW w:type="dxa" w:w="2380"/>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قابل للتوسّع</w:t>
            </w:r>
          </w:p>
        </w:tc>
      </w:tr>
    </w:tbl>
    <w:p>
      <w:pPr>
        <w:bidi/>
        <w:spacing w:after="140" w:before="0" w:line="300"/>
        <w:jc w:val="both"/>
      </w:pPr>
      <w:r>
        <w:rPr>
          <w:rFonts w:ascii="Arial" w:cs="Arial" w:hAnsi="Arial"/>
          <w:b w:val="false"/>
          <w:i w:val="false"/>
          <w:color w:val="48534C"/>
          <w:sz w:val="8"/>
          <w:szCs w:val="8"/>
          <w:rtl/>
        </w:rPr>
        <w:t xml:space="preserve"/>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c>
          <w:tcPr>
            <w:tcW w:type="dxa" w:w="9866"/>
            <w:tcBorders>
              <w:top w:val="single" w:color="DBE2DB" w:sz="4"/>
              <w:left w:val="single" w:color="DBE2DB" w:sz="4"/>
              <w:bottom w:val="single" w:color="DBE2DB" w:sz="4"/>
              <w:right w:val="single" w:color="A52626" w:sz="22"/>
            </w:tcBorders>
            <w:shd w:fill="FBFCFA" w:color="auto" w:val="clear"/>
            <w:tcMar>
              <w:top w:type="dxa" w:w="120"/>
              <w:left w:type="dxa" w:w="160"/>
              <w:bottom w:type="dxa" w:w="120"/>
              <w:right w:type="dxa" w:w="160"/>
            </w:tcMar>
          </w:tcPr>
          <w:p>
            <w:pPr>
              <w:bidi/>
              <w:spacing w:after="80" w:before="40" w:line="280"/>
              <w:jc w:val="start"/>
            </w:pPr>
            <w:r>
              <w:rPr>
                <w:rFonts w:ascii="Arial" w:cs="Arial" w:hAnsi="Arial"/>
                <w:b/>
                <w:bCs/>
                <w:i w:val="false"/>
                <w:color w:val="A52626"/>
                <w:sz w:val="19"/>
                <w:szCs w:val="19"/>
                <w:rtl/>
              </w:rPr>
              <w:t xml:space="preserve">السيناريو المتحفّظ يستحق قراءة صريحة</w:t>
            </w:r>
          </w:p>
          <w:p>
            <w:pPr>
              <w:bidi/>
              <w:spacing w:after="80" w:line="290"/>
              <w:jc w:val="both"/>
            </w:pPr>
            <w:r>
              <w:rPr>
                <w:rFonts w:ascii="Arial" w:cs="Arial" w:hAnsi="Arial"/>
                <w:b w:val="false"/>
                <w:i w:val="false"/>
                <w:color w:val="48534C"/>
                <w:sz w:val="18"/>
                <w:szCs w:val="18"/>
                <w:rtl/>
              </w:rPr>
              <w:t xml:space="preserve">في السيناريو المتحفّظ </w:t>
            </w:r>
            <w:r>
              <w:rPr>
                <w:rFonts w:ascii="Arial" w:cs="Arial" w:hAnsi="Arial"/>
                <w:b/>
                <w:bCs/>
                <w:i w:val="false"/>
                <w:color w:val="48534C"/>
                <w:sz w:val="18"/>
                <w:szCs w:val="18"/>
                <w:rtl/>
              </w:rPr>
              <w:t xml:space="preserve">لا يبلغ المشروع الاكتفاء الذاتي حتى السنة الخامسة</w:t>
            </w:r>
            <w:r>
              <w:rPr>
                <w:rFonts w:ascii="Arial" w:cs="Arial" w:hAnsi="Arial"/>
                <w:b w:val="false"/>
                <w:i w:val="false"/>
                <w:color w:val="48534C"/>
                <w:sz w:val="18"/>
                <w:szCs w:val="18"/>
                <w:rtl/>
              </w:rPr>
              <w:t xml:space="preserve">، ويظل صافي الفائض سالبًا ويتراكم عجز نقدي يستلزم دعمًا إضافيًا. وهذا احتمال حقيقي لا يجوز إخفاؤه خلف متوسط السيناريوهات.</w:t>
            </w:r>
          </w:p>
          <w:p>
            <w:pPr>
              <w:bidi/>
              <w:spacing w:after="80" w:line="290"/>
              <w:jc w:val="both"/>
            </w:pPr>
            <w:r>
              <w:rPr>
                <w:rFonts w:ascii="Arial" w:cs="Arial" w:hAnsi="Arial"/>
                <w:b w:val="false"/>
                <w:i w:val="false"/>
                <w:color w:val="48534C"/>
                <w:sz w:val="18"/>
                <w:szCs w:val="18"/>
                <w:rtl/>
              </w:rPr>
              <w:t xml:space="preserve">ولذلك تنص الدراسة على </w:t>
            </w:r>
            <w:r>
              <w:rPr>
                <w:rFonts w:ascii="Arial" w:cs="Arial" w:hAnsi="Arial"/>
                <w:b/>
                <w:bCs/>
                <w:i w:val="false"/>
                <w:color w:val="48534C"/>
                <w:sz w:val="18"/>
                <w:szCs w:val="18"/>
                <w:rtl/>
              </w:rPr>
              <w:t xml:space="preserve">محفّز تدخّل مبكر</w:t>
            </w:r>
            <w:r>
              <w:rPr>
                <w:rFonts w:ascii="Arial" w:cs="Arial" w:hAnsi="Arial"/>
                <w:b w:val="false"/>
                <w:i w:val="false"/>
                <w:color w:val="48534C"/>
                <w:sz w:val="18"/>
                <w:szCs w:val="18"/>
                <w:rtl/>
              </w:rPr>
              <w:t xml:space="preserve">: إذا لم يبلغ إيراد الأشهر الاثني عشر الأولى 85٪ من مستهدف السنة الأولى (أي 4.19 مليون ريال)، تنعقد لجنة الإشراف خلال 30 يومًا لتفعيل أحد ثلاثة إجراءات هيكلية: خفض حجم العمليات وتأجيل التوظيف في المرحلة الثانية، أو تحويل جزء من الطاقة إلى التصنيع بالتعاقد (وهو الخط الأعلى هامشًا والأقل حاجة لرأس مال عامل)، أو التفاوض على تمديد الجسر التشغيلي لسنة إضافية. وتحديد هذا المحفّز مسبقًا — بدل انتظار نهاية السنة الثالثة — هو الفرق بين مشروع يُصحَّح مساره ومشروع يُنقَذ متأخرًا.</w:t>
            </w:r>
          </w:p>
        </w:tc>
      </w:tr>
    </w:tbl>
    <w:p>
      <w:pPr>
        <w:bidi/>
        <w:spacing w:after="160" w:before="0" w:line="300"/>
        <w:jc w:val="both"/>
      </w:pPr>
      <w:r>
        <w:rPr>
          <w:rFonts w:ascii="Arial" w:cs="Arial" w:hAnsi="Arial"/>
          <w:b w:val="false"/>
          <w:i w:val="false"/>
          <w:color w:val="48534C"/>
          <w:sz w:val="8"/>
          <w:szCs w:val="8"/>
          <w:rtl/>
        </w:rPr>
        <w:t xml:space="preserve"/>
      </w:r>
    </w:p>
    <w:p>
      <w:pPr>
        <w:pStyle w:val="Heading1"/>
        <w:keepNext/>
        <w:pageBreakBefore/>
        <w:bidi/>
        <w:spacing w:after="60" w:before="0" w:line="300"/>
        <w:jc w:val="start"/>
        <w:outlineLvl w:val="0"/>
      </w:pPr>
      <w:r>
        <w:rPr>
          <w:rFonts w:ascii="Arial" w:cs="Arial" w:hAnsi="Arial"/>
          <w:b/>
          <w:bCs/>
          <w:i w:val="false"/>
          <w:color w:val="8A6A12"/>
          <w:sz w:val="30"/>
          <w:szCs w:val="30"/>
          <w:rtl/>
        </w:rPr>
        <w:t xml:space="preserve">14   </w:t>
      </w:r>
      <w:r>
        <w:rPr>
          <w:rFonts w:ascii="Arial" w:cs="Arial" w:hAnsi="Arial"/>
          <w:b/>
          <w:bCs/>
          <w:i w:val="false"/>
          <w:color w:val="0E5A49"/>
          <w:sz w:val="30"/>
          <w:szCs w:val="30"/>
          <w:rtl/>
        </w:rPr>
        <w:t xml:space="preserve">مؤشرات الأداء</w:t>
      </w:r>
    </w:p>
    <w:p>
      <w:pPr>
        <w:pBdr>
          <w:bottom w:val="single" w:color="DBE2DB" w:sz="6"/>
        </w:pBdr>
        <w:bidi/>
        <w:spacing w:after="260"/>
        <w:jc w:val="start"/>
      </w:pPr>
      <w:r>
        <w:rPr>
          <w:rFonts w:ascii="Arial" w:cs="Arial" w:hAnsi="Arial"/>
          <w:b w:val="false"/>
          <w:i w:val="false"/>
          <w:color w:val="77817A"/>
          <w:sz w:val="17"/>
          <w:szCs w:val="17"/>
          <w:rtl/>
        </w:rPr>
        <w:t xml:space="preserve">ما الذي يُقاس، ومن يقيسه، ومتى يُطلق الإنذار</w:t>
      </w:r>
    </w:p>
    <w:p>
      <w:pPr>
        <w:bidi/>
        <w:spacing w:after="140" w:before="0" w:line="300"/>
        <w:jc w:val="both"/>
      </w:pPr>
      <w:r>
        <w:rPr>
          <w:rFonts w:ascii="Arial" w:cs="Arial" w:hAnsi="Arial"/>
          <w:b w:val="false"/>
          <w:i w:val="false"/>
          <w:color w:val="111A15"/>
          <w:sz w:val="21"/>
          <w:szCs w:val="21"/>
          <w:rtl/>
        </w:rPr>
        <w:t xml:space="preserve">منظومة المؤشرات مصمَّمة على قاعدة واحدة: </w:t>
      </w:r>
      <w:r>
        <w:rPr>
          <w:rFonts w:ascii="Arial" w:cs="Arial" w:hAnsi="Arial"/>
          <w:b/>
          <w:bCs/>
          <w:i w:val="false"/>
          <w:color w:val="111A15"/>
          <w:sz w:val="21"/>
          <w:szCs w:val="21"/>
          <w:rtl/>
        </w:rPr>
        <w:t xml:space="preserve">لكل مؤشر عتبة إنذار محددة سلفًا وإجراء مرتبط بها</w:t>
      </w:r>
      <w:r>
        <w:rPr>
          <w:rFonts w:ascii="Arial" w:cs="Arial" w:hAnsi="Arial"/>
          <w:b w:val="false"/>
          <w:i w:val="false"/>
          <w:color w:val="111A15"/>
          <w:sz w:val="21"/>
          <w:szCs w:val="21"/>
          <w:rtl/>
        </w:rPr>
        <w:t xml:space="preserve">. فالمؤشر الذي يُقاس ولا يترتب على انحرافه فعلٌ هو تقرير لا أداة إدارة.</w:t>
      </w:r>
    </w:p>
    <w:p>
      <w:pPr>
        <w:keepNext/>
        <w:bidi/>
        <w:spacing w:after="60" w:before="160" w:line="300"/>
        <w:jc w:val="start"/>
      </w:pPr>
      <w:r>
        <w:rPr>
          <w:rFonts w:ascii="Arial" w:cs="Arial" w:hAnsi="Arial"/>
          <w:b/>
          <w:bCs/>
          <w:i w:val="false"/>
          <w:color w:val="8A6A12"/>
          <w:sz w:val="16"/>
          <w:szCs w:val="16"/>
          <w:rtl/>
        </w:rPr>
        <w:t xml:space="preserve">جدول 33 — لوحة مؤشرات الأداء الرئيسية</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68"/>
        <w:gridCol w:w="1231"/>
        <w:gridCol w:w="1297"/>
        <w:gridCol w:w="1308"/>
        <w:gridCol w:w="1212"/>
        <w:gridCol w:w="1950"/>
      </w:tblGrid>
      <w:tr>
        <w:trPr>
          <w:tblHeader/>
        </w:trPr>
        <w:tc>
          <w:tcPr>
            <w:tcW w:type="dxa" w:w="2868"/>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المؤشر</w:t>
            </w:r>
          </w:p>
        </w:tc>
        <w:tc>
          <w:tcPr>
            <w:tcW w:type="dxa" w:w="123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خط الأساس</w:t>
            </w:r>
          </w:p>
        </w:tc>
        <w:tc>
          <w:tcPr>
            <w:tcW w:type="dxa" w:w="1297"/>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مستهدف س3</w:t>
            </w:r>
          </w:p>
        </w:tc>
        <w:tc>
          <w:tcPr>
            <w:tcW w:type="dxa" w:w="1308"/>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مستهدف س5</w:t>
            </w:r>
          </w:p>
        </w:tc>
        <w:tc>
          <w:tcPr>
            <w:tcW w:type="dxa" w:w="1212"/>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الدورية</w:t>
            </w:r>
          </w:p>
        </w:tc>
        <w:tc>
          <w:tcPr>
            <w:tcW w:type="dxa" w:w="1950"/>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عتبة الإنذار</w:t>
            </w:r>
          </w:p>
        </w:tc>
      </w:tr>
      <w:tr>
        <w:tc>
          <w:tcPr>
            <w:tcW w:type="dxa" w:w="9866"/>
            <w:gridSpan w:val="6"/>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start"/>
            </w:pPr>
            <w:r>
              <w:rPr>
                <w:rFonts w:ascii="Arial" w:cs="Arial" w:hAnsi="Arial"/>
                <w:b w:val="false"/>
                <w:i w:val="false"/>
                <w:color w:val="111A15"/>
                <w:sz w:val="17"/>
                <w:szCs w:val="17"/>
                <w:rtl/>
              </w:rPr>
              <w:t xml:space="preserve">المحور المالي</w:t>
            </w:r>
          </w:p>
        </w:tc>
      </w:tr>
      <w:tr>
        <w:tc>
          <w:tcPr>
            <w:tcW w:type="dxa" w:w="28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الاكتفاء التشغيلي الذاتي</w:t>
            </w:r>
          </w:p>
        </w:tc>
        <w:tc>
          <w:tcPr>
            <w:tcW w:type="dxa" w:w="12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87٪</w:t>
            </w:r>
          </w:p>
        </w:tc>
        <w:tc>
          <w:tcPr>
            <w:tcW w:type="dxa" w:w="12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107٪</w:t>
            </w:r>
          </w:p>
        </w:tc>
        <w:tc>
          <w:tcPr>
            <w:tcW w:type="dxa" w:w="13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111٪</w:t>
            </w:r>
          </w:p>
        </w:tc>
        <w:tc>
          <w:tcPr>
            <w:tcW w:type="dxa" w:w="121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شهري</w:t>
            </w:r>
          </w:p>
        </w:tc>
        <w:tc>
          <w:tcPr>
            <w:tcW w:type="dxa" w:w="1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&lt; 95٪ لشهرين متتاليين</w:t>
            </w:r>
          </w:p>
        </w:tc>
      </w:tr>
      <w:tr>
        <w:tc>
          <w:tcPr>
            <w:tcW w:type="dxa" w:w="28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إجمالي الإيرادات (مليون ر.س)</w:t>
            </w:r>
          </w:p>
        </w:tc>
        <w:tc>
          <w:tcPr>
            <w:tcW w:type="dxa" w:w="12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4.93</w:t>
            </w:r>
          </w:p>
        </w:tc>
        <w:tc>
          <w:tcPr>
            <w:tcW w:type="dxa" w:w="12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10.46</w:t>
            </w:r>
          </w:p>
        </w:tc>
        <w:tc>
          <w:tcPr>
            <w:tcW w:type="dxa" w:w="13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14.19</w:t>
            </w:r>
          </w:p>
        </w:tc>
        <w:tc>
          <w:tcPr>
            <w:tcW w:type="dxa" w:w="121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شهري</w:t>
            </w:r>
          </w:p>
        </w:tc>
        <w:tc>
          <w:tcPr>
            <w:tcW w:type="dxa" w:w="1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&lt; 85٪ من المستهدف التراكمي</w:t>
            </w:r>
          </w:p>
        </w:tc>
      </w:tr>
      <w:tr>
        <w:tc>
          <w:tcPr>
            <w:tcW w:type="dxa" w:w="28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هامش مجمل الربح</w:t>
            </w:r>
          </w:p>
        </w:tc>
        <w:tc>
          <w:tcPr>
            <w:tcW w:type="dxa" w:w="12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52.1٪</w:t>
            </w:r>
          </w:p>
        </w:tc>
        <w:tc>
          <w:tcPr>
            <w:tcW w:type="dxa" w:w="12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52.0٪</w:t>
            </w:r>
          </w:p>
        </w:tc>
        <w:tc>
          <w:tcPr>
            <w:tcW w:type="dxa" w:w="13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51.9٪</w:t>
            </w:r>
          </w:p>
        </w:tc>
        <w:tc>
          <w:tcPr>
            <w:tcW w:type="dxa" w:w="121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شهري</w:t>
            </w:r>
          </w:p>
        </w:tc>
        <w:tc>
          <w:tcPr>
            <w:tcW w:type="dxa" w:w="1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&lt; 48٪</w:t>
            </w:r>
          </w:p>
        </w:tc>
      </w:tr>
      <w:tr>
        <w:tc>
          <w:tcPr>
            <w:tcW w:type="dxa" w:w="28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أيام التحصيل من العملاء المؤسسيين</w:t>
            </w:r>
          </w:p>
        </w:tc>
        <w:tc>
          <w:tcPr>
            <w:tcW w:type="dxa" w:w="12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60 يومًا</w:t>
            </w:r>
          </w:p>
        </w:tc>
        <w:tc>
          <w:tcPr>
            <w:tcW w:type="dxa" w:w="12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45 يومًا</w:t>
            </w:r>
          </w:p>
        </w:tc>
        <w:tc>
          <w:tcPr>
            <w:tcW w:type="dxa" w:w="13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40 يومًا</w:t>
            </w:r>
          </w:p>
        </w:tc>
        <w:tc>
          <w:tcPr>
            <w:tcW w:type="dxa" w:w="121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شهري</w:t>
            </w:r>
          </w:p>
        </w:tc>
        <w:tc>
          <w:tcPr>
            <w:tcW w:type="dxa" w:w="1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&gt; 75 يومًا</w:t>
            </w:r>
          </w:p>
        </w:tc>
      </w:tr>
      <w:tr>
        <w:tc>
          <w:tcPr>
            <w:tcW w:type="dxa" w:w="28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رصيد السيولة التشغيلية</w:t>
            </w:r>
          </w:p>
        </w:tc>
        <w:tc>
          <w:tcPr>
            <w:tcW w:type="dxa" w:w="12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2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3 أشهر</w:t>
            </w:r>
          </w:p>
        </w:tc>
        <w:tc>
          <w:tcPr>
            <w:tcW w:type="dxa" w:w="13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4 أشهر</w:t>
            </w:r>
          </w:p>
        </w:tc>
        <w:tc>
          <w:tcPr>
            <w:tcW w:type="dxa" w:w="121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أسبوعي</w:t>
            </w:r>
          </w:p>
        </w:tc>
        <w:tc>
          <w:tcPr>
            <w:tcW w:type="dxa" w:w="1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&lt; 6 أسابيع تشغيل</w:t>
            </w:r>
          </w:p>
        </w:tc>
      </w:tr>
      <w:tr>
        <w:tc>
          <w:tcPr>
            <w:tcW w:type="dxa" w:w="9866"/>
            <w:gridSpan w:val="6"/>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start"/>
            </w:pPr>
            <w:r>
              <w:rPr>
                <w:rFonts w:ascii="Arial" w:cs="Arial" w:hAnsi="Arial"/>
                <w:b w:val="false"/>
                <w:i w:val="false"/>
                <w:color w:val="111A15"/>
                <w:sz w:val="17"/>
                <w:szCs w:val="17"/>
                <w:rtl/>
              </w:rPr>
              <w:t xml:space="preserve">المحور التشغيلي</w:t>
            </w:r>
          </w:p>
        </w:tc>
      </w:tr>
      <w:tr>
        <w:tc>
          <w:tcPr>
            <w:tcW w:type="dxa" w:w="28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استغلال الطاقة الإنتاجية</w:t>
            </w:r>
          </w:p>
        </w:tc>
        <w:tc>
          <w:tcPr>
            <w:tcW w:type="dxa" w:w="12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31.1٪</w:t>
            </w:r>
          </w:p>
        </w:tc>
        <w:tc>
          <w:tcPr>
            <w:tcW w:type="dxa" w:w="12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62.2٪</w:t>
            </w:r>
          </w:p>
        </w:tc>
        <w:tc>
          <w:tcPr>
            <w:tcW w:type="dxa" w:w="13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79.5٪</w:t>
            </w:r>
          </w:p>
        </w:tc>
        <w:tc>
          <w:tcPr>
            <w:tcW w:type="dxa" w:w="121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أسبوعي</w:t>
            </w:r>
          </w:p>
        </w:tc>
        <w:tc>
          <w:tcPr>
            <w:tcW w:type="dxa" w:w="1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&lt; 80٪ من المخطط</w:t>
            </w:r>
          </w:p>
        </w:tc>
      </w:tr>
      <w:tr>
        <w:tc>
          <w:tcPr>
            <w:tcW w:type="dxa" w:w="28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الهدر في الإنتاج</w:t>
            </w:r>
          </w:p>
        </w:tc>
        <w:tc>
          <w:tcPr>
            <w:tcW w:type="dxa" w:w="12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6٪</w:t>
            </w:r>
          </w:p>
        </w:tc>
        <w:tc>
          <w:tcPr>
            <w:tcW w:type="dxa" w:w="12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4٪</w:t>
            </w:r>
          </w:p>
        </w:tc>
        <w:tc>
          <w:tcPr>
            <w:tcW w:type="dxa" w:w="13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3٪</w:t>
            </w:r>
          </w:p>
        </w:tc>
        <w:tc>
          <w:tcPr>
            <w:tcW w:type="dxa" w:w="121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أسبوعي</w:t>
            </w:r>
          </w:p>
        </w:tc>
        <w:tc>
          <w:tcPr>
            <w:tcW w:type="dxa" w:w="1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&gt; 7٪</w:t>
            </w:r>
          </w:p>
        </w:tc>
      </w:tr>
      <w:tr>
        <w:tc>
          <w:tcPr>
            <w:tcW w:type="dxa" w:w="28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الالتزام بمواعيد التسليم</w:t>
            </w:r>
          </w:p>
        </w:tc>
        <w:tc>
          <w:tcPr>
            <w:tcW w:type="dxa" w:w="12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92٪</w:t>
            </w:r>
          </w:p>
        </w:tc>
        <w:tc>
          <w:tcPr>
            <w:tcW w:type="dxa" w:w="12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96٪</w:t>
            </w:r>
          </w:p>
        </w:tc>
        <w:tc>
          <w:tcPr>
            <w:tcW w:type="dxa" w:w="13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98٪</w:t>
            </w:r>
          </w:p>
        </w:tc>
        <w:tc>
          <w:tcPr>
            <w:tcW w:type="dxa" w:w="121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شهري</w:t>
            </w:r>
          </w:p>
        </w:tc>
        <w:tc>
          <w:tcPr>
            <w:tcW w:type="dxa" w:w="1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&lt; 90٪</w:t>
            </w:r>
          </w:p>
        </w:tc>
      </w:tr>
      <w:tr>
        <w:tc>
          <w:tcPr>
            <w:tcW w:type="dxa" w:w="28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حالات عدم المطابقة الحرجة</w:t>
            </w:r>
          </w:p>
        </w:tc>
        <w:tc>
          <w:tcPr>
            <w:tcW w:type="dxa" w:w="12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صفر</w:t>
            </w:r>
          </w:p>
        </w:tc>
        <w:tc>
          <w:tcPr>
            <w:tcW w:type="dxa" w:w="12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صفر</w:t>
            </w:r>
          </w:p>
        </w:tc>
        <w:tc>
          <w:tcPr>
            <w:tcW w:type="dxa" w:w="13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صفر</w:t>
            </w:r>
          </w:p>
        </w:tc>
        <w:tc>
          <w:tcPr>
            <w:tcW w:type="dxa" w:w="121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فوري</w:t>
            </w:r>
          </w:p>
        </w:tc>
        <w:tc>
          <w:tcPr>
            <w:tcW w:type="dxa" w:w="1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أي حالة واحدة</w:t>
            </w:r>
          </w:p>
        </w:tc>
      </w:tr>
      <w:tr>
        <w:tc>
          <w:tcPr>
            <w:tcW w:type="dxa" w:w="28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تركّز أكبر عميل من الإيراد</w:t>
            </w:r>
          </w:p>
        </w:tc>
        <w:tc>
          <w:tcPr>
            <w:tcW w:type="dxa" w:w="12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35٪</w:t>
            </w:r>
          </w:p>
        </w:tc>
        <w:tc>
          <w:tcPr>
            <w:tcW w:type="dxa" w:w="12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25٪</w:t>
            </w:r>
          </w:p>
        </w:tc>
        <w:tc>
          <w:tcPr>
            <w:tcW w:type="dxa" w:w="13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20٪</w:t>
            </w:r>
          </w:p>
        </w:tc>
        <w:tc>
          <w:tcPr>
            <w:tcW w:type="dxa" w:w="121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ربعي</w:t>
            </w:r>
          </w:p>
        </w:tc>
        <w:tc>
          <w:tcPr>
            <w:tcW w:type="dxa" w:w="1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&gt; 30٪</w:t>
            </w:r>
          </w:p>
        </w:tc>
      </w:tr>
      <w:tr>
        <w:tc>
          <w:tcPr>
            <w:tcW w:type="dxa" w:w="9866"/>
            <w:gridSpan w:val="6"/>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start"/>
            </w:pPr>
            <w:r>
              <w:rPr>
                <w:rFonts w:ascii="Arial" w:cs="Arial" w:hAnsi="Arial"/>
                <w:b w:val="false"/>
                <w:i w:val="false"/>
                <w:color w:val="111A15"/>
                <w:sz w:val="17"/>
                <w:szCs w:val="17"/>
                <w:rtl/>
              </w:rPr>
              <w:t xml:space="preserve">محور الأثر التنموي</w:t>
            </w:r>
          </w:p>
        </w:tc>
      </w:tr>
      <w:tr>
        <w:tc>
          <w:tcPr>
            <w:tcW w:type="dxa" w:w="28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عدد الأسر المنتجة المتعاقدة</w:t>
            </w:r>
          </w:p>
        </w:tc>
        <w:tc>
          <w:tcPr>
            <w:tcW w:type="dxa" w:w="12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65</w:t>
            </w:r>
          </w:p>
        </w:tc>
        <w:tc>
          <w:tcPr>
            <w:tcW w:type="dxa" w:w="12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190</w:t>
            </w:r>
          </w:p>
        </w:tc>
        <w:tc>
          <w:tcPr>
            <w:tcW w:type="dxa" w:w="13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280</w:t>
            </w:r>
          </w:p>
        </w:tc>
        <w:tc>
          <w:tcPr>
            <w:tcW w:type="dxa" w:w="121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شهري</w:t>
            </w:r>
          </w:p>
        </w:tc>
        <w:tc>
          <w:tcPr>
            <w:tcW w:type="dxa" w:w="1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&lt; 85٪ من المستهدف</w:t>
            </w:r>
          </w:p>
        </w:tc>
      </w:tr>
      <w:tr>
        <w:tc>
          <w:tcPr>
            <w:tcW w:type="dxa" w:w="28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متوسط الدخل الشهري للأسرة (ر.س)</w:t>
            </w:r>
          </w:p>
        </w:tc>
        <w:tc>
          <w:tcPr>
            <w:tcW w:type="dxa" w:w="12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1,180</w:t>
            </w:r>
          </w:p>
        </w:tc>
        <w:tc>
          <w:tcPr>
            <w:tcW w:type="dxa" w:w="12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3,350</w:t>
            </w:r>
          </w:p>
        </w:tc>
        <w:tc>
          <w:tcPr>
            <w:tcW w:type="dxa" w:w="13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3,820</w:t>
            </w:r>
          </w:p>
        </w:tc>
        <w:tc>
          <w:tcPr>
            <w:tcW w:type="dxa" w:w="121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ربعي</w:t>
            </w:r>
          </w:p>
        </w:tc>
        <w:tc>
          <w:tcPr>
            <w:tcW w:type="dxa" w:w="1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&lt; 2,500 في السنة 3</w:t>
            </w:r>
          </w:p>
        </w:tc>
      </w:tr>
      <w:tr>
        <w:tc>
          <w:tcPr>
            <w:tcW w:type="dxa" w:w="28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عدد المتدربات (تراكمي)</w:t>
            </w:r>
          </w:p>
        </w:tc>
        <w:tc>
          <w:tcPr>
            <w:tcW w:type="dxa" w:w="12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280</w:t>
            </w:r>
          </w:p>
        </w:tc>
        <w:tc>
          <w:tcPr>
            <w:tcW w:type="dxa" w:w="12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985</w:t>
            </w:r>
          </w:p>
        </w:tc>
        <w:tc>
          <w:tcPr>
            <w:tcW w:type="dxa" w:w="13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1,805</w:t>
            </w:r>
          </w:p>
        </w:tc>
        <w:tc>
          <w:tcPr>
            <w:tcW w:type="dxa" w:w="121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ربعي</w:t>
            </w:r>
          </w:p>
        </w:tc>
        <w:tc>
          <w:tcPr>
            <w:tcW w:type="dxa" w:w="1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&lt; 80٪ من المستهدف</w:t>
            </w:r>
          </w:p>
        </w:tc>
      </w:tr>
      <w:tr>
        <w:tc>
          <w:tcPr>
            <w:tcW w:type="dxa" w:w="28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اجتياز التقييم المهني</w:t>
            </w:r>
          </w:p>
        </w:tc>
        <w:tc>
          <w:tcPr>
            <w:tcW w:type="dxa" w:w="12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75٪</w:t>
            </w:r>
          </w:p>
        </w:tc>
        <w:tc>
          <w:tcPr>
            <w:tcW w:type="dxa" w:w="12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80٪</w:t>
            </w:r>
          </w:p>
        </w:tc>
        <w:tc>
          <w:tcPr>
            <w:tcW w:type="dxa" w:w="13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85٪</w:t>
            </w:r>
          </w:p>
        </w:tc>
        <w:tc>
          <w:tcPr>
            <w:tcW w:type="dxa" w:w="121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لكل دفعة</w:t>
            </w:r>
          </w:p>
        </w:tc>
        <w:tc>
          <w:tcPr>
            <w:tcW w:type="dxa" w:w="1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&lt; 70٪</w:t>
            </w:r>
          </w:p>
        </w:tc>
      </w:tr>
      <w:tr>
        <w:tc>
          <w:tcPr>
            <w:tcW w:type="dxa" w:w="28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استبقاء الأسر بعد 12 شهرًا</w:t>
            </w:r>
          </w:p>
        </w:tc>
        <w:tc>
          <w:tcPr>
            <w:tcW w:type="dxa" w:w="12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65٪</w:t>
            </w:r>
          </w:p>
        </w:tc>
        <w:tc>
          <w:tcPr>
            <w:tcW w:type="dxa" w:w="12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75٪</w:t>
            </w:r>
          </w:p>
        </w:tc>
        <w:tc>
          <w:tcPr>
            <w:tcW w:type="dxa" w:w="13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80٪</w:t>
            </w:r>
          </w:p>
        </w:tc>
        <w:tc>
          <w:tcPr>
            <w:tcW w:type="dxa" w:w="121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ربعي</w:t>
            </w:r>
          </w:p>
        </w:tc>
        <w:tc>
          <w:tcPr>
            <w:tcW w:type="dxa" w:w="1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&lt; 60٪</w:t>
            </w:r>
          </w:p>
        </w:tc>
      </w:tr>
      <w:tr>
        <w:tc>
          <w:tcPr>
            <w:tcW w:type="dxa" w:w="28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الأسر المتخرّجة إلى نشاط مستقل</w:t>
            </w:r>
          </w:p>
        </w:tc>
        <w:tc>
          <w:tcPr>
            <w:tcW w:type="dxa" w:w="12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2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40</w:t>
            </w:r>
          </w:p>
        </w:tc>
        <w:tc>
          <w:tcPr>
            <w:tcW w:type="dxa" w:w="13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90</w:t>
            </w:r>
          </w:p>
        </w:tc>
        <w:tc>
          <w:tcPr>
            <w:tcW w:type="dxa" w:w="121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سنوي</w:t>
            </w:r>
          </w:p>
        </w:tc>
        <w:tc>
          <w:tcPr>
            <w:tcW w:type="dxa" w:w="1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&lt; 60٪ من المستهدف</w:t>
            </w:r>
          </w:p>
        </w:tc>
      </w:tr>
      <w:tr>
        <w:tc>
          <w:tcPr>
            <w:tcW w:type="dxa" w:w="9866"/>
            <w:gridSpan w:val="6"/>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start"/>
            </w:pPr>
            <w:r>
              <w:rPr>
                <w:rFonts w:ascii="Arial" w:cs="Arial" w:hAnsi="Arial"/>
                <w:b w:val="false"/>
                <w:i w:val="false"/>
                <w:color w:val="111A15"/>
                <w:sz w:val="17"/>
                <w:szCs w:val="17"/>
                <w:rtl/>
              </w:rPr>
              <w:t xml:space="preserve">محور الحوكمة</w:t>
            </w:r>
          </w:p>
        </w:tc>
      </w:tr>
      <w:tr>
        <w:tc>
          <w:tcPr>
            <w:tcW w:type="dxa" w:w="28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إنجاز الجدول الزمني</w:t>
            </w:r>
          </w:p>
        </w:tc>
        <w:tc>
          <w:tcPr>
            <w:tcW w:type="dxa" w:w="12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90٪</w:t>
            </w:r>
          </w:p>
        </w:tc>
        <w:tc>
          <w:tcPr>
            <w:tcW w:type="dxa" w:w="12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95٪</w:t>
            </w:r>
          </w:p>
        </w:tc>
        <w:tc>
          <w:tcPr>
            <w:tcW w:type="dxa" w:w="13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95٪</w:t>
            </w:r>
          </w:p>
        </w:tc>
        <w:tc>
          <w:tcPr>
            <w:tcW w:type="dxa" w:w="121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شهري</w:t>
            </w:r>
          </w:p>
        </w:tc>
        <w:tc>
          <w:tcPr>
            <w:tcW w:type="dxa" w:w="1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&lt; 85٪</w:t>
            </w:r>
          </w:p>
        </w:tc>
      </w:tr>
      <w:tr>
        <w:tc>
          <w:tcPr>
            <w:tcW w:type="dxa" w:w="28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انحراف الصرف عن الموازنة</w:t>
            </w:r>
          </w:p>
        </w:tc>
        <w:tc>
          <w:tcPr>
            <w:tcW w:type="dxa" w:w="12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ضمن ‏±10٪</w:t>
            </w:r>
          </w:p>
        </w:tc>
        <w:tc>
          <w:tcPr>
            <w:tcW w:type="dxa" w:w="12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ضمن ‏±7٪</w:t>
            </w:r>
          </w:p>
        </w:tc>
        <w:tc>
          <w:tcPr>
            <w:tcW w:type="dxa" w:w="13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ضمن ‏±5٪</w:t>
            </w:r>
          </w:p>
        </w:tc>
        <w:tc>
          <w:tcPr>
            <w:tcW w:type="dxa" w:w="121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شهري</w:t>
            </w:r>
          </w:p>
        </w:tc>
        <w:tc>
          <w:tcPr>
            <w:tcW w:type="dxa" w:w="1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تجاوز ‏±15٪</w:t>
            </w:r>
          </w:p>
        </w:tc>
      </w:tr>
      <w:tr>
        <w:tc>
          <w:tcPr>
            <w:tcW w:type="dxa" w:w="28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تقديم التقارير للجهة المانحة في موعدها</w:t>
            </w:r>
          </w:p>
        </w:tc>
        <w:tc>
          <w:tcPr>
            <w:tcW w:type="dxa" w:w="12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100٪</w:t>
            </w:r>
          </w:p>
        </w:tc>
        <w:tc>
          <w:tcPr>
            <w:tcW w:type="dxa" w:w="12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100٪</w:t>
            </w:r>
          </w:p>
        </w:tc>
        <w:tc>
          <w:tcPr>
            <w:tcW w:type="dxa" w:w="13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100٪</w:t>
            </w:r>
          </w:p>
        </w:tc>
        <w:tc>
          <w:tcPr>
            <w:tcW w:type="dxa" w:w="121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ربعي</w:t>
            </w:r>
          </w:p>
        </w:tc>
        <w:tc>
          <w:tcPr>
            <w:tcW w:type="dxa" w:w="1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أي تأخير</w:t>
            </w:r>
          </w:p>
        </w:tc>
      </w:tr>
      <w:tr>
        <w:tc>
          <w:tcPr>
            <w:tcW w:type="dxa" w:w="28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ملاحظات المراجع الخارجي الجوهرية</w:t>
            </w:r>
          </w:p>
        </w:tc>
        <w:tc>
          <w:tcPr>
            <w:tcW w:type="dxa" w:w="12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صفر</w:t>
            </w:r>
          </w:p>
        </w:tc>
        <w:tc>
          <w:tcPr>
            <w:tcW w:type="dxa" w:w="129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صفر</w:t>
            </w:r>
          </w:p>
        </w:tc>
        <w:tc>
          <w:tcPr>
            <w:tcW w:type="dxa" w:w="130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صفر</w:t>
            </w:r>
          </w:p>
        </w:tc>
        <w:tc>
          <w:tcPr>
            <w:tcW w:type="dxa" w:w="121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سنوي</w:t>
            </w:r>
          </w:p>
        </w:tc>
        <w:tc>
          <w:tcPr>
            <w:tcW w:type="dxa" w:w="1950"/>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أي ملاحظة جوهرية</w:t>
            </w:r>
          </w:p>
        </w:tc>
      </w:tr>
    </w:tbl>
    <w:p>
      <w:pPr>
        <w:bidi/>
        <w:spacing w:after="140" w:before="0" w:line="300"/>
        <w:jc w:val="both"/>
      </w:pPr>
      <w:r>
        <w:rPr>
          <w:rFonts w:ascii="Arial" w:cs="Arial" w:hAnsi="Arial"/>
          <w:b w:val="false"/>
          <w:i w:val="false"/>
          <w:color w:val="48534C"/>
          <w:sz w:val="8"/>
          <w:szCs w:val="8"/>
          <w:rtl/>
        </w:rPr>
        <w:t xml:space="preserve"/>
      </w:r>
    </w:p>
    <w:p>
      <w:pPr>
        <w:pStyle w:val="Heading1"/>
        <w:keepNext/>
        <w:pageBreakBefore/>
        <w:bidi/>
        <w:spacing w:after="60" w:before="0" w:line="300"/>
        <w:jc w:val="start"/>
        <w:outlineLvl w:val="0"/>
      </w:pPr>
      <w:r>
        <w:rPr>
          <w:rFonts w:ascii="Arial" w:cs="Arial" w:hAnsi="Arial"/>
          <w:b/>
          <w:bCs/>
          <w:i w:val="false"/>
          <w:color w:val="8A6A12"/>
          <w:sz w:val="30"/>
          <w:szCs w:val="30"/>
          <w:rtl/>
        </w:rPr>
        <w:t xml:space="preserve">15   </w:t>
      </w:r>
      <w:r>
        <w:rPr>
          <w:rFonts w:ascii="Arial" w:cs="Arial" w:hAnsi="Arial"/>
          <w:b/>
          <w:bCs/>
          <w:i w:val="false"/>
          <w:color w:val="0E5A49"/>
          <w:sz w:val="30"/>
          <w:szCs w:val="30"/>
          <w:rtl/>
        </w:rPr>
        <w:t xml:space="preserve">إدارة المخاطر</w:t>
      </w:r>
    </w:p>
    <w:p>
      <w:pPr>
        <w:pBdr>
          <w:bottom w:val="single" w:color="DBE2DB" w:sz="6"/>
        </w:pBdr>
        <w:bidi/>
        <w:spacing w:after="260"/>
        <w:jc w:val="start"/>
      </w:pPr>
      <w:r>
        <w:rPr>
          <w:rFonts w:ascii="Arial" w:cs="Arial" w:hAnsi="Arial"/>
          <w:b w:val="false"/>
          <w:i w:val="false"/>
          <w:color w:val="77817A"/>
          <w:sz w:val="17"/>
          <w:szCs w:val="17"/>
          <w:rtl/>
        </w:rPr>
        <w:t xml:space="preserve">أربعة عشر خطرًا مسجَّلًا · تقييم · تخفيف · مالك</w:t>
      </w:r>
    </w:p>
    <w:p>
      <w:pPr>
        <w:keepNext/>
        <w:bidi/>
        <w:spacing w:after="100" w:before="200" w:line="300"/>
        <w:jc w:val="start"/>
      </w:pPr>
      <w:r>
        <w:rPr>
          <w:rFonts w:ascii="Arial" w:cs="Arial" w:hAnsi="Arial"/>
          <w:b/>
          <w:bCs/>
          <w:i w:val="false"/>
          <w:color w:val="8A6A12"/>
          <w:sz w:val="16"/>
          <w:szCs w:val="16"/>
          <w:rtl/>
        </w:rPr>
        <w:t xml:space="preserve">شكل 19  </w:t>
      </w:r>
      <w:r>
        <w:rPr>
          <w:rFonts w:ascii="Arial" w:cs="Arial" w:hAnsi="Arial"/>
          <w:b/>
          <w:bCs/>
          <w:i w:val="false"/>
          <w:color w:val="111A15"/>
          <w:sz w:val="18"/>
          <w:szCs w:val="18"/>
          <w:rtl/>
        </w:rPr>
        <w:t xml:space="preserve">خريطة المخاطر — الاحتمالية مقابل شدّة الأثر</w:t>
      </w:r>
    </w:p>
    <w:p>
      <w:pPr>
        <w:keepNext/>
        <w:bidi/>
        <w:spacing w:after="80"/>
        <w:jc w:val="center"/>
      </w:pPr>
      <w:r>
        <w:drawing>
          <wp:inline distT="0" distB="0" distL="0" distR="0">
            <wp:extent cx="6238875"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238875" cy="4276725"/>
                    </a:xfrm>
                    <a:prstGeom prst="rect">
                      <a:avLst/>
                    </a:prstGeom>
                  </pic:spPr>
                </pic:pic>
              </a:graphicData>
            </a:graphic>
          </wp:inline>
        </w:drawing>
      </w:r>
    </w:p>
    <w:p>
      <w:pPr>
        <w:bidi/>
        <w:spacing w:after="200" w:before="0" w:line="300"/>
        <w:jc w:val="both"/>
      </w:pPr>
      <w:r>
        <w:rPr>
          <w:rFonts w:ascii="Arial" w:cs="Arial" w:hAnsi="Arial"/>
          <w:b w:val="false"/>
          <w:i w:val="false"/>
          <w:color w:val="77817A"/>
          <w:sz w:val="16"/>
          <w:szCs w:val="16"/>
          <w:rtl/>
        </w:rPr>
        <w:t xml:space="preserve">الخطر م3 (بطء اكتساب العقود المؤسسية) هو الأعلى درجةً في السجل بمعامل 20 من 25، لأنه مرتفع الاحتمال وشديد الأثر معًا — فهو يضرب 50٪ من مزيج الإيراد. أما م6 و م7 فاحتمالهما منخفض لكن أثرهما أقصى، وهذان نوعان يُدارَان بالتحوّط لا بالمتابعة.</w:t>
      </w:r>
    </w:p>
    <w:p>
      <w:pPr>
        <w:keepNext/>
        <w:bidi/>
        <w:spacing w:after="60" w:before="160" w:line="300"/>
        <w:jc w:val="start"/>
      </w:pPr>
      <w:r>
        <w:rPr>
          <w:rFonts w:ascii="Arial" w:cs="Arial" w:hAnsi="Arial"/>
          <w:b/>
          <w:bCs/>
          <w:i w:val="false"/>
          <w:color w:val="8A6A12"/>
          <w:sz w:val="16"/>
          <w:szCs w:val="16"/>
          <w:rtl/>
        </w:rPr>
        <w:t xml:space="preserve">جدول 34 — سجل المخاطر وإجراءات التخفيف</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1"/>
        <w:gridCol w:w="2199"/>
        <w:gridCol w:w="641"/>
        <w:gridCol w:w="641"/>
        <w:gridCol w:w="641"/>
        <w:gridCol w:w="3811"/>
        <w:gridCol w:w="1292"/>
      </w:tblGrid>
      <w:tr>
        <w:trPr>
          <w:tblHeader/>
        </w:trPr>
        <w:tc>
          <w:tcPr>
            <w:tcW w:type="dxa" w:w="64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الرمز</w:t>
            </w:r>
          </w:p>
        </w:tc>
        <w:tc>
          <w:tcPr>
            <w:tcW w:type="dxa" w:w="219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الخطر</w:t>
            </w:r>
          </w:p>
        </w:tc>
        <w:tc>
          <w:tcPr>
            <w:tcW w:type="dxa" w:w="64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الاحتمال</w:t>
            </w:r>
          </w:p>
        </w:tc>
        <w:tc>
          <w:tcPr>
            <w:tcW w:type="dxa" w:w="64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الأثر</w:t>
            </w:r>
          </w:p>
        </w:tc>
        <w:tc>
          <w:tcPr>
            <w:tcW w:type="dxa" w:w="64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الدرجة</w:t>
            </w:r>
          </w:p>
        </w:tc>
        <w:tc>
          <w:tcPr>
            <w:tcW w:type="dxa" w:w="381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إجراء التخفيف</w:t>
            </w:r>
          </w:p>
        </w:tc>
        <w:tc>
          <w:tcPr>
            <w:tcW w:type="dxa" w:w="1292"/>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المالك</w:t>
            </w:r>
          </w:p>
        </w:tc>
      </w:tr>
      <w:tr>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م3</w:t>
            </w:r>
          </w:p>
        </w:tc>
        <w:tc>
          <w:tcPr>
            <w:tcW w:type="dxa" w:w="21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بطء اكتساب العقود المؤسسية وتأخر بلوغ مستهدف الإيراد</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20</w:t>
            </w:r>
          </w:p>
        </w:tc>
        <w:tc>
          <w:tcPr>
            <w:tcW w:type="dxa" w:w="38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12 خطاب نوايا موقّعًا قبل التشغيل · فريق مبيعات مخصص من الشهر السابع · تسعير دخول للسنة الأولى · محفّز التدخّل المبكر عند 85٪</w:t>
            </w:r>
          </w:p>
        </w:tc>
        <w:tc>
          <w:tcPr>
            <w:tcW w:type="dxa" w:w="129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مدير التسويق</w:t>
            </w:r>
          </w:p>
        </w:tc>
      </w:tr>
      <w:tr>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م4</w:t>
            </w:r>
          </w:p>
        </w:tc>
        <w:tc>
          <w:tcPr>
            <w:tcW w:type="dxa" w:w="21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ارتفاع أسعار المواد الخام فوق نطاق ‏±15٪</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w:t>
            </w:r>
          </w:p>
        </w:tc>
        <w:tc>
          <w:tcPr>
            <w:tcW w:type="dxa" w:w="38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تعاقد سنوي مثبّت الأسعار · تعدد مصادر لكل صنف حرج · بند تصعيد سعري في عقود العملاء · شراء مركزي بالحجم</w:t>
            </w:r>
          </w:p>
        </w:tc>
        <w:tc>
          <w:tcPr>
            <w:tcW w:type="dxa" w:w="129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مدير التشغيل</w:t>
            </w:r>
          </w:p>
        </w:tc>
      </w:tr>
      <w:tr>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م1</w:t>
            </w:r>
          </w:p>
        </w:tc>
        <w:tc>
          <w:tcPr>
            <w:tcW w:type="dxa" w:w="21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تأخّر إصدار التراخيص البلدية والصحية</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w:t>
            </w:r>
          </w:p>
        </w:tc>
        <w:tc>
          <w:tcPr>
            <w:tcW w:type="dxa" w:w="38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بدء مسار الترخيص بالتوازي مع التصميم · عرض المخططات على الجهة المختصة قبل الاعتماد · احتياطي زمني 6 أسابيع</w:t>
            </w:r>
          </w:p>
        </w:tc>
        <w:tc>
          <w:tcPr>
            <w:tcW w:type="dxa" w:w="129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مدير المركز</w:t>
            </w:r>
          </w:p>
        </w:tc>
      </w:tr>
      <w:tr>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م5</w:t>
            </w:r>
          </w:p>
        </w:tc>
        <w:tc>
          <w:tcPr>
            <w:tcW w:type="dxa" w:w="21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تسرّب المستفيدات وضعف الالتزام بساعات الإنتاج</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w:t>
            </w:r>
          </w:p>
        </w:tc>
        <w:tc>
          <w:tcPr>
            <w:tcW w:type="dxa" w:w="38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عقد إنتاج واضح بحد أدنى للساعات · حوافز إنتاجية تصاعدية · نقل جماعي · مرونة الورديات · متابعة أسبوعية من أخصائي التمكين</w:t>
            </w:r>
          </w:p>
        </w:tc>
        <w:tc>
          <w:tcPr>
            <w:tcW w:type="dxa" w:w="129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أخصائي التمكين</w:t>
            </w:r>
          </w:p>
        </w:tc>
      </w:tr>
      <w:tr>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م9</w:t>
            </w:r>
          </w:p>
        </w:tc>
        <w:tc>
          <w:tcPr>
            <w:tcW w:type="dxa" w:w="21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أعطال المعدات وانقطاع سلسلة التبريد</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w:t>
            </w:r>
          </w:p>
        </w:tc>
        <w:tc>
          <w:tcPr>
            <w:tcW w:type="dxa" w:w="38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عقد صيانة وقائية · مخزون قطع غيار حرجة · مولد احتياطي آلي · إنذار حراري عن بُعد · تأمين على الأصول</w:t>
            </w:r>
          </w:p>
        </w:tc>
        <w:tc>
          <w:tcPr>
            <w:tcW w:type="dxa" w:w="129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مدير التشغيل</w:t>
            </w:r>
          </w:p>
        </w:tc>
      </w:tr>
      <w:tr>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م12</w:t>
            </w:r>
          </w:p>
        </w:tc>
        <w:tc>
          <w:tcPr>
            <w:tcW w:type="dxa" w:w="21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ضعف قدرة الفريق على إدارة مشروع إنتاجي تجاري</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w:t>
            </w:r>
          </w:p>
        </w:tc>
        <w:tc>
          <w:tcPr>
            <w:tcW w:type="dxa" w:w="38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استقطاب مدير تشغيل من القطاع الصناعي لا من غير الربحي · خبير صناعي مستقل في لجنة الإشراف · مرافقة استشارية 12 شهرًا</w:t>
            </w:r>
          </w:p>
        </w:tc>
        <w:tc>
          <w:tcPr>
            <w:tcW w:type="dxa" w:w="129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مجلس الإدارة</w:t>
            </w:r>
          </w:p>
        </w:tc>
      </w:tr>
      <w:tr>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م13</w:t>
            </w:r>
          </w:p>
        </w:tc>
        <w:tc>
          <w:tcPr>
            <w:tcW w:type="dxa" w:w="21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الاعتماد المفرط على عميل مؤسسي واحد</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w:t>
            </w:r>
          </w:p>
        </w:tc>
        <w:tc>
          <w:tcPr>
            <w:tcW w:type="dxa" w:w="38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سقف تعاقدي 25٪ لأي عميل منفرد · مراجعة ربعية لتركّز الإيراد · تطوير القناة الإلكترونية كمصدّ</w:t>
            </w:r>
          </w:p>
        </w:tc>
        <w:tc>
          <w:tcPr>
            <w:tcW w:type="dxa" w:w="129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مدير التسويق</w:t>
            </w:r>
          </w:p>
        </w:tc>
      </w:tr>
      <w:tr>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م6</w:t>
            </w:r>
          </w:p>
        </w:tc>
        <w:tc>
          <w:tcPr>
            <w:tcW w:type="dxa" w:w="21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حادثة سلامة غذائية أو استدعاء منتج</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w:t>
            </w:r>
          </w:p>
        </w:tc>
        <w:tc>
          <w:tcPr>
            <w:tcW w:type="dxa" w:w="38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نظام تحليل المخاطر ونقاط التحكم الحرجة · تتبّع كامل للدفعات · تأمين مسؤولية منتج · بروتوكول استدعاء مُختبَر مرتين سنويًا · صلاحية إيقاف مستقلة لمسؤول الجودة</w:t>
            </w:r>
          </w:p>
        </w:tc>
        <w:tc>
          <w:tcPr>
            <w:tcW w:type="dxa" w:w="129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مسؤول الجودة</w:t>
            </w:r>
          </w:p>
        </w:tc>
      </w:tr>
      <w:tr>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م7</w:t>
            </w:r>
          </w:p>
        </w:tc>
        <w:tc>
          <w:tcPr>
            <w:tcW w:type="dxa" w:w="21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عجز أو تأخّر في تدفق التمويل من الجهة المانحة</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w:t>
            </w:r>
          </w:p>
        </w:tc>
        <w:tc>
          <w:tcPr>
            <w:tcW w:type="dxa" w:w="38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ربط الصرف بمعالم قابلة للتحقق · تنويع مصادر التمويل على أربع جهات · خط ائتمان احتياطي من الجمعية · تسلسل التنفيذ يسمح بالتوقف الآمن بين المعالم</w:t>
            </w:r>
          </w:p>
        </w:tc>
        <w:tc>
          <w:tcPr>
            <w:tcW w:type="dxa" w:w="129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مجلس الإدارة</w:t>
            </w:r>
          </w:p>
        </w:tc>
      </w:tr>
      <w:tr>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م2</w:t>
            </w:r>
          </w:p>
        </w:tc>
        <w:tc>
          <w:tcPr>
            <w:tcW w:type="dxa" w:w="21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تجاوز التكلفة الرأسمالية المقدّرة</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w:t>
            </w:r>
          </w:p>
        </w:tc>
        <w:tc>
          <w:tcPr>
            <w:tcW w:type="dxa" w:w="38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احتياطي طوارئ 5٪ · ثلاثة عروض أسعار لكل بند يتجاوز 100 ألف · عقود بسعر إجمالي ثابت · مراجعة شهرية للالتزامات</w:t>
            </w:r>
          </w:p>
        </w:tc>
        <w:tc>
          <w:tcPr>
            <w:tcW w:type="dxa" w:w="129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مدير المركز</w:t>
            </w:r>
          </w:p>
        </w:tc>
      </w:tr>
      <w:tr>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م8</w:t>
            </w:r>
          </w:p>
        </w:tc>
        <w:tc>
          <w:tcPr>
            <w:tcW w:type="dxa" w:w="21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صعوبة استقطاب كفاءات فنية متخصصة</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w:t>
            </w:r>
          </w:p>
        </w:tc>
        <w:tc>
          <w:tcPr>
            <w:tcW w:type="dxa" w:w="38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بدء الاستقطاب من الشهر الثاني · حزمة تعويضات تنافسية للأدوار الحرجة · مسار ترقٍّ داخلي من خريجات البرنامج</w:t>
            </w:r>
          </w:p>
        </w:tc>
        <w:tc>
          <w:tcPr>
            <w:tcW w:type="dxa" w:w="129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منسق الموارد البشرية</w:t>
            </w:r>
          </w:p>
        </w:tc>
      </w:tr>
      <w:tr>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م10</w:t>
            </w:r>
          </w:p>
        </w:tc>
        <w:tc>
          <w:tcPr>
            <w:tcW w:type="dxa" w:w="21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دخول منافس مؤسسي بأسعار إغراقية</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w:t>
            </w:r>
          </w:p>
        </w:tc>
        <w:tc>
          <w:tcPr>
            <w:tcW w:type="dxa" w:w="38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عقود سنوية تحصّن قاعدة العملاء · تمايز بالأثر الاجتماعي والمرونة · التركيز على شرائح لا يخدمها المنافس الكبير</w:t>
            </w:r>
          </w:p>
        </w:tc>
        <w:tc>
          <w:tcPr>
            <w:tcW w:type="dxa" w:w="129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مدير التسويق</w:t>
            </w:r>
          </w:p>
        </w:tc>
      </w:tr>
      <w:tr>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م11</w:t>
            </w:r>
          </w:p>
        </w:tc>
        <w:tc>
          <w:tcPr>
            <w:tcW w:type="dxa" w:w="21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تغيّر الاشتراطات التنظيمية للأغذية</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w:t>
            </w:r>
          </w:p>
        </w:tc>
        <w:tc>
          <w:tcPr>
            <w:tcW w:type="dxa" w:w="38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تصميم يستوفي اشتراطات أعلى من الحد الأدنى الحالي · متابعة دورية للتحديثات · احتياطي رأسمالي للتحديث</w:t>
            </w:r>
          </w:p>
        </w:tc>
        <w:tc>
          <w:tcPr>
            <w:tcW w:type="dxa" w:w="129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مسؤول الجودة</w:t>
            </w:r>
          </w:p>
        </w:tc>
      </w:tr>
      <w:tr>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م14</w:t>
            </w:r>
          </w:p>
        </w:tc>
        <w:tc>
          <w:tcPr>
            <w:tcW w:type="dxa" w:w="21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مخاطر سمعة عبر وسائل التواصل</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w:t>
            </w:r>
          </w:p>
        </w:tc>
        <w:tc>
          <w:tcPr>
            <w:tcW w:type="dxa" w:w="6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w:t>
            </w:r>
          </w:p>
        </w:tc>
        <w:tc>
          <w:tcPr>
            <w:tcW w:type="dxa" w:w="381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سياسة اتصال أزمات مكتوبة · متحدث معتمد واحد · قناة شكاوى معلنة تُغلق خلال 48 ساعة · شفافية استباقية</w:t>
            </w:r>
          </w:p>
        </w:tc>
        <w:tc>
          <w:tcPr>
            <w:tcW w:type="dxa" w:w="129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مدير التسويق</w:t>
            </w:r>
          </w:p>
        </w:tc>
      </w:tr>
    </w:tbl>
    <w:p>
      <w:pPr>
        <w:bidi/>
        <w:spacing w:after="140" w:before="0" w:line="300"/>
        <w:jc w:val="both"/>
      </w:pPr>
      <w:r>
        <w:rPr>
          <w:rFonts w:ascii="Arial" w:cs="Arial" w:hAnsi="Arial"/>
          <w:b w:val="false"/>
          <w:i w:val="false"/>
          <w:color w:val="48534C"/>
          <w:sz w:val="8"/>
          <w:szCs w:val="8"/>
          <w:rtl/>
        </w:rPr>
        <w:t xml:space="preserve"/>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c>
          <w:tcPr>
            <w:tcW w:type="dxa" w:w="9866"/>
            <w:tcBorders>
              <w:top w:val="single" w:color="DBE2DB" w:sz="4"/>
              <w:left w:val="single" w:color="DBE2DB" w:sz="4"/>
              <w:bottom w:val="single" w:color="DBE2DB" w:sz="4"/>
              <w:right w:val="single" w:color="8A6A12" w:sz="22"/>
            </w:tcBorders>
            <w:shd w:fill="FBFCFA" w:color="auto" w:val="clear"/>
            <w:tcMar>
              <w:top w:type="dxa" w:w="120"/>
              <w:left w:type="dxa" w:w="160"/>
              <w:bottom w:type="dxa" w:w="120"/>
              <w:right w:type="dxa" w:w="160"/>
            </w:tcMar>
          </w:tcPr>
          <w:p>
            <w:pPr>
              <w:bidi/>
              <w:spacing w:after="80" w:before="40" w:line="280"/>
              <w:jc w:val="start"/>
            </w:pPr>
            <w:r>
              <w:rPr>
                <w:rFonts w:ascii="Arial" w:cs="Arial" w:hAnsi="Arial"/>
                <w:b/>
                <w:bCs/>
                <w:i w:val="false"/>
                <w:color w:val="8A6A12"/>
                <w:sz w:val="19"/>
                <w:szCs w:val="19"/>
                <w:rtl/>
              </w:rPr>
              <w:t xml:space="preserve">منهج إدارة المخاطر</w:t>
            </w:r>
          </w:p>
          <w:p>
            <w:pPr>
              <w:bidi/>
              <w:spacing w:after="80" w:line="290"/>
              <w:jc w:val="both"/>
            </w:pPr>
            <w:r>
              <w:rPr>
                <w:rFonts w:ascii="Arial" w:cs="Arial" w:hAnsi="Arial"/>
                <w:b w:val="false"/>
                <w:i w:val="false"/>
                <w:color w:val="48534C"/>
                <w:sz w:val="18"/>
                <w:szCs w:val="18"/>
                <w:rtl/>
              </w:rPr>
              <w:t xml:space="preserve">يُراجَع السجل شهريًا في اجتماع لجنة الإشراف، ويُعاد تقييم درجة كل خطر ربعيًا. وأي خطر تبلغ درجته 15 فأكثر يستوجب خطة تخفيف مكتوبة بمالك وموعد، وإدراجه في تقرير الجهة المانحة الربعي. ويُضاف إلى السجل أي خطر جديد يُرصد ميدانيًا دون انتظار دورة المراجعة.</w:t>
            </w:r>
          </w:p>
        </w:tc>
      </w:tr>
    </w:tbl>
    <w:p>
      <w:pPr>
        <w:bidi/>
        <w:spacing w:after="160" w:before="0" w:line="300"/>
        <w:jc w:val="both"/>
      </w:pPr>
      <w:r>
        <w:rPr>
          <w:rFonts w:ascii="Arial" w:cs="Arial" w:hAnsi="Arial"/>
          <w:b w:val="false"/>
          <w:i w:val="false"/>
          <w:color w:val="48534C"/>
          <w:sz w:val="8"/>
          <w:szCs w:val="8"/>
          <w:rtl/>
        </w:rPr>
        <w:t xml:space="preserve"/>
      </w:r>
    </w:p>
    <w:p>
      <w:pPr>
        <w:pStyle w:val="Heading1"/>
        <w:keepNext/>
        <w:pageBreakBefore/>
        <w:bidi/>
        <w:spacing w:after="60" w:before="0" w:line="300"/>
        <w:jc w:val="start"/>
        <w:outlineLvl w:val="0"/>
      </w:pPr>
      <w:r>
        <w:rPr>
          <w:rFonts w:ascii="Arial" w:cs="Arial" w:hAnsi="Arial"/>
          <w:b/>
          <w:bCs/>
          <w:i w:val="false"/>
          <w:color w:val="8A6A12"/>
          <w:sz w:val="30"/>
          <w:szCs w:val="30"/>
          <w:rtl/>
        </w:rPr>
        <w:t xml:space="preserve">16   </w:t>
      </w:r>
      <w:r>
        <w:rPr>
          <w:rFonts w:ascii="Arial" w:cs="Arial" w:hAnsi="Arial"/>
          <w:b/>
          <w:bCs/>
          <w:i w:val="false"/>
          <w:color w:val="0E5A49"/>
          <w:sz w:val="30"/>
          <w:szCs w:val="30"/>
          <w:rtl/>
        </w:rPr>
        <w:t xml:space="preserve">الاستدامة</w:t>
      </w:r>
    </w:p>
    <w:p>
      <w:pPr>
        <w:pBdr>
          <w:bottom w:val="single" w:color="DBE2DB" w:sz="6"/>
        </w:pBdr>
        <w:bidi/>
        <w:spacing w:after="260"/>
        <w:jc w:val="start"/>
      </w:pPr>
      <w:r>
        <w:rPr>
          <w:rFonts w:ascii="Arial" w:cs="Arial" w:hAnsi="Arial"/>
          <w:b w:val="false"/>
          <w:i w:val="false"/>
          <w:color w:val="77817A"/>
          <w:sz w:val="17"/>
          <w:szCs w:val="17"/>
          <w:rtl/>
        </w:rPr>
        <w:t xml:space="preserve">ماذا يحدث للمشروع بعد أن تنتهي المنحة</w:t>
      </w:r>
    </w:p>
    <w:p>
      <w:pPr>
        <w:bidi/>
        <w:spacing w:after="140" w:before="0" w:line="300"/>
        <w:jc w:val="both"/>
      </w:pPr>
      <w:r>
        <w:rPr>
          <w:rFonts w:ascii="Arial" w:cs="Arial" w:hAnsi="Arial"/>
          <w:b w:val="false"/>
          <w:i w:val="false"/>
          <w:color w:val="111A15"/>
          <w:sz w:val="21"/>
          <w:szCs w:val="21"/>
          <w:rtl/>
        </w:rPr>
        <w:t xml:space="preserve">سؤال الاستدامة هو السؤال الذي تسقط عليه أغلب مشاريع القطاع غير الربحي. والإجابة هنا ليست وعدًا بل بنية: </w:t>
      </w:r>
      <w:r>
        <w:rPr>
          <w:rFonts w:ascii="Arial" w:cs="Arial" w:hAnsi="Arial"/>
          <w:b/>
          <w:bCs/>
          <w:i w:val="false"/>
          <w:color w:val="111A15"/>
          <w:sz w:val="21"/>
          <w:szCs w:val="21"/>
          <w:rtl/>
        </w:rPr>
        <w:t xml:space="preserve">المشروع مصمَّم منذ يومه الأول ككيان تجاري يحقق فائضًا، لا كبرنامج خدمي يستهلك موازنة.</w:t>
      </w:r>
      <w:r>
        <w:rPr>
          <w:rFonts w:ascii="Arial" w:cs="Arial" w:hAnsi="Arial"/>
          <w:b w:val="false"/>
          <w:i w:val="false"/>
          <w:color w:val="111A15"/>
          <w:sz w:val="21"/>
          <w:szCs w:val="21"/>
          <w:rtl/>
        </w:rPr>
        <w:t xml:space="preserve"> والمنحة تشتري الأصل مرة واحدة، ثم يموّل الأصلُ نفسَه.</w:t>
      </w:r>
    </w:p>
    <w:p>
      <w:pPr>
        <w:keepNext/>
        <w:bidi/>
        <w:spacing w:after="100" w:before="200" w:line="300"/>
        <w:jc w:val="start"/>
      </w:pPr>
      <w:r>
        <w:rPr>
          <w:rFonts w:ascii="Arial" w:cs="Arial" w:hAnsi="Arial"/>
          <w:b/>
          <w:bCs/>
          <w:i w:val="false"/>
          <w:color w:val="8A6A12"/>
          <w:sz w:val="16"/>
          <w:szCs w:val="16"/>
          <w:rtl/>
        </w:rPr>
        <w:t xml:space="preserve">شكل 20  </w:t>
      </w:r>
      <w:r>
        <w:rPr>
          <w:rFonts w:ascii="Arial" w:cs="Arial" w:hAnsi="Arial"/>
          <w:b/>
          <w:bCs/>
          <w:i w:val="false"/>
          <w:color w:val="111A15"/>
          <w:sz w:val="18"/>
          <w:szCs w:val="18"/>
          <w:rtl/>
        </w:rPr>
        <w:t xml:space="preserve">مسار الاكتفاء التشغيلي الذاتي خلال السنوات الخمس</w:t>
      </w:r>
    </w:p>
    <w:p>
      <w:pPr>
        <w:keepNext/>
        <w:bidi/>
        <w:spacing w:after="80"/>
        <w:jc w:val="center"/>
      </w:pPr>
      <w:r>
        <w:drawing>
          <wp:inline distT="0" distB="0" distL="0" distR="0">
            <wp:extent cx="62388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238875" cy="2628900"/>
                    </a:xfrm>
                    <a:prstGeom prst="rect">
                      <a:avLst/>
                    </a:prstGeom>
                  </pic:spPr>
                </pic:pic>
              </a:graphicData>
            </a:graphic>
          </wp:inline>
        </w:drawing>
      </w:r>
    </w:p>
    <w:p>
      <w:pPr>
        <w:bidi/>
        <w:spacing w:after="200" w:before="0" w:line="300"/>
        <w:jc w:val="both"/>
      </w:pPr>
      <w:r>
        <w:rPr>
          <w:rFonts w:ascii="Arial" w:cs="Arial" w:hAnsi="Arial"/>
          <w:b w:val="false"/>
          <w:i w:val="false"/>
          <w:color w:val="77817A"/>
          <w:sz w:val="16"/>
          <w:szCs w:val="16"/>
          <w:rtl/>
        </w:rPr>
        <w:t xml:space="preserve">نسبة الاكتفاء = الإيرادات ÷ (تكلفة المبيعات + المصروفات التشغيلية). تجاوز خط المئة بالمئة في السنة الثانية يعني أن المشروع يغطي مصروفاته النقدية بالكامل من إيراده — وهو المعيار العملي الذي تقيس به الجهات المانحة استدامة المشاريع الإنتاجية.</w:t>
      </w:r>
    </w:p>
    <w:p>
      <w:pPr>
        <w:keepNext/>
        <w:bidi/>
        <w:spacing w:after="60" w:before="160" w:line="300"/>
        <w:jc w:val="start"/>
      </w:pPr>
      <w:r>
        <w:rPr>
          <w:rFonts w:ascii="Arial" w:cs="Arial" w:hAnsi="Arial"/>
          <w:b/>
          <w:bCs/>
          <w:i w:val="false"/>
          <w:color w:val="8A6A12"/>
          <w:sz w:val="16"/>
          <w:szCs w:val="16"/>
          <w:rtl/>
        </w:rPr>
        <w:t xml:space="preserve">جدول 35 — أبعاد الاستدامة وآلياتها</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4"/>
        <w:gridCol w:w="4621"/>
        <w:gridCol w:w="3801"/>
      </w:tblGrid>
      <w:tr>
        <w:trPr>
          <w:tblHeader/>
        </w:trPr>
        <w:tc>
          <w:tcPr>
            <w:tcW w:type="dxa" w:w="1444"/>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البعد</w:t>
            </w:r>
          </w:p>
        </w:tc>
        <w:tc>
          <w:tcPr>
            <w:tcW w:type="dxa" w:w="462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الآلية</w:t>
            </w:r>
          </w:p>
        </w:tc>
        <w:tc>
          <w:tcPr>
            <w:tcW w:type="dxa" w:w="380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الدليل على التحقق</w:t>
            </w:r>
          </w:p>
        </w:tc>
      </w:tr>
      <w:tr>
        <w:tc>
          <w:tcPr>
            <w:tcW w:type="dxa" w:w="144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المالية</w:t>
            </w:r>
          </w:p>
        </w:tc>
        <w:tc>
          <w:tcPr>
            <w:tcW w:type="dxa" w:w="46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تغطية كاملة للمصروفات النقدية من الإيراد الذاتي · تنويع الإيراد على ستة خطوط وأربع قنوات · احتياطي إحلال أصول بواقع 35٪ من الفائض من السنة الرابعة · احتياطي سيولة يعادل 3 أشهر تشغيل</w:t>
            </w:r>
          </w:p>
        </w:tc>
        <w:tc>
          <w:tcPr>
            <w:tcW w:type="dxa" w:w="380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الاكتفاء 101٪ من السنة الثانية · فائض موجب بعد الإهلاك من السنة الرابعة</w:t>
            </w:r>
          </w:p>
        </w:tc>
      </w:tr>
      <w:tr>
        <w:tc>
          <w:tcPr>
            <w:tcW w:type="dxa" w:w="144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المؤسسية</w:t>
            </w:r>
          </w:p>
        </w:tc>
        <w:tc>
          <w:tcPr>
            <w:tcW w:type="dxa" w:w="46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حوكمة مفصولة عن العمل الخيري · لجنة إشراف مستقلة · نظام ERP يوثّق العمليات · أدلة إجراءات مكتوبة تجعل المعرفة ملكًا للمؤسسة لا للأفراد</w:t>
            </w:r>
          </w:p>
        </w:tc>
        <w:tc>
          <w:tcPr>
            <w:tcW w:type="dxa" w:w="380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استمرار التشغيل بكفاءته عند تغيّر الأشخاص · اجتياز المراجعة الخارجية بلا ملاحظات جوهرية</w:t>
            </w:r>
          </w:p>
        </w:tc>
      </w:tr>
      <w:tr>
        <w:tc>
          <w:tcPr>
            <w:tcW w:type="dxa" w:w="144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التشغيلية</w:t>
            </w:r>
          </w:p>
        </w:tc>
        <w:tc>
          <w:tcPr>
            <w:tcW w:type="dxa" w:w="46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صيانة وقائية مجدولة · مخزون قطع غيار حرجة · تدريب مستمر · تعدد مصادر التوريد · تجديد الاعتمادات في مواعيدها</w:t>
            </w:r>
          </w:p>
        </w:tc>
        <w:tc>
          <w:tcPr>
            <w:tcW w:type="dxa" w:w="380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زمن تعطّل أقل من 2٪ · استمرار سريان الرخص والشهادات</w:t>
            </w:r>
          </w:p>
        </w:tc>
      </w:tr>
      <w:tr>
        <w:tc>
          <w:tcPr>
            <w:tcW w:type="dxa" w:w="144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السوقية</w:t>
            </w:r>
          </w:p>
        </w:tc>
        <w:tc>
          <w:tcPr>
            <w:tcW w:type="dxa" w:w="46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عقود سنوية متجددة · علامة تجارية مملوكة ومسجّلة · قاعدة عملاء موزّعة بسقف تركّز 25٪ · تطوير مستمر للمنتجات</w:t>
            </w:r>
          </w:p>
        </w:tc>
        <w:tc>
          <w:tcPr>
            <w:tcW w:type="dxa" w:w="380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تجديد العقود ‏≥ 80٪ · تركّز أكبر عميل ‏≤ 25٪</w:t>
            </w:r>
          </w:p>
        </w:tc>
      </w:tr>
      <w:tr>
        <w:tc>
          <w:tcPr>
            <w:tcW w:type="dxa" w:w="144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الاجتماعية</w:t>
            </w:r>
          </w:p>
        </w:tc>
        <w:tc>
          <w:tcPr>
            <w:tcW w:type="dxa" w:w="46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ملكية المستفيدات للنموذج عبر تمثيلهنّ في الحوكمة · مسار تخرّج إلى الاستقلال · تجديد قاعدة المستفيدات سنويًا فلا يتحول المركز إلى وظيفة دائمة لفئة مغلقة</w:t>
            </w:r>
          </w:p>
        </w:tc>
        <w:tc>
          <w:tcPr>
            <w:tcW w:type="dxa" w:w="380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90 أسرة مستقلة بحلول السنة الخامسة · نسبة استبقاء 80٪</w:t>
            </w:r>
          </w:p>
        </w:tc>
      </w:tr>
      <w:tr>
        <w:tc>
          <w:tcPr>
            <w:tcW w:type="dxa" w:w="144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البيئية</w:t>
            </w:r>
          </w:p>
        </w:tc>
        <w:tc>
          <w:tcPr>
            <w:tcW w:type="dxa" w:w="462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خفض الفاقد الغذائي إلى 3٪ · تغليف قابل لإعادة التدوير · معدات موفّرة للطاقة · معالجة الصرف بمصيدة شحوم · إعادة توجيه الفائض الصالح إلى برامج الجمعية الغذائية</w:t>
            </w:r>
          </w:p>
        </w:tc>
        <w:tc>
          <w:tcPr>
            <w:tcW w:type="dxa" w:w="380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الهدر ‏≤ 3٪ · تقرير بيئي سنوي</w:t>
            </w:r>
          </w:p>
        </w:tc>
      </w:tr>
    </w:tbl>
    <w:p>
      <w:pPr>
        <w:bidi/>
        <w:spacing w:after="14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خطة ما بعد المنحة</w:t>
      </w:r>
    </w:p>
    <w:p>
      <w:pPr>
        <w:bidi/>
        <w:spacing w:after="70" w:before="0" w:line="300"/>
        <w:ind w:start="280"/>
        <w:jc w:val="both"/>
      </w:pPr>
      <w:r>
        <w:rPr>
          <w:rFonts w:ascii="Arial" w:cs="Arial" w:hAnsi="Arial"/>
          <w:b/>
          <w:bCs/>
          <w:i w:val="false"/>
          <w:color w:val="8A6A12"/>
          <w:sz w:val="20"/>
          <w:szCs w:val="20"/>
          <w:rtl/>
        </w:rPr>
        <w:t xml:space="preserve">1.  </w:t>
      </w:r>
      <w:r>
        <w:rPr>
          <w:rFonts w:ascii="Arial" w:cs="Arial" w:hAnsi="Arial"/>
          <w:b/>
          <w:bCs/>
          <w:i w:val="false"/>
          <w:color w:val="48534C"/>
          <w:sz w:val="20"/>
          <w:szCs w:val="20"/>
          <w:rtl/>
        </w:rPr>
        <w:t xml:space="preserve">السنوات 1–2 — الإرساء:</w:t>
      </w:r>
      <w:r>
        <w:rPr>
          <w:rFonts w:ascii="Arial" w:cs="Arial" w:hAnsi="Arial"/>
          <w:b w:val="false"/>
          <w:i w:val="false"/>
          <w:color w:val="48534C"/>
          <w:sz w:val="20"/>
          <w:szCs w:val="20"/>
          <w:rtl/>
        </w:rPr>
        <w:t xml:space="preserve"> بلوغ الاكتفاء التشغيلي، تثبيت قاعدة العملاء، إغلاق ملف الاعتمادات. الجهة المانحة شريك متابعة نشط.</w:t>
      </w:r>
    </w:p>
    <w:p>
      <w:pPr>
        <w:bidi/>
        <w:spacing w:after="70" w:before="0" w:line="300"/>
        <w:ind w:start="280"/>
        <w:jc w:val="both"/>
      </w:pPr>
      <w:r>
        <w:rPr>
          <w:rFonts w:ascii="Arial" w:cs="Arial" w:hAnsi="Arial"/>
          <w:b/>
          <w:bCs/>
          <w:i w:val="false"/>
          <w:color w:val="8A6A12"/>
          <w:sz w:val="20"/>
          <w:szCs w:val="20"/>
          <w:rtl/>
        </w:rPr>
        <w:t xml:space="preserve">2.  </w:t>
      </w:r>
      <w:r>
        <w:rPr>
          <w:rFonts w:ascii="Arial" w:cs="Arial" w:hAnsi="Arial"/>
          <w:b/>
          <w:bCs/>
          <w:i w:val="false"/>
          <w:color w:val="48534C"/>
          <w:sz w:val="20"/>
          <w:szCs w:val="20"/>
          <w:rtl/>
        </w:rPr>
        <w:t xml:space="preserve">السنوات 3–5 — الترسيخ:</w:t>
      </w:r>
      <w:r>
        <w:rPr>
          <w:rFonts w:ascii="Arial" w:cs="Arial" w:hAnsi="Arial"/>
          <w:b w:val="false"/>
          <w:i w:val="false"/>
          <w:color w:val="48534C"/>
          <w:sz w:val="20"/>
          <w:szCs w:val="20"/>
          <w:rtl/>
        </w:rPr>
        <w:t xml:space="preserve"> تحقيق فائض بعد الإهلاك، سداد القرض الميسّر، بناء احتياطي الإحلال، الاستغناء الكامل عن أي دعم تشغيلي.</w:t>
      </w:r>
    </w:p>
    <w:p>
      <w:pPr>
        <w:bidi/>
        <w:spacing w:after="70" w:before="0" w:line="300"/>
        <w:ind w:start="280"/>
        <w:jc w:val="both"/>
      </w:pPr>
      <w:r>
        <w:rPr>
          <w:rFonts w:ascii="Arial" w:cs="Arial" w:hAnsi="Arial"/>
          <w:b/>
          <w:bCs/>
          <w:i w:val="false"/>
          <w:color w:val="8A6A12"/>
          <w:sz w:val="20"/>
          <w:szCs w:val="20"/>
          <w:rtl/>
        </w:rPr>
        <w:t xml:space="preserve">3.  </w:t>
      </w:r>
      <w:r>
        <w:rPr>
          <w:rFonts w:ascii="Arial" w:cs="Arial" w:hAnsi="Arial"/>
          <w:b/>
          <w:bCs/>
          <w:i w:val="false"/>
          <w:color w:val="48534C"/>
          <w:sz w:val="20"/>
          <w:szCs w:val="20"/>
          <w:rtl/>
        </w:rPr>
        <w:t xml:space="preserve">السنوات 6–10 — التوسّع الذاتي:</w:t>
      </w:r>
      <w:r>
        <w:rPr>
          <w:rFonts w:ascii="Arial" w:cs="Arial" w:hAnsi="Arial"/>
          <w:b w:val="false"/>
          <w:i w:val="false"/>
          <w:color w:val="48534C"/>
          <w:sz w:val="20"/>
          <w:szCs w:val="20"/>
          <w:rtl/>
        </w:rPr>
        <w:t xml:space="preserve"> تمويل التوسّع من الفائض المتراكم لا من منحة جديدة — عبر وردية ثانية كاملة، أو فرع ثانٍ، أو ترخيص النموذج التشغيلي لجمعيات أخرى مقابل رسوم معرفة تصبح مصدر دخل إضافيًا للجمعية.</w:t>
      </w:r>
    </w:p>
    <w:p>
      <w:pPr>
        <w:bidi/>
        <w:spacing w:after="60" w:before="0" w:line="300"/>
        <w:jc w:val="both"/>
      </w:pPr>
      <w:r>
        <w:rPr>
          <w:rFonts w:ascii="Arial" w:cs="Arial" w:hAnsi="Arial"/>
          <w:b w:val="false"/>
          <w:i w:val="false"/>
          <w:color w:val="48534C"/>
          <w:sz w:val="6"/>
          <w:szCs w:val="6"/>
          <w:rtl/>
        </w:rPr>
        <w:t xml:space="preserve"/>
      </w:r>
    </w:p>
    <w:p>
      <w:pPr>
        <w:pStyle w:val="Heading1"/>
        <w:keepNext/>
        <w:pageBreakBefore/>
        <w:bidi/>
        <w:spacing w:after="60" w:before="0" w:line="300"/>
        <w:jc w:val="start"/>
        <w:outlineLvl w:val="0"/>
      </w:pPr>
      <w:r>
        <w:rPr>
          <w:rFonts w:ascii="Arial" w:cs="Arial" w:hAnsi="Arial"/>
          <w:b/>
          <w:bCs/>
          <w:i w:val="false"/>
          <w:color w:val="8A6A12"/>
          <w:sz w:val="30"/>
          <w:szCs w:val="30"/>
          <w:rtl/>
        </w:rPr>
        <w:t xml:space="preserve">17   </w:t>
      </w:r>
      <w:r>
        <w:rPr>
          <w:rFonts w:ascii="Arial" w:cs="Arial" w:hAnsi="Arial"/>
          <w:b/>
          <w:bCs/>
          <w:i w:val="false"/>
          <w:color w:val="0E5A49"/>
          <w:sz w:val="30"/>
          <w:szCs w:val="30"/>
          <w:rtl/>
        </w:rPr>
        <w:t xml:space="preserve">قياس الأثر والعائد الاجتماعي</w:t>
      </w:r>
    </w:p>
    <w:p>
      <w:pPr>
        <w:pBdr>
          <w:bottom w:val="single" w:color="DBE2DB" w:sz="6"/>
        </w:pBdr>
        <w:bidi/>
        <w:spacing w:after="260"/>
        <w:jc w:val="start"/>
      </w:pPr>
      <w:r>
        <w:rPr>
          <w:rFonts w:ascii="Arial" w:cs="Arial" w:hAnsi="Arial"/>
          <w:b w:val="false"/>
          <w:i w:val="false"/>
          <w:color w:val="77817A"/>
          <w:sz w:val="17"/>
          <w:szCs w:val="17"/>
          <w:rtl/>
        </w:rPr>
        <w:t xml:space="preserve">إطار القياس · العائد الاجتماعي على الاستثمار · منهجية التحقق</w:t>
      </w:r>
    </w:p>
    <w:p>
      <w:pPr>
        <w:keepNext/>
        <w:bidi/>
        <w:spacing w:after="100" w:before="200" w:line="300"/>
        <w:jc w:val="start"/>
      </w:pPr>
      <w:r>
        <w:rPr>
          <w:rFonts w:ascii="Arial" w:cs="Arial" w:hAnsi="Arial"/>
          <w:b/>
          <w:bCs/>
          <w:i w:val="false"/>
          <w:color w:val="8A6A12"/>
          <w:sz w:val="16"/>
          <w:szCs w:val="16"/>
          <w:rtl/>
        </w:rPr>
        <w:t xml:space="preserve">شكل 21  </w:t>
      </w:r>
      <w:r>
        <w:rPr>
          <w:rFonts w:ascii="Arial" w:cs="Arial" w:hAnsi="Arial"/>
          <w:b/>
          <w:bCs/>
          <w:i w:val="false"/>
          <w:color w:val="111A15"/>
          <w:sz w:val="18"/>
          <w:szCs w:val="18"/>
          <w:rtl/>
        </w:rPr>
        <w:t xml:space="preserve">نمو قاعدة الأسر المنتجة وارتفاع متوسط دخلها الشهري</w:t>
      </w:r>
    </w:p>
    <w:p>
      <w:pPr>
        <w:keepNext/>
        <w:bidi/>
        <w:spacing w:after="80"/>
        <w:jc w:val="center"/>
      </w:pPr>
      <w:r>
        <w:drawing>
          <wp:inline distT="0" distB="0" distL="0" distR="0">
            <wp:extent cx="6238875"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238875" cy="2781300"/>
                    </a:xfrm>
                    <a:prstGeom prst="rect">
                      <a:avLst/>
                    </a:prstGeom>
                  </pic:spPr>
                </pic:pic>
              </a:graphicData>
            </a:graphic>
          </wp:inline>
        </w:drawing>
      </w:r>
    </w:p>
    <w:p>
      <w:pPr>
        <w:bidi/>
        <w:spacing w:after="200" w:before="0" w:line="300"/>
        <w:jc w:val="both"/>
      </w:pPr>
      <w:r>
        <w:rPr>
          <w:rFonts w:ascii="Arial" w:cs="Arial" w:hAnsi="Arial"/>
          <w:b w:val="false"/>
          <w:i w:val="false"/>
          <w:color w:val="77817A"/>
          <w:sz w:val="16"/>
          <w:szCs w:val="16"/>
          <w:rtl/>
        </w:rPr>
        <w:t xml:space="preserve">لا يكفي نمو عدد الأسر وحده مؤشرًا للأثر: فمشروع يضاعف عدد المستفيدات مع بقاء دخل كل منهنّ عند خط الأساس لم يُحدث تغييرًا. ولذلك يُقرأ الرسمان معًا — الاتساع والعمق — ويُشترط تحقّقهما معًا لاحتساب الهدف منجَزًا.</w:t>
      </w:r>
    </w:p>
    <w:p>
      <w:pPr>
        <w:keepNext/>
        <w:bidi/>
        <w:spacing w:after="60" w:before="160" w:line="300"/>
        <w:jc w:val="start"/>
      </w:pPr>
      <w:r>
        <w:rPr>
          <w:rFonts w:ascii="Arial" w:cs="Arial" w:hAnsi="Arial"/>
          <w:b/>
          <w:bCs/>
          <w:i w:val="false"/>
          <w:color w:val="8A6A12"/>
          <w:sz w:val="16"/>
          <w:szCs w:val="16"/>
          <w:rtl/>
        </w:rPr>
        <w:t xml:space="preserve">جدول 36 — إطار قياس الأثر ووسائل التحقق</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6"/>
        <w:gridCol w:w="1701"/>
        <w:gridCol w:w="1002"/>
        <w:gridCol w:w="1888"/>
        <w:gridCol w:w="1743"/>
        <w:gridCol w:w="1136"/>
      </w:tblGrid>
      <w:tr>
        <w:trPr>
          <w:tblHeader/>
        </w:trPr>
        <w:tc>
          <w:tcPr>
            <w:tcW w:type="dxa" w:w="239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بُعد الأثر</w:t>
            </w:r>
          </w:p>
        </w:tc>
        <w:tc>
          <w:tcPr>
            <w:tcW w:type="dxa" w:w="170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المؤشر</w:t>
            </w:r>
          </w:p>
        </w:tc>
        <w:tc>
          <w:tcPr>
            <w:tcW w:type="dxa" w:w="1002"/>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خط الأساس</w:t>
            </w:r>
          </w:p>
        </w:tc>
        <w:tc>
          <w:tcPr>
            <w:tcW w:type="dxa" w:w="1888"/>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س5</w:t>
            </w:r>
          </w:p>
        </w:tc>
        <w:tc>
          <w:tcPr>
            <w:tcW w:type="dxa" w:w="1743"/>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أداة القياس</w:t>
            </w:r>
          </w:p>
        </w:tc>
        <w:tc>
          <w:tcPr>
            <w:tcW w:type="dxa" w:w="113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الدورية</w:t>
            </w:r>
          </w:p>
        </w:tc>
      </w:tr>
      <w:tr>
        <w:tc>
          <w:tcPr>
            <w:tcW w:type="dxa" w:w="23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الأثر الاقتصادي على الأسرة</w:t>
            </w:r>
          </w:p>
        </w:tc>
        <w:tc>
          <w:tcPr>
            <w:tcW w:type="dxa" w:w="170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متوسط الدخل الشهري (ر.س)</w:t>
            </w:r>
          </w:p>
        </w:tc>
        <w:tc>
          <w:tcPr>
            <w:tcW w:type="dxa" w:w="100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1,180</w:t>
            </w:r>
          </w:p>
        </w:tc>
        <w:tc>
          <w:tcPr>
            <w:tcW w:type="dxa" w:w="18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3,820</w:t>
            </w:r>
          </w:p>
        </w:tc>
        <w:tc>
          <w:tcPr>
            <w:tcW w:type="dxa" w:w="174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كشوف المستحقات + استمارة الدخل</w:t>
            </w:r>
          </w:p>
        </w:tc>
        <w:tc>
          <w:tcPr>
            <w:tcW w:type="dxa" w:w="113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ربعي</w:t>
            </w:r>
          </w:p>
        </w:tc>
      </w:tr>
      <w:tr>
        <w:tc>
          <w:tcPr>
            <w:tcW w:type="dxa" w:w="23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تباين الدخل الشهري</w:t>
            </w:r>
          </w:p>
        </w:tc>
        <w:tc>
          <w:tcPr>
            <w:tcW w:type="dxa" w:w="170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&gt; 50٪</w:t>
            </w:r>
          </w:p>
        </w:tc>
        <w:tc>
          <w:tcPr>
            <w:tcW w:type="dxa" w:w="100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&lt; 20٪</w:t>
            </w:r>
          </w:p>
        </w:tc>
        <w:tc>
          <w:tcPr>
            <w:tcW w:type="dxa" w:w="18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تحليل سلسلة المدفوعات</w:t>
            </w:r>
          </w:p>
        </w:tc>
        <w:tc>
          <w:tcPr>
            <w:tcW w:type="dxa" w:w="174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ربعي</w:t>
            </w:r>
          </w:p>
        </w:tc>
      </w:tr>
      <w:tr>
        <w:tc>
          <w:tcPr>
            <w:tcW w:type="dxa" w:w="23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الأسر فوق حد الاستحقاق للمساعدة</w:t>
            </w:r>
          </w:p>
        </w:tc>
        <w:tc>
          <w:tcPr>
            <w:tcW w:type="dxa" w:w="170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0٪</w:t>
            </w:r>
          </w:p>
        </w:tc>
        <w:tc>
          <w:tcPr>
            <w:tcW w:type="dxa" w:w="100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40٪</w:t>
            </w:r>
          </w:p>
        </w:tc>
        <w:tc>
          <w:tcPr>
            <w:tcW w:type="dxa" w:w="18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سجل المساعدات لدى الجمعية</w:t>
            </w:r>
          </w:p>
        </w:tc>
        <w:tc>
          <w:tcPr>
            <w:tcW w:type="dxa" w:w="174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سنوي</w:t>
            </w:r>
          </w:p>
        </w:tc>
      </w:tr>
      <w:tr>
        <w:tc>
          <w:tcPr>
            <w:tcW w:type="dxa" w:w="23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الأثر على القدرات</w:t>
            </w:r>
          </w:p>
        </w:tc>
        <w:tc>
          <w:tcPr>
            <w:tcW w:type="dxa" w:w="170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عدد الحاصلات على شهادة مهنية</w:t>
            </w:r>
          </w:p>
        </w:tc>
        <w:tc>
          <w:tcPr>
            <w:tcW w:type="dxa" w:w="100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8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1,805</w:t>
            </w:r>
          </w:p>
        </w:tc>
        <w:tc>
          <w:tcPr>
            <w:tcW w:type="dxa" w:w="174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سجل التدريب والتقييم</w:t>
            </w:r>
          </w:p>
        </w:tc>
        <w:tc>
          <w:tcPr>
            <w:tcW w:type="dxa" w:w="113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لكل دفعة</w:t>
            </w:r>
          </w:p>
        </w:tc>
      </w:tr>
      <w:tr>
        <w:tc>
          <w:tcPr>
            <w:tcW w:type="dxa" w:w="23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عدد الأسر المسجَّلة نظاميًا</w:t>
            </w:r>
          </w:p>
        </w:tc>
        <w:tc>
          <w:tcPr>
            <w:tcW w:type="dxa" w:w="170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00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90</w:t>
            </w:r>
          </w:p>
        </w:tc>
        <w:tc>
          <w:tcPr>
            <w:tcW w:type="dxa" w:w="18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نسخ السجل التجاري أو وثيقة العمل الحر</w:t>
            </w:r>
          </w:p>
        </w:tc>
        <w:tc>
          <w:tcPr>
            <w:tcW w:type="dxa" w:w="174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سنوي</w:t>
            </w:r>
          </w:p>
        </w:tc>
      </w:tr>
      <w:tr>
        <w:tc>
          <w:tcPr>
            <w:tcW w:type="dxa" w:w="23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الأثر على التشغيل</w:t>
            </w:r>
          </w:p>
        </w:tc>
        <w:tc>
          <w:tcPr>
            <w:tcW w:type="dxa" w:w="170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وظائف مباشرة</w:t>
            </w:r>
          </w:p>
        </w:tc>
        <w:tc>
          <w:tcPr>
            <w:tcW w:type="dxa" w:w="100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17</w:t>
            </w:r>
          </w:p>
        </w:tc>
        <w:tc>
          <w:tcPr>
            <w:tcW w:type="dxa" w:w="18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32</w:t>
            </w:r>
          </w:p>
        </w:tc>
        <w:tc>
          <w:tcPr>
            <w:tcW w:type="dxa" w:w="174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كشوف الرواتب والتأمينات</w:t>
            </w:r>
          </w:p>
        </w:tc>
        <w:tc>
          <w:tcPr>
            <w:tcW w:type="dxa" w:w="113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ربعي</w:t>
            </w:r>
          </w:p>
        </w:tc>
      </w:tr>
      <w:tr>
        <w:tc>
          <w:tcPr>
            <w:tcW w:type="dxa" w:w="23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وظائف غير مباشرة (توريد وتوزيع)</w:t>
            </w:r>
          </w:p>
        </w:tc>
        <w:tc>
          <w:tcPr>
            <w:tcW w:type="dxa" w:w="170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00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45</w:t>
            </w:r>
          </w:p>
        </w:tc>
        <w:tc>
          <w:tcPr>
            <w:tcW w:type="dxa" w:w="18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مسح الموردين والشركاء</w:t>
            </w:r>
          </w:p>
        </w:tc>
        <w:tc>
          <w:tcPr>
            <w:tcW w:type="dxa" w:w="174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سنوي</w:t>
            </w:r>
          </w:p>
        </w:tc>
      </w:tr>
      <w:tr>
        <w:tc>
          <w:tcPr>
            <w:tcW w:type="dxa" w:w="23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bCs/>
                <w:i w:val="false"/>
                <w:color w:val="48534C"/>
                <w:sz w:val="17"/>
                <w:szCs w:val="17"/>
                <w:rtl/>
              </w:rPr>
              <w:t xml:space="preserve">الأثر على الجمعية</w:t>
            </w:r>
          </w:p>
        </w:tc>
        <w:tc>
          <w:tcPr>
            <w:tcW w:type="dxa" w:w="170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الدخل الذاتي من إجمالي موارد الجمعية</w:t>
            </w:r>
          </w:p>
        </w:tc>
        <w:tc>
          <w:tcPr>
            <w:tcW w:type="dxa" w:w="100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8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ترتفع بمقدار ملموس</w:t>
            </w:r>
          </w:p>
        </w:tc>
        <w:tc>
          <w:tcPr>
            <w:tcW w:type="dxa" w:w="174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القوائم المالية المدققة</w:t>
            </w:r>
          </w:p>
        </w:tc>
        <w:tc>
          <w:tcPr>
            <w:tcW w:type="dxa" w:w="113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سنوي</w:t>
            </w:r>
          </w:p>
        </w:tc>
      </w:tr>
      <w:tr>
        <w:tc>
          <w:tcPr>
            <w:tcW w:type="dxa" w:w="239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خفض الإنفاق على المساعدات للفئة المستهدفة</w:t>
            </w:r>
          </w:p>
        </w:tc>
        <w:tc>
          <w:tcPr>
            <w:tcW w:type="dxa" w:w="170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00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 40٪</w:t>
            </w:r>
          </w:p>
        </w:tc>
        <w:tc>
          <w:tcPr>
            <w:tcW w:type="dxa" w:w="188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سجل المساعدات</w:t>
            </w:r>
          </w:p>
        </w:tc>
        <w:tc>
          <w:tcPr>
            <w:tcW w:type="dxa" w:w="1743"/>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سنوي</w:t>
            </w:r>
          </w:p>
        </w:tc>
      </w:tr>
    </w:tbl>
    <w:p>
      <w:pPr>
        <w:bidi/>
        <w:spacing w:after="14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حساب العائد الاجتماعي على الاستثمار</w:t>
      </w:r>
    </w:p>
    <w:p>
      <w:pPr>
        <w:bidi/>
        <w:spacing w:after="140" w:before="0" w:line="300"/>
        <w:jc w:val="both"/>
      </w:pPr>
      <w:r>
        <w:rPr>
          <w:rFonts w:ascii="Arial" w:cs="Arial" w:hAnsi="Arial"/>
          <w:b w:val="false"/>
          <w:i w:val="false"/>
          <w:color w:val="48534C"/>
          <w:sz w:val="20"/>
          <w:szCs w:val="20"/>
          <w:rtl/>
        </w:rPr>
        <w:t xml:space="preserve">اتُّبع في الحساب المنهج المتعارف عليه في تقييم العائد الاجتماعي: تحديد النتائج، ثم إسناد قيمة مالية لكل نتيجة، ثم </w:t>
      </w:r>
      <w:r>
        <w:rPr>
          <w:rFonts w:ascii="Arial" w:cs="Arial" w:hAnsi="Arial"/>
          <w:b/>
          <w:bCs/>
          <w:i w:val="false"/>
          <w:color w:val="48534C"/>
          <w:sz w:val="20"/>
          <w:szCs w:val="20"/>
          <w:rtl/>
        </w:rPr>
        <w:t xml:space="preserve">خصم ما كان سيحدث بدون المشروع</w:t>
      </w:r>
      <w:r>
        <w:rPr>
          <w:rFonts w:ascii="Arial" w:cs="Arial" w:hAnsi="Arial"/>
          <w:b w:val="false"/>
          <w:i w:val="false"/>
          <w:color w:val="48534C"/>
          <w:sz w:val="20"/>
          <w:szCs w:val="20"/>
          <w:rtl/>
        </w:rPr>
        <w:t xml:space="preserve"> (الوزن الميت) وما يُنسب لجهات أخرى (الإسناد) وما يتناقص أثره بمرور الوقت (التناقص). وقد طُبّق خصم إجمالي متحفّظ قدره </w:t>
      </w:r>
      <w:r>
        <w:rPr>
          <w:rFonts w:ascii="Arial" w:cs="Arial" w:hAnsi="Arial"/>
          <w:b/>
          <w:bCs/>
          <w:i w:val="false"/>
          <w:color w:val="48534C"/>
          <w:sz w:val="20"/>
          <w:szCs w:val="20"/>
          <w:rtl/>
        </w:rPr>
        <w:t xml:space="preserve">28٪</w:t>
      </w:r>
      <w:r>
        <w:rPr>
          <w:rFonts w:ascii="Arial" w:cs="Arial" w:hAnsi="Arial"/>
          <w:b w:val="false"/>
          <w:i w:val="false"/>
          <w:color w:val="48534C"/>
          <w:sz w:val="20"/>
          <w:szCs w:val="20"/>
          <w:rtl/>
        </w:rPr>
        <w:t xml:space="preserve"> على كامل المنافع:</w:t>
      </w:r>
    </w:p>
    <w:p>
      <w:pPr>
        <w:keepNext/>
        <w:bidi/>
        <w:spacing w:after="60" w:before="160" w:line="300"/>
        <w:jc w:val="start"/>
      </w:pPr>
      <w:r>
        <w:rPr>
          <w:rFonts w:ascii="Arial" w:cs="Arial" w:hAnsi="Arial"/>
          <w:b/>
          <w:bCs/>
          <w:i w:val="false"/>
          <w:color w:val="8A6A12"/>
          <w:sz w:val="16"/>
          <w:szCs w:val="16"/>
          <w:rtl/>
        </w:rPr>
        <w:t xml:space="preserve">جدول 37 — احتساب العائد الاجتماعي على الاستثمار (بالريال السعودي)</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8"/>
        <w:gridCol w:w="1376"/>
        <w:gridCol w:w="1399"/>
        <w:gridCol w:w="1399"/>
        <w:gridCol w:w="1399"/>
        <w:gridCol w:w="1435"/>
      </w:tblGrid>
      <w:tr>
        <w:trPr>
          <w:tblHeader/>
        </w:trPr>
        <w:tc>
          <w:tcPr>
            <w:tcW w:type="dxa" w:w="2858"/>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مصدر القيمة الاجتماعية</w:t>
            </w:r>
          </w:p>
        </w:tc>
        <w:tc>
          <w:tcPr>
            <w:tcW w:type="dxa" w:w="137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س1</w:t>
            </w:r>
          </w:p>
        </w:tc>
        <w:tc>
          <w:tcPr>
            <w:tcW w:type="dxa" w:w="139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س2</w:t>
            </w:r>
          </w:p>
        </w:tc>
        <w:tc>
          <w:tcPr>
            <w:tcW w:type="dxa" w:w="139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س3</w:t>
            </w:r>
          </w:p>
        </w:tc>
        <w:tc>
          <w:tcPr>
            <w:tcW w:type="dxa" w:w="139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س4</w:t>
            </w:r>
          </w:p>
        </w:tc>
        <w:tc>
          <w:tcPr>
            <w:tcW w:type="dxa" w:w="143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س5</w:t>
            </w:r>
          </w:p>
        </w:tc>
      </w:tr>
      <w:tr>
        <w:tc>
          <w:tcPr>
            <w:tcW w:type="dxa" w:w="285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الزيادة في دخل الأسر المنتجة</w:t>
            </w:r>
          </w:p>
        </w:tc>
        <w:tc>
          <w:tcPr>
            <w:tcW w:type="dxa" w:w="137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951,600</w:t>
            </w:r>
          </w:p>
        </w:tc>
        <w:tc>
          <w:tcPr>
            <w:tcW w:type="dxa" w:w="13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2,683,200</w:t>
            </w:r>
          </w:p>
        </w:tc>
        <w:tc>
          <w:tcPr>
            <w:tcW w:type="dxa" w:w="13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4,947,600</w:t>
            </w:r>
          </w:p>
        </w:tc>
        <w:tc>
          <w:tcPr>
            <w:tcW w:type="dxa" w:w="13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6,824,400</w:t>
            </w:r>
          </w:p>
        </w:tc>
        <w:tc>
          <w:tcPr>
            <w:tcW w:type="dxa" w:w="143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8,870,400</w:t>
            </w:r>
          </w:p>
        </w:tc>
      </w:tr>
      <w:tr>
        <w:tc>
          <w:tcPr>
            <w:tcW w:type="dxa" w:w="285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الوفر على برامج الدعم والمساعدات</w:t>
            </w:r>
          </w:p>
        </w:tc>
        <w:tc>
          <w:tcPr>
            <w:tcW w:type="dxa" w:w="137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249,600</w:t>
            </w:r>
          </w:p>
        </w:tc>
        <w:tc>
          <w:tcPr>
            <w:tcW w:type="dxa" w:w="13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499,200</w:t>
            </w:r>
          </w:p>
        </w:tc>
        <w:tc>
          <w:tcPr>
            <w:tcW w:type="dxa" w:w="13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729,600</w:t>
            </w:r>
          </w:p>
        </w:tc>
        <w:tc>
          <w:tcPr>
            <w:tcW w:type="dxa" w:w="13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902,400</w:t>
            </w:r>
          </w:p>
        </w:tc>
        <w:tc>
          <w:tcPr>
            <w:tcW w:type="dxa" w:w="143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1,075,200</w:t>
            </w:r>
          </w:p>
        </w:tc>
      </w:tr>
      <w:tr>
        <w:tc>
          <w:tcPr>
            <w:tcW w:type="dxa" w:w="285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القيمة الاجتماعية للوظائف المستحدثة</w:t>
            </w:r>
          </w:p>
        </w:tc>
        <w:tc>
          <w:tcPr>
            <w:tcW w:type="dxa" w:w="137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328,440</w:t>
            </w:r>
          </w:p>
        </w:tc>
        <w:tc>
          <w:tcPr>
            <w:tcW w:type="dxa" w:w="13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425,040</w:t>
            </w:r>
          </w:p>
        </w:tc>
        <w:tc>
          <w:tcPr>
            <w:tcW w:type="dxa" w:w="13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502,320</w:t>
            </w:r>
          </w:p>
        </w:tc>
        <w:tc>
          <w:tcPr>
            <w:tcW w:type="dxa" w:w="13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560,280</w:t>
            </w:r>
          </w:p>
        </w:tc>
        <w:tc>
          <w:tcPr>
            <w:tcW w:type="dxa" w:w="143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618,240</w:t>
            </w:r>
          </w:p>
        </w:tc>
      </w:tr>
      <w:tr>
        <w:tc>
          <w:tcPr>
            <w:tcW w:type="dxa" w:w="285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قيمة المهارات والشهادات المكتسبة</w:t>
            </w:r>
          </w:p>
        </w:tc>
        <w:tc>
          <w:tcPr>
            <w:tcW w:type="dxa" w:w="137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400,400</w:t>
            </w:r>
          </w:p>
        </w:tc>
        <w:tc>
          <w:tcPr>
            <w:tcW w:type="dxa" w:w="13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471,900</w:t>
            </w:r>
          </w:p>
        </w:tc>
        <w:tc>
          <w:tcPr>
            <w:tcW w:type="dxa" w:w="13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536,250</w:t>
            </w:r>
          </w:p>
        </w:tc>
        <w:tc>
          <w:tcPr>
            <w:tcW w:type="dxa" w:w="13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572,000</w:t>
            </w:r>
          </w:p>
        </w:tc>
        <w:tc>
          <w:tcPr>
            <w:tcW w:type="dxa" w:w="143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600,600</w:t>
            </w:r>
          </w:p>
        </w:tc>
      </w:tr>
      <w:tr>
        <w:tc>
          <w:tcPr>
            <w:tcW w:type="dxa" w:w="2858"/>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start"/>
            </w:pPr>
            <w:r>
              <w:rPr>
                <w:rFonts w:ascii="Arial" w:cs="Arial" w:hAnsi="Arial"/>
                <w:b w:val="false"/>
                <w:i w:val="false"/>
                <w:color w:val="111A15"/>
                <w:sz w:val="17"/>
                <w:szCs w:val="17"/>
                <w:rtl/>
              </w:rPr>
              <w:t xml:space="preserve">إجمالي المنافع قبل الخصم</w:t>
            </w:r>
          </w:p>
        </w:tc>
        <w:tc>
          <w:tcPr>
            <w:tcW w:type="dxa" w:w="1376"/>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111A15"/>
                <w:sz w:val="17"/>
                <w:szCs w:val="17"/>
                <w:rtl/>
              </w:rPr>
              <w:t xml:space="preserve">1,930,040</w:t>
            </w:r>
          </w:p>
        </w:tc>
        <w:tc>
          <w:tcPr>
            <w:tcW w:type="dxa" w:w="1399"/>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111A15"/>
                <w:sz w:val="17"/>
                <w:szCs w:val="17"/>
                <w:rtl/>
              </w:rPr>
              <w:t xml:space="preserve">4,079,340</w:t>
            </w:r>
          </w:p>
        </w:tc>
        <w:tc>
          <w:tcPr>
            <w:tcW w:type="dxa" w:w="1399"/>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111A15"/>
                <w:sz w:val="17"/>
                <w:szCs w:val="17"/>
                <w:rtl/>
              </w:rPr>
              <w:t xml:space="preserve">6,715,770</w:t>
            </w:r>
          </w:p>
        </w:tc>
        <w:tc>
          <w:tcPr>
            <w:tcW w:type="dxa" w:w="1399"/>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111A15"/>
                <w:sz w:val="17"/>
                <w:szCs w:val="17"/>
                <w:rtl/>
              </w:rPr>
              <w:t xml:space="preserve">8,859,080</w:t>
            </w:r>
          </w:p>
        </w:tc>
        <w:tc>
          <w:tcPr>
            <w:tcW w:type="dxa" w:w="1435"/>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111A15"/>
                <w:sz w:val="17"/>
                <w:szCs w:val="17"/>
                <w:rtl/>
              </w:rPr>
              <w:t xml:space="preserve">11,164,440</w:t>
            </w:r>
          </w:p>
        </w:tc>
      </w:tr>
      <w:tr>
        <w:tc>
          <w:tcPr>
            <w:tcW w:type="dxa" w:w="285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بعد خصم الوزن الميت والإسناد والتناقص (28٪)</w:t>
            </w:r>
          </w:p>
        </w:tc>
        <w:tc>
          <w:tcPr>
            <w:tcW w:type="dxa" w:w="137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1,389,629</w:t>
            </w:r>
          </w:p>
        </w:tc>
        <w:tc>
          <w:tcPr>
            <w:tcW w:type="dxa" w:w="13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2,937,125</w:t>
            </w:r>
          </w:p>
        </w:tc>
        <w:tc>
          <w:tcPr>
            <w:tcW w:type="dxa" w:w="13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4,835,354</w:t>
            </w:r>
          </w:p>
        </w:tc>
        <w:tc>
          <w:tcPr>
            <w:tcW w:type="dxa" w:w="13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6,378,538</w:t>
            </w:r>
          </w:p>
        </w:tc>
        <w:tc>
          <w:tcPr>
            <w:tcW w:type="dxa" w:w="143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8,038,397</w:t>
            </w:r>
          </w:p>
        </w:tc>
      </w:tr>
      <w:tr>
        <w:tc>
          <w:tcPr>
            <w:tcW w:type="dxa" w:w="285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القيمة الحالية عند معدل خصم 8٪</w:t>
            </w:r>
          </w:p>
        </w:tc>
        <w:tc>
          <w:tcPr>
            <w:tcW w:type="dxa" w:w="137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1,286,694</w:t>
            </w:r>
          </w:p>
        </w:tc>
        <w:tc>
          <w:tcPr>
            <w:tcW w:type="dxa" w:w="13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2,517,940</w:t>
            </w:r>
          </w:p>
        </w:tc>
        <w:tc>
          <w:tcPr>
            <w:tcW w:type="dxa" w:w="13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3,838,447</w:t>
            </w:r>
          </w:p>
        </w:tc>
        <w:tc>
          <w:tcPr>
            <w:tcW w:type="dxa" w:w="139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4,688,415</w:t>
            </w:r>
          </w:p>
        </w:tc>
        <w:tc>
          <w:tcPr>
            <w:tcW w:type="dxa" w:w="143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5,470,749</w:t>
            </w:r>
          </w:p>
        </w:tc>
      </w:tr>
    </w:tbl>
    <w:p>
      <w:pPr>
        <w:bidi/>
        <w:spacing w:after="140" w:before="0" w:line="300"/>
        <w:jc w:val="both"/>
      </w:pPr>
      <w:r>
        <w:rPr>
          <w:rFonts w:ascii="Arial" w:cs="Arial" w:hAnsi="Arial"/>
          <w:b w:val="false"/>
          <w:i w:val="false"/>
          <w:color w:val="48534C"/>
          <w:sz w:val="8"/>
          <w:szCs w:val="8"/>
          <w:rtl/>
        </w:rPr>
        <w:t xml:space="preserve"/>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88"/>
        <w:gridCol w:w="3288"/>
        <w:gridCol w:w="3290"/>
      </w:tblGrid>
      <w:tr>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val="false"/>
                <w:i w:val="false"/>
                <w:color w:val="77817A"/>
                <w:sz w:val="15"/>
                <w:szCs w:val="15"/>
                <w:rtl/>
              </w:rPr>
              <w:t xml:space="preserve">القيمة الحالية لإجمالي المنافع</w:t>
            </w:r>
          </w:p>
          <w:p>
            <w:pPr>
              <w:bidi/>
              <w:spacing w:after="60" w:line="270"/>
              <w:jc w:val="start"/>
            </w:pPr>
            <w:r>
              <w:rPr>
                <w:rFonts w:ascii="Arial" w:cs="Arial" w:hAnsi="Arial"/>
                <w:b/>
                <w:bCs/>
                <w:i w:val="false"/>
                <w:color w:val="0E5A49"/>
                <w:sz w:val="26"/>
                <w:szCs w:val="26"/>
                <w:rtl/>
              </w:rPr>
              <w:t xml:space="preserve">17.80 م ر.س</w:t>
            </w:r>
          </w:p>
          <w:p>
            <w:pPr>
              <w:bidi/>
              <w:spacing w:after="0" w:line="270"/>
              <w:jc w:val="start"/>
            </w:pPr>
            <w:r>
              <w:rPr>
                <w:rFonts w:ascii="Arial" w:cs="Arial" w:hAnsi="Arial"/>
                <w:b w:val="false"/>
                <w:i w:val="false"/>
                <w:color w:val="77817A"/>
                <w:sz w:val="15"/>
                <w:szCs w:val="15"/>
                <w:rtl/>
              </w:rPr>
              <w:t xml:space="preserve">خمس سنوات · بعد الخصم الكامل</w:t>
            </w:r>
          </w:p>
        </w:tc>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val="false"/>
                <w:i w:val="false"/>
                <w:color w:val="77817A"/>
                <w:sz w:val="15"/>
                <w:szCs w:val="15"/>
                <w:rtl/>
              </w:rPr>
              <w:t xml:space="preserve">القيمة الحالية للتكاليف</w:t>
            </w:r>
          </w:p>
          <w:p>
            <w:pPr>
              <w:bidi/>
              <w:spacing w:after="60" w:line="270"/>
              <w:jc w:val="start"/>
            </w:pPr>
            <w:r>
              <w:rPr>
                <w:rFonts w:ascii="Arial" w:cs="Arial" w:hAnsi="Arial"/>
                <w:b/>
                <w:bCs/>
                <w:i w:val="false"/>
                <w:color w:val="0E5A49"/>
                <w:sz w:val="26"/>
                <w:szCs w:val="26"/>
                <w:rtl/>
              </w:rPr>
              <w:t xml:space="preserve">8.16 م ر.س</w:t>
            </w:r>
          </w:p>
          <w:p>
            <w:pPr>
              <w:bidi/>
              <w:spacing w:after="0" w:line="270"/>
              <w:jc w:val="start"/>
            </w:pPr>
            <w:r>
              <w:rPr>
                <w:rFonts w:ascii="Arial" w:cs="Arial" w:hAnsi="Arial"/>
                <w:b w:val="false"/>
                <w:i w:val="false"/>
                <w:color w:val="77817A"/>
                <w:sz w:val="15"/>
                <w:szCs w:val="15"/>
                <w:rtl/>
              </w:rPr>
              <w:t xml:space="preserve">التمويل الكامل + عجز التشغيل المخصوم</w:t>
            </w:r>
          </w:p>
        </w:tc>
        <w:tc>
          <w:tcPr>
            <w:tcW w:type="dxa" w:w="3290"/>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val="false"/>
                <w:i w:val="false"/>
                <w:color w:val="77817A"/>
                <w:sz w:val="15"/>
                <w:szCs w:val="15"/>
                <w:rtl/>
              </w:rPr>
              <w:t xml:space="preserve">العائد الاجتماعي على الاستثمار</w:t>
            </w:r>
          </w:p>
          <w:p>
            <w:pPr>
              <w:bidi/>
              <w:spacing w:after="60" w:line="270"/>
              <w:jc w:val="start"/>
            </w:pPr>
            <w:r>
              <w:rPr>
                <w:rFonts w:ascii="Arial" w:cs="Arial" w:hAnsi="Arial"/>
                <w:b/>
                <w:bCs/>
                <w:i w:val="false"/>
                <w:color w:val="0E5A49"/>
                <w:sz w:val="26"/>
                <w:szCs w:val="26"/>
                <w:rtl/>
              </w:rPr>
              <w:t xml:space="preserve">1 : 2.18</w:t>
            </w:r>
          </w:p>
          <w:p>
            <w:pPr>
              <w:bidi/>
              <w:spacing w:after="0" w:line="270"/>
              <w:jc w:val="start"/>
            </w:pPr>
            <w:r>
              <w:rPr>
                <w:rFonts w:ascii="Arial" w:cs="Arial" w:hAnsi="Arial"/>
                <w:b w:val="false"/>
                <w:i w:val="false"/>
                <w:color w:val="77817A"/>
                <w:sz w:val="15"/>
                <w:szCs w:val="15"/>
                <w:rtl/>
              </w:rPr>
              <w:t xml:space="preserve">كل ريال يولّد 2.18 ريالًا من القيمة الاجتماعية</w:t>
            </w:r>
          </w:p>
        </w:tc>
      </w:tr>
      <w:tr>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val="false"/>
                <w:i w:val="false"/>
                <w:color w:val="77817A"/>
                <w:sz w:val="15"/>
                <w:szCs w:val="15"/>
                <w:rtl/>
              </w:rPr>
              <w:t xml:space="preserve">تكلفة الاستثمار لكل مستفيدة</w:t>
            </w:r>
          </w:p>
          <w:p>
            <w:pPr>
              <w:bidi/>
              <w:spacing w:after="60" w:line="270"/>
              <w:jc w:val="start"/>
            </w:pPr>
            <w:r>
              <w:rPr>
                <w:rFonts w:ascii="Arial" w:cs="Arial" w:hAnsi="Arial"/>
                <w:b/>
                <w:bCs/>
                <w:i w:val="false"/>
                <w:color w:val="0E5A49"/>
                <w:sz w:val="26"/>
                <w:szCs w:val="26"/>
                <w:rtl/>
              </w:rPr>
              <w:t xml:space="preserve">4,155 ر.س</w:t>
            </w:r>
          </w:p>
          <w:p>
            <w:pPr>
              <w:bidi/>
              <w:spacing w:after="0" w:line="270"/>
              <w:jc w:val="start"/>
            </w:pPr>
            <w:r>
              <w:rPr>
                <w:rFonts w:ascii="Arial" w:cs="Arial" w:hAnsi="Arial"/>
                <w:b w:val="false"/>
                <w:i w:val="false"/>
                <w:color w:val="77817A"/>
                <w:sz w:val="15"/>
                <w:szCs w:val="15"/>
                <w:rtl/>
              </w:rPr>
              <w:t xml:space="preserve">تنخفض إلى نحو 2,100 ر.س على عشر سنوات</w:t>
            </w:r>
          </w:p>
        </w:tc>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120" w:before="0" w:line="300"/>
              <w:jc w:val="both"/>
            </w:pPr>
            <w:r>
              <w:rPr>
                <w:rFonts w:ascii="Arial" w:cs="Arial" w:hAnsi="Arial"/>
                <w:b w:val="false"/>
                <w:i w:val="false"/>
                <w:color w:val="48534C"/>
                <w:sz w:val="20"/>
                <w:szCs w:val="20"/>
                <w:rtl/>
              </w:rPr>
              <w:t xml:space="preserve"/>
            </w:r>
          </w:p>
        </w:tc>
        <w:tc>
          <w:tcPr>
            <w:tcW w:type="dxa" w:w="3290"/>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120" w:before="0" w:line="300"/>
              <w:jc w:val="both"/>
            </w:pPr>
            <w:r>
              <w:rPr>
                <w:rFonts w:ascii="Arial" w:cs="Arial" w:hAnsi="Arial"/>
                <w:b w:val="false"/>
                <w:i w:val="false"/>
                <w:color w:val="48534C"/>
                <w:sz w:val="20"/>
                <w:szCs w:val="20"/>
                <w:rtl/>
              </w:rPr>
              <w:t xml:space="preserve"/>
            </w:r>
          </w:p>
        </w:tc>
      </w:tr>
    </w:tbl>
    <w:p>
      <w:pPr>
        <w:bidi/>
        <w:spacing w:after="160" w:before="0" w:line="300"/>
        <w:jc w:val="both"/>
      </w:pPr>
      <w:r>
        <w:rPr>
          <w:rFonts w:ascii="Arial" w:cs="Arial" w:hAnsi="Arial"/>
          <w:b w:val="false"/>
          <w:i w:val="false"/>
          <w:color w:val="48534C"/>
          <w:sz w:val="8"/>
          <w:szCs w:val="8"/>
          <w:rtl/>
        </w:rPr>
        <w:t xml:space="preserve"/>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c>
          <w:tcPr>
            <w:tcW w:type="dxa" w:w="9866"/>
            <w:tcBorders>
              <w:top w:val="single" w:color="DBE2DB" w:sz="4"/>
              <w:left w:val="single" w:color="DBE2DB" w:sz="4"/>
              <w:bottom w:val="single" w:color="DBE2DB" w:sz="4"/>
              <w:right w:val="single" w:color="8A6A12" w:sz="22"/>
            </w:tcBorders>
            <w:shd w:fill="FBFCFA" w:color="auto" w:val="clear"/>
            <w:tcMar>
              <w:top w:type="dxa" w:w="120"/>
              <w:left w:type="dxa" w:w="160"/>
              <w:bottom w:type="dxa" w:w="120"/>
              <w:right w:type="dxa" w:w="160"/>
            </w:tcMar>
          </w:tcPr>
          <w:p>
            <w:pPr>
              <w:bidi/>
              <w:spacing w:after="80" w:before="40" w:line="280"/>
              <w:jc w:val="start"/>
            </w:pPr>
            <w:r>
              <w:rPr>
                <w:rFonts w:ascii="Arial" w:cs="Arial" w:hAnsi="Arial"/>
                <w:b/>
                <w:bCs/>
                <w:i w:val="false"/>
                <w:color w:val="8A6A12"/>
                <w:sz w:val="19"/>
                <w:szCs w:val="19"/>
                <w:rtl/>
              </w:rPr>
              <w:t xml:space="preserve">تحفّظات على رقم العائد الاجتماعي</w:t>
            </w:r>
          </w:p>
          <w:p>
            <w:pPr>
              <w:bidi/>
              <w:spacing w:after="80" w:line="290"/>
              <w:jc w:val="both"/>
            </w:pPr>
            <w:r>
              <w:rPr>
                <w:rFonts w:ascii="Arial" w:cs="Arial" w:hAnsi="Arial"/>
                <w:b w:val="false"/>
                <w:i w:val="false"/>
                <w:color w:val="48534C"/>
                <w:sz w:val="18"/>
                <w:szCs w:val="18"/>
                <w:rtl/>
              </w:rPr>
              <w:t xml:space="preserve">رقم 2.18 محسوب بافتراضات متحفّظة عمدًا، ومع ذلك تجب قراءته بحذر لثلاثة أسباب: أنه يعتمد على خط أساس </w:t>
            </w:r>
            <w:r>
              <w:rPr>
                <w:rFonts w:ascii="Arial" w:cs="Arial" w:hAnsi="Arial"/>
                <w:b/>
                <w:bCs/>
                <w:i w:val="false"/>
                <w:color w:val="48534C"/>
                <w:sz w:val="18"/>
                <w:szCs w:val="18"/>
                <w:rtl/>
              </w:rPr>
              <w:t xml:space="preserve">لم يُثبَّت ميدانيًا بعد</w:t>
            </w:r>
            <w:r>
              <w:rPr>
                <w:rFonts w:ascii="Arial" w:cs="Arial" w:hAnsi="Arial"/>
                <w:b w:val="false"/>
                <w:i w:val="false"/>
                <w:color w:val="48534C"/>
                <w:sz w:val="18"/>
                <w:szCs w:val="18"/>
                <w:rtl/>
              </w:rPr>
              <w:t xml:space="preserve"> (1,180 ريالًا شهريًا)؛ وأن 79٪ من قيمته تأتي من مصدر واحد هو زيادة دخل الأسر، فأي انحراف في هذا المتغير يزيح النتيجة كلها؛ وأن معاملات الخصم الاجتماعي تقديرية بطبيعتها ولا توجد لها مرجعية قياسية ملزمة.</w:t>
            </w:r>
          </w:p>
          <w:p>
            <w:pPr>
              <w:bidi/>
              <w:spacing w:after="80" w:line="290"/>
              <w:jc w:val="both"/>
            </w:pPr>
            <w:r>
              <w:rPr>
                <w:rFonts w:ascii="Arial" w:cs="Arial" w:hAnsi="Arial"/>
                <w:b w:val="false"/>
                <w:i w:val="false"/>
                <w:color w:val="48534C"/>
                <w:sz w:val="18"/>
                <w:szCs w:val="18"/>
                <w:rtl/>
              </w:rPr>
              <w:t xml:space="preserve">ولذلك توصي الدراسة بأن يُعامَل هذا الرقم مؤشرًا للحجم لا رقمًا نهائيًا، وأن يُعاد احتسابه بعد تثبيت خط الأساس في الشهر السادس، ثم بعد التقييم الخارجي المستقل في السنة الثالثة.</w:t>
            </w:r>
          </w:p>
        </w:tc>
      </w:tr>
    </w:tbl>
    <w:p>
      <w:pPr>
        <w:bidi/>
        <w:spacing w:after="16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منهجية التحقق من الأثر</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خط الأساس:</w:t>
      </w:r>
      <w:r>
        <w:rPr>
          <w:rFonts w:ascii="Arial" w:cs="Arial" w:hAnsi="Arial"/>
          <w:b w:val="false"/>
          <w:i w:val="false"/>
          <w:color w:val="48534C"/>
          <w:sz w:val="20"/>
          <w:szCs w:val="20"/>
          <w:rtl/>
        </w:rPr>
        <w:t xml:space="preserve"> مسح ميداني لعيّنة لا تقل عن 200 أسرة قبل بدء التشغيل، يشمل الدخل والإنفاق والحالة الوظيفية.</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مجموعة المقارنة:</w:t>
      </w:r>
      <w:r>
        <w:rPr>
          <w:rFonts w:ascii="Arial" w:cs="Arial" w:hAnsi="Arial"/>
          <w:b w:val="false"/>
          <w:i w:val="false"/>
          <w:color w:val="48534C"/>
          <w:sz w:val="20"/>
          <w:szCs w:val="20"/>
          <w:rtl/>
        </w:rPr>
        <w:t xml:space="preserve"> متابعة مجموعة ضابطة من أسر مسجّلة لم تلتحق بالبرنامج، لعزل أثر المشروع عن التغيّر الاقتصادي العام — وهذا ما يميّز قياس الأثر عن مجرد رصد النتائج.</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القياس الدوري:</w:t>
      </w:r>
      <w:r>
        <w:rPr>
          <w:rFonts w:ascii="Arial" w:cs="Arial" w:hAnsi="Arial"/>
          <w:b w:val="false"/>
          <w:i w:val="false"/>
          <w:color w:val="48534C"/>
          <w:sz w:val="20"/>
          <w:szCs w:val="20"/>
          <w:rtl/>
        </w:rPr>
        <w:t xml:space="preserve"> استمارة ربعية للأسر المتعاقدة، ومقابلات نوعية نصف سنوية مع عيّنة.</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التقييم المستقل:</w:t>
      </w:r>
      <w:r>
        <w:rPr>
          <w:rFonts w:ascii="Arial" w:cs="Arial" w:hAnsi="Arial"/>
          <w:b w:val="false"/>
          <w:i w:val="false"/>
          <w:color w:val="48534C"/>
          <w:sz w:val="20"/>
          <w:szCs w:val="20"/>
          <w:rtl/>
        </w:rPr>
        <w:t xml:space="preserve"> تقييم خارجي في السنة الثالثة يُتعاقد عليه مع جهة مستقلة عن المنفّذ.</w:t>
      </w:r>
    </w:p>
    <w:p>
      <w:pPr>
        <w:bidi/>
        <w:spacing w:after="70" w:before="0" w:line="300"/>
        <w:ind w:start="280"/>
        <w:jc w:val="both"/>
      </w:pPr>
      <w:r>
        <w:rPr>
          <w:rFonts w:ascii="Arial" w:cs="Arial" w:hAnsi="Arial"/>
          <w:b/>
          <w:bCs/>
          <w:i w:val="false"/>
          <w:color w:val="8A6A12"/>
          <w:sz w:val="20"/>
          <w:szCs w:val="20"/>
          <w:rtl/>
        </w:rPr>
        <w:t xml:space="preserve">•  </w:t>
      </w:r>
      <w:r>
        <w:rPr>
          <w:rFonts w:ascii="Arial" w:cs="Arial" w:hAnsi="Arial"/>
          <w:b/>
          <w:bCs/>
          <w:i w:val="false"/>
          <w:color w:val="48534C"/>
          <w:sz w:val="20"/>
          <w:szCs w:val="20"/>
          <w:rtl/>
        </w:rPr>
        <w:t xml:space="preserve">الشفافية:</w:t>
      </w:r>
      <w:r>
        <w:rPr>
          <w:rFonts w:ascii="Arial" w:cs="Arial" w:hAnsi="Arial"/>
          <w:b w:val="false"/>
          <w:i w:val="false"/>
          <w:color w:val="48534C"/>
          <w:sz w:val="20"/>
          <w:szCs w:val="20"/>
          <w:rtl/>
        </w:rPr>
        <w:t xml:space="preserve"> نشر تقرير أثر سنوي معلن يتضمن ما لم يتحقق من المستهدفات وأسبابه، لا ما تحقق منها فقط.</w:t>
      </w:r>
    </w:p>
    <w:p>
      <w:pPr>
        <w:bidi/>
        <w:spacing w:after="60" w:before="0" w:line="300"/>
        <w:jc w:val="both"/>
      </w:pPr>
      <w:r>
        <w:rPr>
          <w:rFonts w:ascii="Arial" w:cs="Arial" w:hAnsi="Arial"/>
          <w:b w:val="false"/>
          <w:i w:val="false"/>
          <w:color w:val="48534C"/>
          <w:sz w:val="6"/>
          <w:szCs w:val="6"/>
          <w:rtl/>
        </w:rPr>
        <w:t xml:space="preserve"/>
      </w:r>
    </w:p>
    <w:p>
      <w:pPr>
        <w:pStyle w:val="Heading1"/>
        <w:keepNext/>
        <w:pageBreakBefore/>
        <w:bidi/>
        <w:spacing w:after="60" w:before="0" w:line="300"/>
        <w:jc w:val="start"/>
        <w:outlineLvl w:val="0"/>
      </w:pPr>
      <w:r>
        <w:rPr>
          <w:rFonts w:ascii="Arial" w:cs="Arial" w:hAnsi="Arial"/>
          <w:b/>
          <w:bCs/>
          <w:i w:val="false"/>
          <w:color w:val="8A6A12"/>
          <w:sz w:val="30"/>
          <w:szCs w:val="30"/>
          <w:rtl/>
        </w:rPr>
        <w:t xml:space="preserve">18   </w:t>
      </w:r>
      <w:r>
        <w:rPr>
          <w:rFonts w:ascii="Arial" w:cs="Arial" w:hAnsi="Arial"/>
          <w:b/>
          <w:bCs/>
          <w:i w:val="false"/>
          <w:color w:val="0E5A49"/>
          <w:sz w:val="30"/>
          <w:szCs w:val="30"/>
          <w:rtl/>
        </w:rPr>
        <w:t xml:space="preserve">الخلاصة والتوصيات</w:t>
      </w:r>
    </w:p>
    <w:p>
      <w:pPr>
        <w:pBdr>
          <w:bottom w:val="single" w:color="DBE2DB" w:sz="6"/>
        </w:pBdr>
        <w:bidi/>
        <w:spacing w:after="260"/>
        <w:jc w:val="start"/>
      </w:pPr>
      <w:r>
        <w:rPr>
          <w:rFonts w:ascii="Arial" w:cs="Arial" w:hAnsi="Arial"/>
          <w:b w:val="false"/>
          <w:i w:val="false"/>
          <w:color w:val="77817A"/>
          <w:sz w:val="17"/>
          <w:szCs w:val="17"/>
          <w:rtl/>
        </w:rPr>
        <w:t xml:space="preserve">الحكم النهائي وشروط النجاح</w:t>
      </w:r>
    </w:p>
    <w:p>
      <w:pPr>
        <w:bidi/>
        <w:spacing w:after="140" w:before="0" w:line="300"/>
        <w:jc w:val="both"/>
      </w:pPr>
      <w:r>
        <w:rPr>
          <w:rFonts w:ascii="Arial" w:cs="Arial" w:hAnsi="Arial"/>
          <w:b w:val="false"/>
          <w:i w:val="false"/>
          <w:color w:val="111A15"/>
          <w:sz w:val="21"/>
          <w:szCs w:val="21"/>
          <w:rtl/>
        </w:rPr>
        <w:t xml:space="preserve">خلصت الدراسة إلى أن المشروع </w:t>
      </w:r>
      <w:r>
        <w:rPr>
          <w:rFonts w:ascii="Arial" w:cs="Arial" w:hAnsi="Arial"/>
          <w:b/>
          <w:bCs/>
          <w:i w:val="false"/>
          <w:color w:val="111A15"/>
          <w:sz w:val="21"/>
          <w:szCs w:val="21"/>
          <w:rtl/>
        </w:rPr>
        <w:t xml:space="preserve">مجدٍ فنيًا وسوقيًا وتنظيميًا، ومستدام تشغيليًا، ومستحق للتمويل بمنحة تأسيسية</w:t>
      </w:r>
      <w:r>
        <w:rPr>
          <w:rFonts w:ascii="Arial" w:cs="Arial" w:hAnsi="Arial"/>
          <w:b w:val="false"/>
          <w:i w:val="false"/>
          <w:color w:val="111A15"/>
          <w:sz w:val="21"/>
          <w:szCs w:val="21"/>
          <w:rtl/>
        </w:rPr>
        <w:t xml:space="preserve"> — مع تسجيل أن جدواه الاستثمارية البحتة دون عتبة العائد التجاري، وهو ما يجعله مشروعًا تنمويًا بطبيعته لا فرصة استثمارية.</w:t>
      </w:r>
    </w:p>
    <w:p>
      <w:pPr>
        <w:keepNext/>
        <w:bidi/>
        <w:spacing w:after="60" w:before="160" w:line="300"/>
        <w:jc w:val="start"/>
      </w:pPr>
      <w:r>
        <w:rPr>
          <w:rFonts w:ascii="Arial" w:cs="Arial" w:hAnsi="Arial"/>
          <w:b/>
          <w:bCs/>
          <w:i w:val="false"/>
          <w:color w:val="8A6A12"/>
          <w:sz w:val="16"/>
          <w:szCs w:val="16"/>
          <w:rtl/>
        </w:rPr>
        <w:t xml:space="preserve">جدول 38 — خلاصة الحكم على أبعاد الجدوى</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7"/>
        <w:gridCol w:w="2024"/>
        <w:gridCol w:w="4735"/>
      </w:tblGrid>
      <w:tr>
        <w:trPr>
          <w:tblHeader/>
        </w:trPr>
        <w:tc>
          <w:tcPr>
            <w:tcW w:type="dxa" w:w="3107"/>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البُعد</w:t>
            </w:r>
          </w:p>
        </w:tc>
        <w:tc>
          <w:tcPr>
            <w:tcW w:type="dxa" w:w="2024"/>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الحكم</w:t>
            </w:r>
          </w:p>
        </w:tc>
        <w:tc>
          <w:tcPr>
            <w:tcW w:type="dxa" w:w="473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المبرر</w:t>
            </w:r>
          </w:p>
        </w:tc>
      </w:tr>
      <w:tr>
        <w:tc>
          <w:tcPr>
            <w:tcW w:type="dxa" w:w="310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الجدوى السوقية</w:t>
            </w:r>
          </w:p>
        </w:tc>
        <w:tc>
          <w:tcPr>
            <w:tcW w:type="dxa" w:w="20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مُجدٍ</w:t>
            </w:r>
          </w:p>
        </w:tc>
        <w:tc>
          <w:tcPr>
            <w:tcW w:type="dxa" w:w="473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فجوة عرض موثّقة تتجاوز 46٪ · حصة مستهدفة محافظة لا تتجاوز 3.4٪</w:t>
            </w:r>
          </w:p>
        </w:tc>
      </w:tr>
      <w:tr>
        <w:tc>
          <w:tcPr>
            <w:tcW w:type="dxa" w:w="310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الجدوى الفنية</w:t>
            </w:r>
          </w:p>
        </w:tc>
        <w:tc>
          <w:tcPr>
            <w:tcW w:type="dxa" w:w="20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مُجدٍ</w:t>
            </w:r>
          </w:p>
        </w:tc>
        <w:tc>
          <w:tcPr>
            <w:tcW w:type="dxa" w:w="473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تصميم مطابق للاشتراطات · طاقة مشتقّة من المعدات · تقنيات متاحة محليًا</w:t>
            </w:r>
          </w:p>
        </w:tc>
      </w:tr>
      <w:tr>
        <w:tc>
          <w:tcPr>
            <w:tcW w:type="dxa" w:w="310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الجدوى التنظيمية</w:t>
            </w:r>
          </w:p>
        </w:tc>
        <w:tc>
          <w:tcPr>
            <w:tcW w:type="dxa" w:w="20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مُجدٍ بشرط</w:t>
            </w:r>
          </w:p>
        </w:tc>
        <w:tc>
          <w:tcPr>
            <w:tcW w:type="dxa" w:w="473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مشروط باستقطاب إدارة تشغيلية ذات خلفية صناعية وفصل الحوكمة عن العمل الخيري</w:t>
            </w:r>
          </w:p>
        </w:tc>
      </w:tr>
      <w:tr>
        <w:tc>
          <w:tcPr>
            <w:tcW w:type="dxa" w:w="310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الاستدامة التشغيلية</w:t>
            </w:r>
          </w:p>
        </w:tc>
        <w:tc>
          <w:tcPr>
            <w:tcW w:type="dxa" w:w="20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مُجدٍ</w:t>
            </w:r>
          </w:p>
        </w:tc>
        <w:tc>
          <w:tcPr>
            <w:tcW w:type="dxa" w:w="473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اكتفاء ذاتي 101٪ من السنة الثانية · فائض بعد الإهلاك من السنة الرابعة</w:t>
            </w:r>
          </w:p>
        </w:tc>
      </w:tr>
      <w:tr>
        <w:tc>
          <w:tcPr>
            <w:tcW w:type="dxa" w:w="310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الجدوى الاستثمارية البحتة</w:t>
            </w:r>
          </w:p>
        </w:tc>
        <w:tc>
          <w:tcPr>
            <w:tcW w:type="dxa" w:w="20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دون العتبة</w:t>
            </w:r>
          </w:p>
        </w:tc>
        <w:tc>
          <w:tcPr>
            <w:tcW w:type="dxa" w:w="473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عائد داخلي 4.1٪ · قيمة حالية سالبة عند 8٪ — وهو مبرر التمويل بالمنحة لا مانعه</w:t>
            </w:r>
          </w:p>
        </w:tc>
      </w:tr>
      <w:tr>
        <w:tc>
          <w:tcPr>
            <w:tcW w:type="dxa" w:w="310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الأثر التنموي</w:t>
            </w:r>
          </w:p>
        </w:tc>
        <w:tc>
          <w:tcPr>
            <w:tcW w:type="dxa" w:w="2024"/>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مرتفع</w:t>
            </w:r>
          </w:p>
        </w:tc>
        <w:tc>
          <w:tcPr>
            <w:tcW w:type="dxa" w:w="473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عائد اجتماعي 1 : 2.18 · 1,805 مستفيدات · دخل الأسرة ‏×3.2</w:t>
            </w:r>
          </w:p>
        </w:tc>
      </w:tr>
    </w:tbl>
    <w:p>
      <w:pPr>
        <w:bidi/>
        <w:spacing w:after="14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التوصيات</w:t>
      </w:r>
    </w:p>
    <w:p>
      <w:pPr>
        <w:bidi/>
        <w:spacing w:after="70" w:before="0" w:line="300"/>
        <w:ind w:start="280"/>
        <w:jc w:val="both"/>
      </w:pPr>
      <w:r>
        <w:rPr>
          <w:rFonts w:ascii="Arial" w:cs="Arial" w:hAnsi="Arial"/>
          <w:b/>
          <w:bCs/>
          <w:i w:val="false"/>
          <w:color w:val="8A6A12"/>
          <w:sz w:val="20"/>
          <w:szCs w:val="20"/>
          <w:rtl/>
        </w:rPr>
        <w:t xml:space="preserve">1.  </w:t>
      </w:r>
      <w:r>
        <w:rPr>
          <w:rFonts w:ascii="Arial" w:cs="Arial" w:hAnsi="Arial"/>
          <w:b/>
          <w:bCs/>
          <w:i w:val="false"/>
          <w:color w:val="48534C"/>
          <w:sz w:val="20"/>
          <w:szCs w:val="20"/>
          <w:rtl/>
        </w:rPr>
        <w:t xml:space="preserve">اعتماد المنحة بمبلغ 4,500,000 ريال</w:t>
      </w:r>
      <w:r>
        <w:rPr>
          <w:rFonts w:ascii="Arial" w:cs="Arial" w:hAnsi="Arial"/>
          <w:b w:val="false"/>
          <w:i w:val="false"/>
          <w:color w:val="48534C"/>
          <w:sz w:val="20"/>
          <w:szCs w:val="20"/>
          <w:rtl/>
        </w:rPr>
        <w:t xml:space="preserve"> على خمس دفعات مرتبطة بمعالم قابلة للتحقق، مع اشتراط استكمال بقية هيكل التمويل قبل صرف الدفعة الثانية.</w:t>
      </w:r>
    </w:p>
    <w:p>
      <w:pPr>
        <w:bidi/>
        <w:spacing w:after="70" w:before="0" w:line="300"/>
        <w:ind w:start="280"/>
        <w:jc w:val="both"/>
      </w:pPr>
      <w:r>
        <w:rPr>
          <w:rFonts w:ascii="Arial" w:cs="Arial" w:hAnsi="Arial"/>
          <w:b/>
          <w:bCs/>
          <w:i w:val="false"/>
          <w:color w:val="8A6A12"/>
          <w:sz w:val="20"/>
          <w:szCs w:val="20"/>
          <w:rtl/>
        </w:rPr>
        <w:t xml:space="preserve">2.  </w:t>
      </w:r>
      <w:r>
        <w:rPr>
          <w:rFonts w:ascii="Arial" w:cs="Arial" w:hAnsi="Arial"/>
          <w:b/>
          <w:bCs/>
          <w:i w:val="false"/>
          <w:color w:val="48534C"/>
          <w:sz w:val="20"/>
          <w:szCs w:val="20"/>
          <w:rtl/>
        </w:rPr>
        <w:t xml:space="preserve">تثبيت خط الأساس ميدانيًا قبل الصرف الثاني</w:t>
      </w:r>
      <w:r>
        <w:rPr>
          <w:rFonts w:ascii="Arial" w:cs="Arial" w:hAnsi="Arial"/>
          <w:b w:val="false"/>
          <w:i w:val="false"/>
          <w:color w:val="48534C"/>
          <w:sz w:val="20"/>
          <w:szCs w:val="20"/>
          <w:rtl/>
        </w:rPr>
        <w:t xml:space="preserve"> عبر مسح 200 أسرة، وإعادة احتساب مؤشرات الأثر على أساسه.</w:t>
      </w:r>
    </w:p>
    <w:p>
      <w:pPr>
        <w:bidi/>
        <w:spacing w:after="70" w:before="0" w:line="300"/>
        <w:ind w:start="280"/>
        <w:jc w:val="both"/>
      </w:pPr>
      <w:r>
        <w:rPr>
          <w:rFonts w:ascii="Arial" w:cs="Arial" w:hAnsi="Arial"/>
          <w:b/>
          <w:bCs/>
          <w:i w:val="false"/>
          <w:color w:val="8A6A12"/>
          <w:sz w:val="20"/>
          <w:szCs w:val="20"/>
          <w:rtl/>
        </w:rPr>
        <w:t xml:space="preserve">3.  </w:t>
      </w:r>
      <w:r>
        <w:rPr>
          <w:rFonts w:ascii="Arial" w:cs="Arial" w:hAnsi="Arial"/>
          <w:b/>
          <w:bCs/>
          <w:i w:val="false"/>
          <w:color w:val="48534C"/>
          <w:sz w:val="20"/>
          <w:szCs w:val="20"/>
          <w:rtl/>
        </w:rPr>
        <w:t xml:space="preserve">اشتراط استقطاب مدير تشغيل ذي خلفية صناعية</w:t>
      </w:r>
      <w:r>
        <w:rPr>
          <w:rFonts w:ascii="Arial" w:cs="Arial" w:hAnsi="Arial"/>
          <w:b w:val="false"/>
          <w:i w:val="false"/>
          <w:color w:val="48534C"/>
          <w:sz w:val="20"/>
          <w:szCs w:val="20"/>
          <w:rtl/>
        </w:rPr>
        <w:t xml:space="preserve"> قبل ترسية عقود المعدات — فقرار شراء المعدات قرار فني لا إداري.</w:t>
      </w:r>
    </w:p>
    <w:p>
      <w:pPr>
        <w:bidi/>
        <w:spacing w:after="70" w:before="0" w:line="300"/>
        <w:ind w:start="280"/>
        <w:jc w:val="both"/>
      </w:pPr>
      <w:r>
        <w:rPr>
          <w:rFonts w:ascii="Arial" w:cs="Arial" w:hAnsi="Arial"/>
          <w:b/>
          <w:bCs/>
          <w:i w:val="false"/>
          <w:color w:val="8A6A12"/>
          <w:sz w:val="20"/>
          <w:szCs w:val="20"/>
          <w:rtl/>
        </w:rPr>
        <w:t xml:space="preserve">4.  </w:t>
      </w:r>
      <w:r>
        <w:rPr>
          <w:rFonts w:ascii="Arial" w:cs="Arial" w:hAnsi="Arial"/>
          <w:b/>
          <w:bCs/>
          <w:i w:val="false"/>
          <w:color w:val="48534C"/>
          <w:sz w:val="20"/>
          <w:szCs w:val="20"/>
          <w:rtl/>
        </w:rPr>
        <w:t xml:space="preserve">بدء مسار الترخيص بالتوازي مع التصميم</w:t>
      </w:r>
      <w:r>
        <w:rPr>
          <w:rFonts w:ascii="Arial" w:cs="Arial" w:hAnsi="Arial"/>
          <w:b w:val="false"/>
          <w:i w:val="false"/>
          <w:color w:val="48534C"/>
          <w:sz w:val="20"/>
          <w:szCs w:val="20"/>
          <w:rtl/>
        </w:rPr>
        <w:t xml:space="preserve"> لا بعده، وعرض المخططات على الجهة المختصة قبل اعتمادها.</w:t>
      </w:r>
    </w:p>
    <w:p>
      <w:pPr>
        <w:bidi/>
        <w:spacing w:after="70" w:before="0" w:line="300"/>
        <w:ind w:start="280"/>
        <w:jc w:val="both"/>
      </w:pPr>
      <w:r>
        <w:rPr>
          <w:rFonts w:ascii="Arial" w:cs="Arial" w:hAnsi="Arial"/>
          <w:b/>
          <w:bCs/>
          <w:i w:val="false"/>
          <w:color w:val="8A6A12"/>
          <w:sz w:val="20"/>
          <w:szCs w:val="20"/>
          <w:rtl/>
        </w:rPr>
        <w:t xml:space="preserve">5.  </w:t>
      </w:r>
      <w:r>
        <w:rPr>
          <w:rFonts w:ascii="Arial" w:cs="Arial" w:hAnsi="Arial"/>
          <w:b/>
          <w:bCs/>
          <w:i w:val="false"/>
          <w:color w:val="48534C"/>
          <w:sz w:val="20"/>
          <w:szCs w:val="20"/>
          <w:rtl/>
        </w:rPr>
        <w:t xml:space="preserve">اشتراط 12 خطاب نوايا موقّعًا قبل الشهر الحادي عشر</w:t>
      </w:r>
      <w:r>
        <w:rPr>
          <w:rFonts w:ascii="Arial" w:cs="Arial" w:hAnsi="Arial"/>
          <w:b w:val="false"/>
          <w:i w:val="false"/>
          <w:color w:val="48534C"/>
          <w:sz w:val="20"/>
          <w:szCs w:val="20"/>
          <w:rtl/>
        </w:rPr>
        <w:t xml:space="preserve"> كشرط لصرف دفعة الإطلاق — وهو الضمانة العملية الوحيدة ضد أكبر مخاطر المشروع.</w:t>
      </w:r>
    </w:p>
    <w:p>
      <w:pPr>
        <w:bidi/>
        <w:spacing w:after="70" w:before="0" w:line="300"/>
        <w:ind w:start="280"/>
        <w:jc w:val="both"/>
      </w:pPr>
      <w:r>
        <w:rPr>
          <w:rFonts w:ascii="Arial" w:cs="Arial" w:hAnsi="Arial"/>
          <w:b/>
          <w:bCs/>
          <w:i w:val="false"/>
          <w:color w:val="8A6A12"/>
          <w:sz w:val="20"/>
          <w:szCs w:val="20"/>
          <w:rtl/>
        </w:rPr>
        <w:t xml:space="preserve">6.  </w:t>
      </w:r>
      <w:r>
        <w:rPr>
          <w:rFonts w:ascii="Arial" w:cs="Arial" w:hAnsi="Arial"/>
          <w:b/>
          <w:bCs/>
          <w:i w:val="false"/>
          <w:color w:val="48534C"/>
          <w:sz w:val="20"/>
          <w:szCs w:val="20"/>
          <w:rtl/>
        </w:rPr>
        <w:t xml:space="preserve">تفعيل محفّز التدخّل المبكر</w:t>
      </w:r>
      <w:r>
        <w:rPr>
          <w:rFonts w:ascii="Arial" w:cs="Arial" w:hAnsi="Arial"/>
          <w:b w:val="false"/>
          <w:i w:val="false"/>
          <w:color w:val="48534C"/>
          <w:sz w:val="20"/>
          <w:szCs w:val="20"/>
          <w:rtl/>
        </w:rPr>
        <w:t xml:space="preserve"> عند بلوغ إيراد السنة الأولى أقل من 85٪ من المستهدف، دون انتظار نهاية السنة الثانية.</w:t>
      </w:r>
    </w:p>
    <w:p>
      <w:pPr>
        <w:bidi/>
        <w:spacing w:after="70" w:before="0" w:line="300"/>
        <w:ind w:start="280"/>
        <w:jc w:val="both"/>
      </w:pPr>
      <w:r>
        <w:rPr>
          <w:rFonts w:ascii="Arial" w:cs="Arial" w:hAnsi="Arial"/>
          <w:b/>
          <w:bCs/>
          <w:i w:val="false"/>
          <w:color w:val="8A6A12"/>
          <w:sz w:val="20"/>
          <w:szCs w:val="20"/>
          <w:rtl/>
        </w:rPr>
        <w:t xml:space="preserve">7.  </w:t>
      </w:r>
      <w:r>
        <w:rPr>
          <w:rFonts w:ascii="Arial" w:cs="Arial" w:hAnsi="Arial"/>
          <w:b/>
          <w:bCs/>
          <w:i w:val="false"/>
          <w:color w:val="48534C"/>
          <w:sz w:val="20"/>
          <w:szCs w:val="20"/>
          <w:rtl/>
        </w:rPr>
        <w:t xml:space="preserve">تخصيص 35٪ من الفائض لاحتياطي إحلال الأصول</w:t>
      </w:r>
      <w:r>
        <w:rPr>
          <w:rFonts w:ascii="Arial" w:cs="Arial" w:hAnsi="Arial"/>
          <w:b w:val="false"/>
          <w:i w:val="false"/>
          <w:color w:val="48534C"/>
          <w:sz w:val="20"/>
          <w:szCs w:val="20"/>
          <w:rtl/>
        </w:rPr>
        <w:t xml:space="preserve"> من السنة الرابعة، حتى لا يعود المشروع طالبًا لمنحة تجديد بعد ثماني سنوات.</w:t>
      </w:r>
    </w:p>
    <w:p>
      <w:pPr>
        <w:bidi/>
        <w:spacing w:after="70" w:before="0" w:line="300"/>
        <w:ind w:start="280"/>
        <w:jc w:val="both"/>
      </w:pPr>
      <w:r>
        <w:rPr>
          <w:rFonts w:ascii="Arial" w:cs="Arial" w:hAnsi="Arial"/>
          <w:b/>
          <w:bCs/>
          <w:i w:val="false"/>
          <w:color w:val="8A6A12"/>
          <w:sz w:val="20"/>
          <w:szCs w:val="20"/>
          <w:rtl/>
        </w:rPr>
        <w:t xml:space="preserve">8.  </w:t>
      </w:r>
      <w:r>
        <w:rPr>
          <w:rFonts w:ascii="Arial" w:cs="Arial" w:hAnsi="Arial"/>
          <w:b/>
          <w:bCs/>
          <w:i w:val="false"/>
          <w:color w:val="48534C"/>
          <w:sz w:val="20"/>
          <w:szCs w:val="20"/>
          <w:rtl/>
        </w:rPr>
        <w:t xml:space="preserve">الحصول على ثلاثة عروض أسعار موثّقة</w:t>
      </w:r>
      <w:r>
        <w:rPr>
          <w:rFonts w:ascii="Arial" w:cs="Arial" w:hAnsi="Arial"/>
          <w:b w:val="false"/>
          <w:i w:val="false"/>
          <w:color w:val="48534C"/>
          <w:sz w:val="20"/>
          <w:szCs w:val="20"/>
          <w:rtl/>
        </w:rPr>
        <w:t xml:space="preserve"> لكل بند رأسمالي يتجاوز 100,000 ريال قبل تثبيت الموازنة النهائية.</w:t>
      </w:r>
    </w:p>
    <w:p>
      <w:pPr>
        <w:bidi/>
        <w:spacing w:after="60" w:before="0" w:line="300"/>
        <w:jc w:val="both"/>
      </w:pPr>
      <w:r>
        <w:rPr>
          <w:rFonts w:ascii="Arial" w:cs="Arial" w:hAnsi="Arial"/>
          <w:b w:val="false"/>
          <w:i w:val="false"/>
          <w:color w:val="48534C"/>
          <w:sz w:val="6"/>
          <w:szCs w:val="6"/>
          <w:rtl/>
        </w:rPr>
        <w:t xml:space="preserve"/>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c>
          <w:tcPr>
            <w:tcW w:type="dxa" w:w="9866"/>
            <w:tcBorders>
              <w:top w:val="single" w:color="DBE2DB" w:sz="4"/>
              <w:left w:val="single" w:color="DBE2DB" w:sz="4"/>
              <w:bottom w:val="single" w:color="DBE2DB" w:sz="4"/>
              <w:right w:val="single" w:color="0E5A49" w:sz="22"/>
            </w:tcBorders>
            <w:shd w:fill="FBFCFA" w:color="auto" w:val="clear"/>
            <w:tcMar>
              <w:top w:type="dxa" w:w="120"/>
              <w:left w:type="dxa" w:w="160"/>
              <w:bottom w:type="dxa" w:w="120"/>
              <w:right w:type="dxa" w:w="160"/>
            </w:tcMar>
          </w:tcPr>
          <w:p>
            <w:pPr>
              <w:bidi/>
              <w:spacing w:after="80" w:before="40" w:line="280"/>
              <w:jc w:val="start"/>
            </w:pPr>
            <w:r>
              <w:rPr>
                <w:rFonts w:ascii="Arial" w:cs="Arial" w:hAnsi="Arial"/>
                <w:b/>
                <w:bCs/>
                <w:i w:val="false"/>
                <w:color w:val="0E5A49"/>
                <w:sz w:val="19"/>
                <w:szCs w:val="19"/>
                <w:rtl/>
              </w:rPr>
              <w:t xml:space="preserve">الكلمة الأخيرة</w:t>
            </w:r>
          </w:p>
          <w:p>
            <w:pPr>
              <w:bidi/>
              <w:spacing w:after="80" w:line="290"/>
              <w:jc w:val="both"/>
            </w:pPr>
            <w:r>
              <w:rPr>
                <w:rFonts w:ascii="Arial" w:cs="Arial" w:hAnsi="Arial"/>
                <w:b w:val="false"/>
                <w:i w:val="false"/>
                <w:color w:val="48534C"/>
                <w:sz w:val="18"/>
                <w:szCs w:val="18"/>
                <w:rtl/>
              </w:rPr>
              <w:t xml:space="preserve">قيمة هذا المشروع لا تُقاس بحجم إيراده بل بما يفعله بالمعادلة: فهو يحوّل تكلفةً كانت تتكرر كل سنة — مساعدات نقدية لأسر لا يتغيّر وضعها — إلى استثمار يُدفع مرة واحدة ويُنتج دخلًا متجددًا. وحين تخرج الأسرة من قائمة المستحقين إلى قائمة المنتجين، فإن المنحة لم تُنفَق بل انتقلت من خانة المصروف إلى خانة الأصل. هذا هو المقياس الذي نقترح أن تُقاس به هذه الدراسة.</w:t>
            </w:r>
          </w:p>
        </w:tc>
      </w:tr>
    </w:tbl>
    <w:p>
      <w:pPr>
        <w:bidi/>
        <w:spacing w:after="160" w:before="0" w:line="300"/>
        <w:jc w:val="both"/>
      </w:pPr>
      <w:r>
        <w:rPr>
          <w:rFonts w:ascii="Arial" w:cs="Arial" w:hAnsi="Arial"/>
          <w:b w:val="false"/>
          <w:i w:val="false"/>
          <w:color w:val="48534C"/>
          <w:sz w:val="8"/>
          <w:szCs w:val="8"/>
          <w:rtl/>
        </w:rPr>
        <w:t xml:space="preserve"/>
      </w:r>
    </w:p>
    <w:p>
      <w:pPr>
        <w:pStyle w:val="Heading1"/>
        <w:keepNext/>
        <w:pageBreakBefore/>
        <w:bidi/>
        <w:spacing w:after="60" w:before="0" w:line="300"/>
        <w:jc w:val="start"/>
        <w:outlineLvl w:val="0"/>
      </w:pPr>
      <w:r>
        <w:rPr>
          <w:rFonts w:ascii="Arial" w:cs="Arial" w:hAnsi="Arial"/>
          <w:b/>
          <w:bCs/>
          <w:i w:val="false"/>
          <w:color w:val="8A6A12"/>
          <w:sz w:val="30"/>
          <w:szCs w:val="30"/>
          <w:rtl/>
        </w:rPr>
        <w:t xml:space="preserve">19   </w:t>
      </w:r>
      <w:r>
        <w:rPr>
          <w:rFonts w:ascii="Arial" w:cs="Arial" w:hAnsi="Arial"/>
          <w:b/>
          <w:bCs/>
          <w:i w:val="false"/>
          <w:color w:val="0E5A49"/>
          <w:sz w:val="30"/>
          <w:szCs w:val="30"/>
          <w:rtl/>
        </w:rPr>
        <w:t xml:space="preserve">الملاحق</w:t>
      </w:r>
    </w:p>
    <w:p>
      <w:pPr>
        <w:pBdr>
          <w:bottom w:val="single" w:color="DBE2DB" w:sz="6"/>
        </w:pBdr>
        <w:bidi/>
        <w:spacing w:after="260"/>
        <w:jc w:val="start"/>
      </w:pPr>
      <w:r>
        <w:rPr>
          <w:rFonts w:ascii="Arial" w:cs="Arial" w:hAnsi="Arial"/>
          <w:b w:val="false"/>
          <w:i w:val="false"/>
          <w:color w:val="77817A"/>
          <w:sz w:val="17"/>
          <w:szCs w:val="17"/>
          <w:rtl/>
        </w:rPr>
        <w:t xml:space="preserve">جداول الصرف · متطلبات التقديم · أدوات المتابعة</w:t>
      </w:r>
    </w:p>
    <w:p>
      <w:pPr>
        <w:pStyle w:val="Heading2"/>
        <w:keepNext/>
        <w:bidi/>
        <w:spacing w:after="120" w:before="300" w:line="300"/>
        <w:jc w:val="start"/>
        <w:outlineLvl w:val="1"/>
      </w:pPr>
      <w:r>
        <w:rPr>
          <w:rFonts w:ascii="Arial" w:cs="Arial" w:hAnsi="Arial"/>
          <w:b/>
          <w:bCs/>
          <w:i w:val="false"/>
          <w:color w:val="0E5A49"/>
          <w:sz w:val="24"/>
          <w:szCs w:val="24"/>
          <w:rtl/>
        </w:rPr>
        <w:t xml:space="preserve">ملحق أ — خطة الصرف الزمنية</w:t>
      </w:r>
    </w:p>
    <w:p>
      <w:pPr>
        <w:keepNext/>
        <w:bidi/>
        <w:spacing w:after="60" w:before="160" w:line="300"/>
        <w:jc w:val="start"/>
      </w:pPr>
      <w:r>
        <w:rPr>
          <w:rFonts w:ascii="Arial" w:cs="Arial" w:hAnsi="Arial"/>
          <w:b/>
          <w:bCs/>
          <w:i w:val="false"/>
          <w:color w:val="8A6A12"/>
          <w:sz w:val="16"/>
          <w:szCs w:val="16"/>
          <w:rtl/>
        </w:rPr>
        <w:t xml:space="preserve">جدول 39 — توزيع الصرف على مراحل التنفيذ (بالريال السعودي)</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7"/>
        <w:gridCol w:w="1205"/>
        <w:gridCol w:w="1431"/>
        <w:gridCol w:w="1442"/>
        <w:gridCol w:w="1476"/>
        <w:gridCol w:w="1685"/>
      </w:tblGrid>
      <w:tr>
        <w:trPr>
          <w:tblHeader/>
        </w:trPr>
        <w:tc>
          <w:tcPr>
            <w:tcW w:type="dxa" w:w="2627"/>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البند</w:t>
            </w:r>
          </w:p>
        </w:tc>
        <w:tc>
          <w:tcPr>
            <w:tcW w:type="dxa" w:w="120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ش 1–4</w:t>
            </w:r>
          </w:p>
        </w:tc>
        <w:tc>
          <w:tcPr>
            <w:tcW w:type="dxa" w:w="143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ش 5–8</w:t>
            </w:r>
          </w:p>
        </w:tc>
        <w:tc>
          <w:tcPr>
            <w:tcW w:type="dxa" w:w="1442"/>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ش 9–12</w:t>
            </w:r>
          </w:p>
        </w:tc>
        <w:tc>
          <w:tcPr>
            <w:tcW w:type="dxa" w:w="1476"/>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ش 13–18</w:t>
            </w:r>
          </w:p>
        </w:tc>
        <w:tc>
          <w:tcPr>
            <w:tcW w:type="dxa" w:w="1685"/>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الإجمالي</w:t>
            </w:r>
          </w:p>
        </w:tc>
      </w:tr>
      <w:tr>
        <w:tc>
          <w:tcPr>
            <w:tcW w:type="dxa" w:w="262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التأسيس والحوكمة</w:t>
            </w:r>
          </w:p>
        </w:tc>
        <w:tc>
          <w:tcPr>
            <w:tcW w:type="dxa" w:w="12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165,000</w:t>
            </w:r>
          </w:p>
        </w:tc>
        <w:tc>
          <w:tcPr>
            <w:tcW w:type="dxa" w:w="14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44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47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68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165,000</w:t>
            </w:r>
          </w:p>
        </w:tc>
      </w:tr>
      <w:tr>
        <w:tc>
          <w:tcPr>
            <w:tcW w:type="dxa" w:w="262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المقر والتراخيص والتشطيبات</w:t>
            </w:r>
          </w:p>
        </w:tc>
        <w:tc>
          <w:tcPr>
            <w:tcW w:type="dxa" w:w="12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395,000</w:t>
            </w:r>
          </w:p>
        </w:tc>
        <w:tc>
          <w:tcPr>
            <w:tcW w:type="dxa" w:w="14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1,300,000</w:t>
            </w:r>
          </w:p>
        </w:tc>
        <w:tc>
          <w:tcPr>
            <w:tcW w:type="dxa" w:w="144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47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68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1,695,000</w:t>
            </w:r>
          </w:p>
        </w:tc>
      </w:tr>
      <w:tr>
        <w:tc>
          <w:tcPr>
            <w:tcW w:type="dxa" w:w="262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التجهيز الفني والمعدات</w:t>
            </w:r>
          </w:p>
        </w:tc>
        <w:tc>
          <w:tcPr>
            <w:tcW w:type="dxa" w:w="12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4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920,000</w:t>
            </w:r>
          </w:p>
        </w:tc>
        <w:tc>
          <w:tcPr>
            <w:tcW w:type="dxa" w:w="144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1,860,000</w:t>
            </w:r>
          </w:p>
        </w:tc>
        <w:tc>
          <w:tcPr>
            <w:tcW w:type="dxa" w:w="147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260,000</w:t>
            </w:r>
          </w:p>
        </w:tc>
        <w:tc>
          <w:tcPr>
            <w:tcW w:type="dxa" w:w="168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3,040,000</w:t>
            </w:r>
          </w:p>
        </w:tc>
      </w:tr>
      <w:tr>
        <w:tc>
          <w:tcPr>
            <w:tcW w:type="dxa" w:w="262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التمكين والتدريب والتشغيل التجريبي</w:t>
            </w:r>
          </w:p>
        </w:tc>
        <w:tc>
          <w:tcPr>
            <w:tcW w:type="dxa" w:w="12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4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160,000</w:t>
            </w:r>
          </w:p>
        </w:tc>
        <w:tc>
          <w:tcPr>
            <w:tcW w:type="dxa" w:w="144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240,000</w:t>
            </w:r>
          </w:p>
        </w:tc>
        <w:tc>
          <w:tcPr>
            <w:tcW w:type="dxa" w:w="147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140,000</w:t>
            </w:r>
          </w:p>
        </w:tc>
        <w:tc>
          <w:tcPr>
            <w:tcW w:type="dxa" w:w="168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540,000</w:t>
            </w:r>
          </w:p>
        </w:tc>
      </w:tr>
      <w:tr>
        <w:tc>
          <w:tcPr>
            <w:tcW w:type="dxa" w:w="262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التسويق وبناء العلامة</w:t>
            </w:r>
          </w:p>
        </w:tc>
        <w:tc>
          <w:tcPr>
            <w:tcW w:type="dxa" w:w="12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4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145,000</w:t>
            </w:r>
          </w:p>
        </w:tc>
        <w:tc>
          <w:tcPr>
            <w:tcW w:type="dxa" w:w="144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160,000</w:t>
            </w:r>
          </w:p>
        </w:tc>
        <w:tc>
          <w:tcPr>
            <w:tcW w:type="dxa" w:w="147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130,000</w:t>
            </w:r>
          </w:p>
        </w:tc>
        <w:tc>
          <w:tcPr>
            <w:tcW w:type="dxa" w:w="168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435,000</w:t>
            </w:r>
          </w:p>
        </w:tc>
      </w:tr>
      <w:tr>
        <w:tc>
          <w:tcPr>
            <w:tcW w:type="dxa" w:w="262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الرصد والتقييم</w:t>
            </w:r>
          </w:p>
        </w:tc>
        <w:tc>
          <w:tcPr>
            <w:tcW w:type="dxa" w:w="12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35,000</w:t>
            </w:r>
          </w:p>
        </w:tc>
        <w:tc>
          <w:tcPr>
            <w:tcW w:type="dxa" w:w="14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30,750</w:t>
            </w:r>
          </w:p>
        </w:tc>
        <w:tc>
          <w:tcPr>
            <w:tcW w:type="dxa" w:w="144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25,000</w:t>
            </w:r>
          </w:p>
        </w:tc>
        <w:tc>
          <w:tcPr>
            <w:tcW w:type="dxa" w:w="147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35,000</w:t>
            </w:r>
          </w:p>
        </w:tc>
        <w:tc>
          <w:tcPr>
            <w:tcW w:type="dxa" w:w="168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125,750</w:t>
            </w:r>
          </w:p>
        </w:tc>
      </w:tr>
      <w:tr>
        <w:tc>
          <w:tcPr>
            <w:tcW w:type="dxa" w:w="2627"/>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start"/>
            </w:pPr>
            <w:r>
              <w:rPr>
                <w:rFonts w:ascii="Arial" w:cs="Arial" w:hAnsi="Arial"/>
                <w:b w:val="false"/>
                <w:i w:val="false"/>
                <w:color w:val="111A15"/>
                <w:sz w:val="17"/>
                <w:szCs w:val="17"/>
                <w:rtl/>
              </w:rPr>
              <w:t xml:space="preserve">إجمالي مرحلة التأسيس</w:t>
            </w:r>
          </w:p>
        </w:tc>
        <w:tc>
          <w:tcPr>
            <w:tcW w:type="dxa" w:w="1205"/>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111A15"/>
                <w:sz w:val="17"/>
                <w:szCs w:val="17"/>
                <w:rtl/>
              </w:rPr>
              <w:t xml:space="preserve">595,000</w:t>
            </w:r>
          </w:p>
        </w:tc>
        <w:tc>
          <w:tcPr>
            <w:tcW w:type="dxa" w:w="1431"/>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111A15"/>
                <w:sz w:val="17"/>
                <w:szCs w:val="17"/>
                <w:rtl/>
              </w:rPr>
              <w:t xml:space="preserve">2,555,750</w:t>
            </w:r>
          </w:p>
        </w:tc>
        <w:tc>
          <w:tcPr>
            <w:tcW w:type="dxa" w:w="1442"/>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111A15"/>
                <w:sz w:val="17"/>
                <w:szCs w:val="17"/>
                <w:rtl/>
              </w:rPr>
              <w:t xml:space="preserve">2,285,000</w:t>
            </w:r>
          </w:p>
        </w:tc>
        <w:tc>
          <w:tcPr>
            <w:tcW w:type="dxa" w:w="1476"/>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111A15"/>
                <w:sz w:val="17"/>
                <w:szCs w:val="17"/>
                <w:rtl/>
              </w:rPr>
              <w:t xml:space="preserve">565,000</w:t>
            </w:r>
          </w:p>
        </w:tc>
        <w:tc>
          <w:tcPr>
            <w:tcW w:type="dxa" w:w="1685"/>
            <w:tcBorders>
              <w:top w:val="single" w:color="DBE2DB" w:sz="4"/>
              <w:left w:val="single" w:color="DBE2DB" w:sz="4"/>
              <w:bottom w:val="single" w:color="DBE2DB" w:sz="4"/>
              <w:right w:val="single" w:color="DBE2DB" w:sz="4"/>
            </w:tcBorders>
            <w:shd w:fill="F4EEDC" w:color="auto" w:val="clear"/>
            <w:tcMar>
              <w:top w:type="dxa" w:w="50"/>
              <w:left w:type="dxa" w:w="90"/>
              <w:bottom w:type="dxa" w:w="50"/>
              <w:right w:type="dxa" w:w="90"/>
            </w:tcMar>
          </w:tcPr>
          <w:p>
            <w:pPr>
              <w:bidi/>
              <w:spacing w:after="20" w:before="20" w:line="250"/>
              <w:jc w:val="end"/>
            </w:pPr>
            <w:r>
              <w:rPr>
                <w:rFonts w:ascii="Arial" w:cs="Arial" w:hAnsi="Arial"/>
                <w:b w:val="false"/>
                <w:i w:val="false"/>
                <w:color w:val="111A15"/>
                <w:sz w:val="17"/>
                <w:szCs w:val="17"/>
                <w:rtl/>
              </w:rPr>
              <w:t xml:space="preserve">6,000,750</w:t>
            </w:r>
          </w:p>
        </w:tc>
      </w:tr>
      <w:tr>
        <w:tc>
          <w:tcPr>
            <w:tcW w:type="dxa" w:w="262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رأس المال العامل</w:t>
            </w:r>
          </w:p>
        </w:tc>
        <w:tc>
          <w:tcPr>
            <w:tcW w:type="dxa" w:w="12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4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44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300,000</w:t>
            </w:r>
          </w:p>
        </w:tc>
        <w:tc>
          <w:tcPr>
            <w:tcW w:type="dxa" w:w="147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449,250</w:t>
            </w:r>
          </w:p>
        </w:tc>
        <w:tc>
          <w:tcPr>
            <w:tcW w:type="dxa" w:w="168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749,250</w:t>
            </w:r>
          </w:p>
        </w:tc>
      </w:tr>
      <w:tr>
        <w:tc>
          <w:tcPr>
            <w:tcW w:type="dxa" w:w="262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الجسر التشغيلي للسنة الأولى</w:t>
            </w:r>
          </w:p>
        </w:tc>
        <w:tc>
          <w:tcPr>
            <w:tcW w:type="dxa" w:w="120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43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442"/>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w:t>
            </w:r>
          </w:p>
        </w:tc>
        <w:tc>
          <w:tcPr>
            <w:tcW w:type="dxa" w:w="1476"/>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750,000</w:t>
            </w:r>
          </w:p>
        </w:tc>
        <w:tc>
          <w:tcPr>
            <w:tcW w:type="dxa" w:w="1685"/>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750,000</w:t>
            </w:r>
          </w:p>
        </w:tc>
      </w:tr>
      <w:tr>
        <w:tc>
          <w:tcPr>
            <w:tcW w:type="dxa" w:w="2627"/>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start"/>
            </w:pPr>
            <w:r>
              <w:rPr>
                <w:rFonts w:ascii="Arial" w:cs="Arial" w:hAnsi="Arial"/>
                <w:b/>
                <w:bCs/>
                <w:i w:val="false"/>
                <w:color w:val="111A15"/>
                <w:sz w:val="17"/>
                <w:szCs w:val="17"/>
                <w:rtl/>
              </w:rPr>
              <w:t xml:space="preserve">الإجمالي</w:t>
            </w:r>
          </w:p>
        </w:tc>
        <w:tc>
          <w:tcPr>
            <w:tcW w:type="dxa" w:w="1205"/>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595,000</w:t>
            </w:r>
          </w:p>
        </w:tc>
        <w:tc>
          <w:tcPr>
            <w:tcW w:type="dxa" w:w="1431"/>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2,555,750</w:t>
            </w:r>
          </w:p>
        </w:tc>
        <w:tc>
          <w:tcPr>
            <w:tcW w:type="dxa" w:w="1442"/>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2,585,000</w:t>
            </w:r>
          </w:p>
        </w:tc>
        <w:tc>
          <w:tcPr>
            <w:tcW w:type="dxa" w:w="1476"/>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1,764,250</w:t>
            </w:r>
          </w:p>
        </w:tc>
        <w:tc>
          <w:tcPr>
            <w:tcW w:type="dxa" w:w="1685"/>
            <w:tcBorders>
              <w:top w:val="single" w:color="DBE2DB" w:sz="4"/>
              <w:left w:val="single" w:color="DBE2DB" w:sz="4"/>
              <w:bottom w:val="single" w:color="DBE2DB" w:sz="4"/>
              <w:right w:val="single" w:color="DBE2DB" w:sz="4"/>
            </w:tcBorders>
            <w:shd w:fill="E4EEE9" w:color="auto" w:val="clear"/>
            <w:tcMar>
              <w:top w:type="dxa" w:w="50"/>
              <w:left w:type="dxa" w:w="90"/>
              <w:bottom w:type="dxa" w:w="50"/>
              <w:right w:type="dxa" w:w="90"/>
            </w:tcMar>
          </w:tcPr>
          <w:p>
            <w:pPr>
              <w:bidi/>
              <w:spacing w:after="20" w:before="20" w:line="250"/>
              <w:jc w:val="end"/>
            </w:pPr>
            <w:r>
              <w:rPr>
                <w:rFonts w:ascii="Arial" w:cs="Arial" w:hAnsi="Arial"/>
                <w:b/>
                <w:bCs/>
                <w:i w:val="false"/>
                <w:color w:val="111A15"/>
                <w:sz w:val="17"/>
                <w:szCs w:val="17"/>
                <w:rtl/>
              </w:rPr>
              <w:t xml:space="preserve">7,500,000</w:t>
            </w:r>
          </w:p>
        </w:tc>
      </w:tr>
    </w:tbl>
    <w:p>
      <w:pPr>
        <w:bidi/>
        <w:spacing w:after="14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ملحق ب — قائمة التحقق لملف التقديم على الجهة المانحة</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88"/>
        <w:gridCol w:w="3288"/>
        <w:gridCol w:w="3290"/>
      </w:tblGrid>
      <w:tr>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bCs/>
                <w:i w:val="false"/>
                <w:color w:val="8A6A12"/>
                <w:sz w:val="15"/>
                <w:szCs w:val="15"/>
                <w:rtl/>
              </w:rPr>
              <w:t xml:space="preserve">وثائق الجهة المتقدِّمة</w:t>
            </w:r>
          </w:p>
          <w:p>
            <w:pPr>
              <w:bidi/>
              <w:spacing w:after="60" w:line="270"/>
              <w:jc w:val="start"/>
            </w:pPr>
            <w:r>
              <w:rPr>
                <w:rFonts w:ascii="Arial" w:cs="Arial" w:hAnsi="Arial"/>
                <w:b/>
                <w:bCs/>
                <w:i w:val="false"/>
                <w:color w:val="0E5A49"/>
                <w:sz w:val="18"/>
                <w:szCs w:val="18"/>
                <w:rtl/>
              </w:rPr>
              <w:t xml:space="preserve">الأهلية النظامية</w:t>
            </w:r>
          </w:p>
          <w:p>
            <w:pPr>
              <w:bidi/>
              <w:spacing w:after="0" w:line="270"/>
              <w:jc w:val="both"/>
            </w:pPr>
            <w:r>
              <w:rPr>
                <w:rFonts w:ascii="Arial" w:cs="Arial" w:hAnsi="Arial"/>
                <w:b w:val="false"/>
                <w:i w:val="false"/>
                <w:color w:val="48534C"/>
                <w:sz w:val="16"/>
                <w:szCs w:val="16"/>
                <w:rtl/>
              </w:rPr>
              <w:t xml:space="preserve">ترخيص الجمعية ساري المفعول · النظام الأساسي · محضر مجلس الإدارة باعتماد المشروع · القوائم المالية المدققة لآخر سنتين · التقرير السنوي الأخير · شهادة الزكاة والتأمينات.</w:t>
            </w:r>
          </w:p>
        </w:tc>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bCs/>
                <w:i w:val="false"/>
                <w:color w:val="8A6A12"/>
                <w:sz w:val="15"/>
                <w:szCs w:val="15"/>
                <w:rtl/>
              </w:rPr>
              <w:t xml:space="preserve">وثائق المشروع</w:t>
            </w:r>
          </w:p>
          <w:p>
            <w:pPr>
              <w:bidi/>
              <w:spacing w:after="60" w:line="270"/>
              <w:jc w:val="start"/>
            </w:pPr>
            <w:r>
              <w:rPr>
                <w:rFonts w:ascii="Arial" w:cs="Arial" w:hAnsi="Arial"/>
                <w:b/>
                <w:bCs/>
                <w:i w:val="false"/>
                <w:color w:val="0E5A49"/>
                <w:sz w:val="18"/>
                <w:szCs w:val="18"/>
                <w:rtl/>
              </w:rPr>
              <w:t xml:space="preserve">الملف الفني</w:t>
            </w:r>
          </w:p>
          <w:p>
            <w:pPr>
              <w:bidi/>
              <w:spacing w:after="0" w:line="270"/>
              <w:jc w:val="both"/>
            </w:pPr>
            <w:r>
              <w:rPr>
                <w:rFonts w:ascii="Arial" w:cs="Arial" w:hAnsi="Arial"/>
                <w:b w:val="false"/>
                <w:i w:val="false"/>
                <w:color w:val="48534C"/>
                <w:sz w:val="16"/>
                <w:szCs w:val="16"/>
                <w:rtl/>
              </w:rPr>
              <w:t xml:space="preserve">هذه الدراسة كاملة · الموازنة التفصيلية بصيغة جدولية · الجدول الزمني · الإطار المنطقي · خطة الرصد والتقييم · سجل المخاطر · مخططات المنشأة.</w:t>
            </w:r>
          </w:p>
        </w:tc>
        <w:tc>
          <w:tcPr>
            <w:tcW w:type="dxa" w:w="3290"/>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bCs/>
                <w:i w:val="false"/>
                <w:color w:val="8A6A12"/>
                <w:sz w:val="15"/>
                <w:szCs w:val="15"/>
                <w:rtl/>
              </w:rPr>
              <w:t xml:space="preserve">وثائق داعمة</w:t>
            </w:r>
          </w:p>
          <w:p>
            <w:pPr>
              <w:bidi/>
              <w:spacing w:after="60" w:line="270"/>
              <w:jc w:val="start"/>
            </w:pPr>
            <w:r>
              <w:rPr>
                <w:rFonts w:ascii="Arial" w:cs="Arial" w:hAnsi="Arial"/>
                <w:b/>
                <w:bCs/>
                <w:i w:val="false"/>
                <w:color w:val="0E5A49"/>
                <w:sz w:val="18"/>
                <w:szCs w:val="18"/>
                <w:rtl/>
              </w:rPr>
              <w:t xml:space="preserve">إثبات الجاهزية</w:t>
            </w:r>
          </w:p>
          <w:p>
            <w:pPr>
              <w:bidi/>
              <w:spacing w:after="0" w:line="270"/>
              <w:jc w:val="both"/>
            </w:pPr>
            <w:r>
              <w:rPr>
                <w:rFonts w:ascii="Arial" w:cs="Arial" w:hAnsi="Arial"/>
                <w:b w:val="false"/>
                <w:i w:val="false"/>
                <w:color w:val="48534C"/>
                <w:sz w:val="16"/>
                <w:szCs w:val="16"/>
                <w:rtl/>
              </w:rPr>
              <w:t xml:space="preserve">عقد المقر أو وثيقة حق الانتفاع · موافقة مبدئية على النشاط · ثلاثة عروض أسعار لكل بند رأسمالي رئيسي · خطابات النوايا من العملاء المؤسسيين · اتفاقيات شراكة القطاع الخاص.</w:t>
            </w:r>
          </w:p>
        </w:tc>
      </w:tr>
      <w:tr>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60" w:line="270"/>
              <w:jc w:val="start"/>
            </w:pPr>
            <w:r>
              <w:rPr>
                <w:rFonts w:ascii="Arial" w:cs="Arial" w:hAnsi="Arial"/>
                <w:b/>
                <w:bCs/>
                <w:i w:val="false"/>
                <w:color w:val="8A6A12"/>
                <w:sz w:val="15"/>
                <w:szCs w:val="15"/>
                <w:rtl/>
              </w:rPr>
              <w:t xml:space="preserve">وثائق الحوكمة</w:t>
            </w:r>
          </w:p>
          <w:p>
            <w:pPr>
              <w:bidi/>
              <w:spacing w:after="60" w:line="270"/>
              <w:jc w:val="start"/>
            </w:pPr>
            <w:r>
              <w:rPr>
                <w:rFonts w:ascii="Arial" w:cs="Arial" w:hAnsi="Arial"/>
                <w:b/>
                <w:bCs/>
                <w:i w:val="false"/>
                <w:color w:val="0E5A49"/>
                <w:sz w:val="18"/>
                <w:szCs w:val="18"/>
                <w:rtl/>
              </w:rPr>
              <w:t xml:space="preserve">ضمانات الإدارة</w:t>
            </w:r>
          </w:p>
          <w:p>
            <w:pPr>
              <w:bidi/>
              <w:spacing w:after="0" w:line="270"/>
              <w:jc w:val="both"/>
            </w:pPr>
            <w:r>
              <w:rPr>
                <w:rFonts w:ascii="Arial" w:cs="Arial" w:hAnsi="Arial"/>
                <w:b w:val="false"/>
                <w:i w:val="false"/>
                <w:color w:val="48534C"/>
                <w:sz w:val="16"/>
                <w:szCs w:val="16"/>
                <w:rtl/>
              </w:rPr>
              <w:t xml:space="preserve">هيكل لجنة الإشراف وأعضاؤها · سياسة تعارض المصالح · سياسة حماية المستفيدين · سياسة المشتريات · نموذج التقرير الربعي المقترح · تعهد بالمراجعة الخارجية السنوية.</w:t>
            </w:r>
          </w:p>
        </w:tc>
        <w:tc>
          <w:tcPr>
            <w:tcW w:type="dxa" w:w="3288"/>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120" w:before="0" w:line="300"/>
              <w:jc w:val="both"/>
            </w:pPr>
            <w:r>
              <w:rPr>
                <w:rFonts w:ascii="Arial" w:cs="Arial" w:hAnsi="Arial"/>
                <w:b w:val="false"/>
                <w:i w:val="false"/>
                <w:color w:val="48534C"/>
                <w:sz w:val="20"/>
                <w:szCs w:val="20"/>
                <w:rtl/>
              </w:rPr>
              <w:t xml:space="preserve"/>
            </w:r>
          </w:p>
        </w:tc>
        <w:tc>
          <w:tcPr>
            <w:tcW w:type="dxa" w:w="3290"/>
            <w:tcBorders>
              <w:top w:val="single" w:color="DBE2DB" w:sz="4"/>
              <w:left w:val="single" w:color="DBE2DB" w:sz="4"/>
              <w:bottom w:val="single" w:color="DBE2DB" w:sz="4"/>
              <w:right w:val="single" w:color="DBE2DB" w:sz="4"/>
            </w:tcBorders>
            <w:tcMar>
              <w:top w:type="dxa" w:w="110"/>
              <w:left w:type="dxa" w:w="130"/>
              <w:bottom w:type="dxa" w:w="110"/>
              <w:right w:type="dxa" w:w="130"/>
            </w:tcMar>
          </w:tcPr>
          <w:p>
            <w:pPr>
              <w:bidi/>
              <w:spacing w:after="120" w:before="0" w:line="300"/>
              <w:jc w:val="both"/>
            </w:pPr>
            <w:r>
              <w:rPr>
                <w:rFonts w:ascii="Arial" w:cs="Arial" w:hAnsi="Arial"/>
                <w:b w:val="false"/>
                <w:i w:val="false"/>
                <w:color w:val="48534C"/>
                <w:sz w:val="20"/>
                <w:szCs w:val="20"/>
                <w:rtl/>
              </w:rPr>
              <w:t xml:space="preserve"/>
            </w:r>
          </w:p>
        </w:tc>
      </w:tr>
    </w:tbl>
    <w:p>
      <w:pPr>
        <w:bidi/>
        <w:spacing w:after="16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ملحق ج — نموذج التقرير الربعي للجهة المانحة</w:t>
      </w:r>
    </w:p>
    <w:p>
      <w:pPr>
        <w:keepNext/>
        <w:bidi/>
        <w:spacing w:after="60" w:before="160" w:line="300"/>
        <w:jc w:val="start"/>
      </w:pPr>
      <w:r>
        <w:rPr>
          <w:rFonts w:ascii="Arial" w:cs="Arial" w:hAnsi="Arial"/>
          <w:b/>
          <w:bCs/>
          <w:i w:val="false"/>
          <w:color w:val="8A6A12"/>
          <w:sz w:val="16"/>
          <w:szCs w:val="16"/>
          <w:rtl/>
        </w:rPr>
        <w:t xml:space="preserve">جدول 40 — الهيكل المقترح لتقرير المتابعة الربعي</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7"/>
        <w:gridCol w:w="4741"/>
        <w:gridCol w:w="3568"/>
      </w:tblGrid>
      <w:tr>
        <w:trPr>
          <w:tblHeader/>
        </w:trPr>
        <w:tc>
          <w:tcPr>
            <w:tcW w:type="dxa" w:w="1557"/>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end"/>
            </w:pPr>
            <w:r>
              <w:rPr>
                <w:rFonts w:ascii="Arial" w:cs="Arial" w:hAnsi="Arial"/>
                <w:b/>
                <w:bCs/>
                <w:i w:val="false"/>
                <w:color w:val="111A15"/>
                <w:sz w:val="16"/>
                <w:szCs w:val="16"/>
                <w:rtl/>
              </w:rPr>
              <w:t xml:space="preserve">القسم</w:t>
            </w:r>
          </w:p>
        </w:tc>
        <w:tc>
          <w:tcPr>
            <w:tcW w:type="dxa" w:w="4741"/>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المحتوى</w:t>
            </w:r>
          </w:p>
        </w:tc>
        <w:tc>
          <w:tcPr>
            <w:tcW w:type="dxa" w:w="3568"/>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الشاهد المرفق</w:t>
            </w:r>
          </w:p>
        </w:tc>
      </w:tr>
      <w:tr>
        <w:tc>
          <w:tcPr>
            <w:tcW w:type="dxa" w:w="155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1</w:t>
            </w:r>
          </w:p>
        </w:tc>
        <w:tc>
          <w:tcPr>
            <w:tcW w:type="dxa" w:w="47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ملخص تنفيذي للربع: ما تحقق · ما لم يتحقق · القرارات المطلوبة</w:t>
            </w:r>
          </w:p>
        </w:tc>
        <w:tc>
          <w:tcPr>
            <w:tcW w:type="dxa" w:w="35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صفحة واحدة</w:t>
            </w:r>
          </w:p>
        </w:tc>
      </w:tr>
      <w:tr>
        <w:tc>
          <w:tcPr>
            <w:tcW w:type="dxa" w:w="155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2</w:t>
            </w:r>
          </w:p>
        </w:tc>
        <w:tc>
          <w:tcPr>
            <w:tcW w:type="dxa" w:w="47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لوحة مؤشرات الأداء: القيمة الفعلية مقابل المستهدف مع تفسير كل انحراف يتجاوز 10٪</w:t>
            </w:r>
          </w:p>
        </w:tc>
        <w:tc>
          <w:tcPr>
            <w:tcW w:type="dxa" w:w="35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جدول المؤشرات</w:t>
            </w:r>
          </w:p>
        </w:tc>
      </w:tr>
      <w:tr>
        <w:tc>
          <w:tcPr>
            <w:tcW w:type="dxa" w:w="155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3</w:t>
            </w:r>
          </w:p>
        </w:tc>
        <w:tc>
          <w:tcPr>
            <w:tcW w:type="dxa" w:w="47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التقدم في الجدول الزمني والمعالم</w:t>
            </w:r>
          </w:p>
        </w:tc>
        <w:tc>
          <w:tcPr>
            <w:tcW w:type="dxa" w:w="35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مخطط جانت محدّث</w:t>
            </w:r>
          </w:p>
        </w:tc>
      </w:tr>
      <w:tr>
        <w:tc>
          <w:tcPr>
            <w:tcW w:type="dxa" w:w="155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4</w:t>
            </w:r>
          </w:p>
        </w:tc>
        <w:tc>
          <w:tcPr>
            <w:tcW w:type="dxa" w:w="47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الموقف المالي: الصرف مقابل الموازنة · التدفق النقدي · نسبة الاكتفاء</w:t>
            </w:r>
          </w:p>
        </w:tc>
        <w:tc>
          <w:tcPr>
            <w:tcW w:type="dxa" w:w="35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كشف حساب + ميزان مراجعة</w:t>
            </w:r>
          </w:p>
        </w:tc>
      </w:tr>
      <w:tr>
        <w:tc>
          <w:tcPr>
            <w:tcW w:type="dxa" w:w="155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5</w:t>
            </w:r>
          </w:p>
        </w:tc>
        <w:tc>
          <w:tcPr>
            <w:tcW w:type="dxa" w:w="47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الأثر التنموي: أعداد المستفيدات · متوسط الدخل · قصص أثر موثّقة</w:t>
            </w:r>
          </w:p>
        </w:tc>
        <w:tc>
          <w:tcPr>
            <w:tcW w:type="dxa" w:w="35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بيانات المتابعة + إفادات</w:t>
            </w:r>
          </w:p>
        </w:tc>
      </w:tr>
      <w:tr>
        <w:tc>
          <w:tcPr>
            <w:tcW w:type="dxa" w:w="155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6</w:t>
            </w:r>
          </w:p>
        </w:tc>
        <w:tc>
          <w:tcPr>
            <w:tcW w:type="dxa" w:w="47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سجل المخاطر المحدّث والمخاطر المستجدة</w:t>
            </w:r>
          </w:p>
        </w:tc>
        <w:tc>
          <w:tcPr>
            <w:tcW w:type="dxa" w:w="35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سجل المخاطر</w:t>
            </w:r>
          </w:p>
        </w:tc>
      </w:tr>
      <w:tr>
        <w:tc>
          <w:tcPr>
            <w:tcW w:type="dxa" w:w="155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end"/>
            </w:pPr>
            <w:r>
              <w:rPr>
                <w:rFonts w:ascii="Arial" w:cs="Arial" w:hAnsi="Arial"/>
                <w:b w:val="false"/>
                <w:i w:val="false"/>
                <w:color w:val="48534C"/>
                <w:sz w:val="17"/>
                <w:szCs w:val="17"/>
                <w:rtl/>
              </w:rPr>
              <w:t xml:space="preserve">7</w:t>
            </w:r>
          </w:p>
        </w:tc>
        <w:tc>
          <w:tcPr>
            <w:tcW w:type="dxa" w:w="4741"/>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الدروس المستفادة وتصحيحات المسار</w:t>
            </w:r>
          </w:p>
        </w:tc>
        <w:tc>
          <w:tcPr>
            <w:tcW w:type="dxa" w:w="3568"/>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محضر لجنة الإشراف</w:t>
            </w:r>
          </w:p>
        </w:tc>
      </w:tr>
    </w:tbl>
    <w:p>
      <w:pPr>
        <w:bidi/>
        <w:spacing w:after="140" w:before="0" w:line="300"/>
        <w:jc w:val="both"/>
      </w:pPr>
      <w:r>
        <w:rPr>
          <w:rFonts w:ascii="Arial" w:cs="Arial" w:hAnsi="Arial"/>
          <w:b w:val="false"/>
          <w:i w:val="false"/>
          <w:color w:val="48534C"/>
          <w:sz w:val="8"/>
          <w:szCs w:val="8"/>
          <w:rtl/>
        </w:rPr>
        <w:t xml:space="preserve"/>
      </w:r>
    </w:p>
    <w:p>
      <w:pPr>
        <w:pStyle w:val="Heading2"/>
        <w:keepNext/>
        <w:bidi/>
        <w:spacing w:after="120" w:before="300" w:line="300"/>
        <w:jc w:val="start"/>
        <w:outlineLvl w:val="1"/>
      </w:pPr>
      <w:r>
        <w:rPr>
          <w:rFonts w:ascii="Arial" w:cs="Arial" w:hAnsi="Arial"/>
          <w:b/>
          <w:bCs/>
          <w:i w:val="false"/>
          <w:color w:val="0E5A49"/>
          <w:sz w:val="24"/>
          <w:szCs w:val="24"/>
          <w:rtl/>
        </w:rPr>
        <w:t xml:space="preserve">ملحق د — مسرد المصطلحات</w:t>
      </w:r>
    </w:p>
    <w:tbl>
      <w:tblPr>
        <w:bidiVisual/>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59"/>
        <w:gridCol w:w="5507"/>
      </w:tblGrid>
      <w:tr>
        <w:trPr>
          <w:tblHeader/>
        </w:trPr>
        <w:tc>
          <w:tcPr>
            <w:tcW w:type="dxa" w:w="4359"/>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المصطلح</w:t>
            </w:r>
          </w:p>
        </w:tc>
        <w:tc>
          <w:tcPr>
            <w:tcW w:type="dxa" w:w="5507"/>
            <w:tcBorders>
              <w:top w:val="single" w:color="DBE2DB" w:sz="4"/>
              <w:left w:val="single" w:color="DBE2DB" w:sz="4"/>
              <w:bottom w:val="single" w:color="C4CEC6" w:sz="8"/>
              <w:right w:val="single" w:color="DBE2DB" w:sz="4"/>
            </w:tcBorders>
            <w:shd w:fill="EAEEE9" w:color="auto" w:val="clear"/>
            <w:tcMar>
              <w:top w:type="dxa" w:w="60"/>
              <w:left w:type="dxa" w:w="90"/>
              <w:bottom w:type="dxa" w:w="60"/>
              <w:right w:type="dxa" w:w="90"/>
            </w:tcMar>
            <w:vAlign w:val="center"/>
          </w:tcPr>
          <w:p>
            <w:pPr>
              <w:bidi/>
              <w:spacing w:after="20" w:before="20" w:line="250"/>
              <w:jc w:val="start"/>
            </w:pPr>
            <w:r>
              <w:rPr>
                <w:rFonts w:ascii="Arial" w:cs="Arial" w:hAnsi="Arial"/>
                <w:b/>
                <w:bCs/>
                <w:i w:val="false"/>
                <w:color w:val="111A15"/>
                <w:sz w:val="16"/>
                <w:szCs w:val="16"/>
                <w:rtl/>
              </w:rPr>
              <w:t xml:space="preserve">المعنى المستخدم في هذه الدراسة</w:t>
            </w:r>
          </w:p>
        </w:tc>
      </w:tr>
      <w:tr>
        <w:tc>
          <w:tcPr>
            <w:tcW w:type="dxa" w:w="43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الاكتفاء التشغيلي الذاتي</w:t>
            </w:r>
          </w:p>
        </w:tc>
        <w:tc>
          <w:tcPr>
            <w:tcW w:type="dxa" w:w="550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الإيرادات ÷ (تكلفة المبيعات + المصروفات التشغيلية). تجاوزها 100٪ يعني تغطية المصروفات النقدية من الإيراد الذاتي.</w:t>
            </w:r>
          </w:p>
        </w:tc>
      </w:tr>
      <w:tr>
        <w:tc>
          <w:tcPr>
            <w:tcW w:type="dxa" w:w="43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الفائض التشغيلي قبل الإهلاك</w:t>
            </w:r>
          </w:p>
        </w:tc>
        <w:tc>
          <w:tcPr>
            <w:tcW w:type="dxa" w:w="550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الفائض النقدي من العمليات قبل تحميل الإهلاك والإطفاء — المؤشر العملي لاستدامة مشروع مموَّل أصله بمنحة.</w:t>
            </w:r>
          </w:p>
        </w:tc>
      </w:tr>
      <w:tr>
        <w:tc>
          <w:tcPr>
            <w:tcW w:type="dxa" w:w="43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هامش المساهمة</w:t>
            </w:r>
          </w:p>
        </w:tc>
        <w:tc>
          <w:tcPr>
            <w:tcW w:type="dxa" w:w="550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ما يتبقى من كل ريال مبيعات بعد التكاليف المتغيرة، ويُستخدم لتغطية التكاليف الثابتة.</w:t>
            </w:r>
          </w:p>
        </w:tc>
      </w:tr>
      <w:tr>
        <w:tc>
          <w:tcPr>
            <w:tcW w:type="dxa" w:w="43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الساعة التشغيلية المكافئة</w:t>
            </w:r>
          </w:p>
        </w:tc>
        <w:tc>
          <w:tcPr>
            <w:tcW w:type="dxa" w:w="550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وحدة قياس موحّدة تُقاس بها طاقة التصنيع والتعبئة على جانبَي العرض والطلب معًا.</w:t>
            </w:r>
          </w:p>
        </w:tc>
      </w:tr>
      <w:tr>
        <w:tc>
          <w:tcPr>
            <w:tcW w:type="dxa" w:w="43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نقطة التحكم الحرجة</w:t>
            </w:r>
          </w:p>
        </w:tc>
        <w:tc>
          <w:tcPr>
            <w:tcW w:type="dxa" w:w="550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مرحلة في العملية يمكن عندها منع خطر على سلامة الغذاء أو إزالته أو خفضه لمستوى مقبول.</w:t>
            </w:r>
          </w:p>
        </w:tc>
      </w:tr>
      <w:tr>
        <w:tc>
          <w:tcPr>
            <w:tcW w:type="dxa" w:w="43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العائد الاجتماعي على الاستثمار</w:t>
            </w:r>
          </w:p>
        </w:tc>
        <w:tc>
          <w:tcPr>
            <w:tcW w:type="dxa" w:w="550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نسبة القيمة الاجتماعية المولَّدة إلى التكلفة، بعد خصم الوزن الميت والإسناد والتناقص.</w:t>
            </w:r>
          </w:p>
        </w:tc>
      </w:tr>
      <w:tr>
        <w:tc>
          <w:tcPr>
            <w:tcW w:type="dxa" w:w="43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الوزن الميت</w:t>
            </w:r>
          </w:p>
        </w:tc>
        <w:tc>
          <w:tcPr>
            <w:tcW w:type="dxa" w:w="550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ما كان سيتحقق من نتائج حتى لو لم يُنفَّذ المشروع، ويُخصم من المنافع.</w:t>
            </w:r>
          </w:p>
        </w:tc>
      </w:tr>
      <w:tr>
        <w:tc>
          <w:tcPr>
            <w:tcW w:type="dxa" w:w="4359"/>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السوق المتاح المخدوم</w:t>
            </w:r>
          </w:p>
        </w:tc>
        <w:tc>
          <w:tcPr>
            <w:tcW w:type="dxa" w:w="5507"/>
            <w:tcBorders>
              <w:top w:val="single" w:color="DBE2DB" w:sz="4"/>
              <w:left w:val="single" w:color="DBE2DB" w:sz="4"/>
              <w:bottom w:val="single" w:color="DBE2DB" w:sz="4"/>
              <w:right w:val="single" w:color="DBE2DB" w:sz="4"/>
            </w:tcBorders>
            <w:tcMar>
              <w:top w:type="dxa" w:w="50"/>
              <w:left w:type="dxa" w:w="90"/>
              <w:bottom w:type="dxa" w:w="50"/>
              <w:right w:type="dxa" w:w="90"/>
            </w:tcMar>
          </w:tcPr>
          <w:p>
            <w:pPr>
              <w:bidi/>
              <w:spacing w:after="20" w:before="20" w:line="250"/>
              <w:jc w:val="start"/>
            </w:pPr>
            <w:r>
              <w:rPr>
                <w:rFonts w:ascii="Arial" w:cs="Arial" w:hAnsi="Arial"/>
                <w:b w:val="false"/>
                <w:i w:val="false"/>
                <w:color w:val="48534C"/>
                <w:sz w:val="17"/>
                <w:szCs w:val="17"/>
                <w:rtl/>
              </w:rPr>
              <w:t xml:space="preserve">الجزء من السوق الكلي الذي يستطيع المشروع خدمته فعليًا بنموذجه وطاقته ونطاقه الجغرافي.</w:t>
            </w:r>
          </w:p>
        </w:tc>
      </w:tr>
    </w:tbl>
    <w:p>
      <w:pPr>
        <w:bidi/>
        <w:spacing w:after="140" w:before="0" w:line="300"/>
        <w:jc w:val="both"/>
      </w:pPr>
      <w:r>
        <w:rPr>
          <w:rFonts w:ascii="Arial" w:cs="Arial" w:hAnsi="Arial"/>
          <w:b w:val="false"/>
          <w:i w:val="false"/>
          <w:color w:val="48534C"/>
          <w:sz w:val="8"/>
          <w:szCs w:val="8"/>
          <w:rtl/>
        </w:rPr>
        <w:t xml:space="preserve"/>
      </w:r>
    </w:p>
    <w:p>
      <w:pPr>
        <w:bidi/>
        <w:spacing w:after="80" w:before="200" w:line="300"/>
        <w:jc w:val="both"/>
      </w:pPr>
      <w:r>
        <w:rPr>
          <w:rFonts w:ascii="Arial" w:cs="Arial" w:hAnsi="Arial"/>
          <w:b w:val="false"/>
          <w:i w:val="false"/>
          <w:color w:val="77817A"/>
          <w:sz w:val="15"/>
          <w:szCs w:val="15"/>
          <w:rtl/>
        </w:rPr>
        <w:t xml:space="preserve">دراسة جدوى متكاملة — مركز التمكين الاقتصادي للأسر المنتجة · النسخة 1.0 · أغسطس 2026 · جميع المبالغ بالريال السعودي وصافية من ضريبة القيمة المضافة.</w:t>
      </w:r>
    </w:p>
    <w:p>
      <w:pPr>
        <w:bidi/>
        <w:spacing w:after="80" w:before="200" w:line="300"/>
        <w:jc w:val="both"/>
      </w:pPr>
      <w:r>
        <w:rPr>
          <w:rFonts w:ascii="Arial" w:cs="Arial" w:hAnsi="Arial"/>
          <w:b w:val="false"/>
          <w:i w:val="false"/>
          <w:color w:val="77817A"/>
          <w:sz w:val="15"/>
          <w:szCs w:val="15"/>
          <w:rtl/>
        </w:rPr>
        <w:t xml:space="preserve">أُعدّت هذه الوثيقة لغرض التقديم على الجهات المانحة. التقديرات السوقية والاقتصادية الكلية الواردة فيها استرشادية وتخضع للتحقّق الميداني قبل الاعتماد النهائي، وفق ما هو مفصّل في فصل المنهجية.</w:t>
      </w:r>
    </w:p>
    <w:sectPr>
      <w:headerReference w:type="default" r:id="rId7"/>
      <w:footerReference w:type="default" r:id="rId8"/>
      <w:pgSz w:w="11906" w:h="16838" w:orient="portrait"/>
      <w:pgMar w:top="1133" w:right="1020" w:bottom="1133"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2DB" w:sz="4"/>
      </w:pBdr>
      <w:bidi/>
      <w:spacing w:before="120"/>
      <w:jc w:val="center"/>
    </w:pPr>
    <w:r>
      <w:rPr>
        <w:rFonts w:ascii="Arial" w:cs="Arial" w:hAnsi="Arial"/>
        <w:color w:val="77817A"/>
        <w:sz w:val="16"/>
        <w:szCs w:val="16"/>
        <w:rtl/>
      </w:rPr>
      <w:fldChar w:fldCharType="begin"/>
      <w:instrText xml:space="preserve">PAGE</w:instrText>
      <w:fldChar w:fldCharType="separate"/>
      <w:fldChar w:fldCharType="end"/>
    </w:r>
    <w:r>
      <w:rPr>
        <w:rFonts w:ascii="Arial" w:cs="Arial" w:hAnsi="Arial"/>
        <w:b w:val="false"/>
        <w:i w:val="false"/>
        <w:color w:val="77817A"/>
        <w:sz w:val="16"/>
        <w:szCs w:val="16"/>
        <w:rtl/>
      </w:rPr>
      <w:t xml:space="preserve"> من </w:t>
    </w:r>
    <w:r>
      <w:rPr>
        <w:rFonts w:ascii="Arial" w:cs="Arial" w:hAnsi="Arial"/>
        <w:color w:val="77817A"/>
        <w:sz w:val="16"/>
        <w:szCs w:val="16"/>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2DB" w:sz="4"/>
      </w:pBdr>
      <w:bidi/>
      <w:spacing w:after="120"/>
      <w:jc w:val="start"/>
    </w:pPr>
    <w:r>
      <w:rPr>
        <w:rFonts w:ascii="Arial" w:cs="Arial" w:hAnsi="Arial"/>
        <w:b w:val="false"/>
        <w:i w:val="false"/>
        <w:color w:val="77817A"/>
        <w:sz w:val="15"/>
        <w:szCs w:val="15"/>
        <w:rtl/>
      </w:rPr>
      <w:t xml:space="preserve">دراسة جدوى — مركز التمكين الاقتصادي للأسر المنتجة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color w:val="48534C"/>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d80b5c55c9b92d4e2ca2becf847891bc86405c.png"/><Relationship Id="rId10" Type="http://schemas.openxmlformats.org/officeDocument/2006/relationships/image" Target="media/99a486db2940b84701c6282e72faec8cfb3287e6.png"/><Relationship Id="rId11" Type="http://schemas.openxmlformats.org/officeDocument/2006/relationships/image" Target="media/30a3dfd763382efab85059f81e8f8ec9f7cc0d26.png"/><Relationship Id="rId12" Type="http://schemas.openxmlformats.org/officeDocument/2006/relationships/image" Target="media/cbd2f0407481a849558f8d073b5023e234ac0bc5.png"/><Relationship Id="rId13" Type="http://schemas.openxmlformats.org/officeDocument/2006/relationships/image" Target="media/91747059609d827244d8e28db296cc35efcac3a9.png"/><Relationship Id="rId14" Type="http://schemas.openxmlformats.org/officeDocument/2006/relationships/image" Target="media/c66e91c88349daa85c99d98f2560f8c962be7c07.png"/><Relationship Id="rId15" Type="http://schemas.openxmlformats.org/officeDocument/2006/relationships/image" Target="media/201a526da661fbd3d729161143ba9ec6831f0fda.png"/><Relationship Id="rId16" Type="http://schemas.openxmlformats.org/officeDocument/2006/relationships/image" Target="media/74109cf28d935fed98d5c543f98d9e7a3df0ecaf.png"/><Relationship Id="rId17" Type="http://schemas.openxmlformats.org/officeDocument/2006/relationships/image" Target="media/aaec04230d998ff8a1c394cb47c607888af83d4a.png"/><Relationship Id="rId18" Type="http://schemas.openxmlformats.org/officeDocument/2006/relationships/image" Target="media/d811ea617b7bbda96c73e5c8a76aff4a3e013bfb.png"/><Relationship Id="rId19" Type="http://schemas.openxmlformats.org/officeDocument/2006/relationships/image" Target="media/70fba3c7e5f243e21ae157bab867f6012978fe13.png"/><Relationship Id="rId20" Type="http://schemas.openxmlformats.org/officeDocument/2006/relationships/image" Target="media/a8cc6a9d698e5d376429a4bdcff111bac45dcc71.png"/><Relationship Id="rId21" Type="http://schemas.openxmlformats.org/officeDocument/2006/relationships/image" Target="media/85df70e383f3320fbbd810cdb117abef37074c75.png"/><Relationship Id="rId22" Type="http://schemas.openxmlformats.org/officeDocument/2006/relationships/image" Target="media/150b0df044189943d22061b5d707f56af1943e63.png"/><Relationship Id="rId23" Type="http://schemas.openxmlformats.org/officeDocument/2006/relationships/image" Target="media/f8e33b707aed07536974bbb1e1293d06fa2821c2.png"/><Relationship Id="rId24" Type="http://schemas.openxmlformats.org/officeDocument/2006/relationships/image" Target="media/cc4a1639b9e9a6dada1dedda40f73d881b5a7932.png"/><Relationship Id="rId25" Type="http://schemas.openxmlformats.org/officeDocument/2006/relationships/image" Target="media/de31347005f85e98ca2892fc804c53bca455c35b.png"/><Relationship Id="rId26" Type="http://schemas.openxmlformats.org/officeDocument/2006/relationships/image" Target="media/4155568e5687a3ceeb30736ddd559b5e0cc061b9.png"/><Relationship Id="rId27" Type="http://schemas.openxmlformats.org/officeDocument/2006/relationships/image" Target="media/6d9bc90c823f1ebe62670752f99089be6c35ed71.png"/><Relationship Id="rId28" Type="http://schemas.openxmlformats.org/officeDocument/2006/relationships/image" Target="media/5346f022e0a89a5de8ad909ec6ba028fd49d6e44.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مركز التمكين الاقتصادي للأسر المنتجة</dc:title>
  <dc:creator>دراسة جدوى — مركز التمكين الاقتصادي للأسر المنتجة</dc:creator>
  <dc:description>دراسة جدوى متكاملة مُعدّة للتقديم على الجهات المانحة</dc:description>
  <cp:lastModifiedBy>Un-named</cp:lastModifiedBy>
  <cp:revision>1</cp:revision>
  <dcterms:created xsi:type="dcterms:W3CDTF">2026-08-10T08:02:17.690Z</dcterms:created>
  <dcterms:modified xsi:type="dcterms:W3CDTF">2026-08-10T08:02:17.700Z</dcterms:modified>
</cp:coreProperties>
</file>

<file path=docProps/custom.xml><?xml version="1.0" encoding="utf-8"?>
<Properties xmlns="http://schemas.openxmlformats.org/officeDocument/2006/custom-properties" xmlns:vt="http://schemas.openxmlformats.org/officeDocument/2006/docPropsVTypes"/>
</file>