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Market Sizing — TAM, SAM, SOM</w:t>
            </w:r>
          </w:p>
          <w:p>
            <w:pPr>
              <w:spacing w:after="0" w:before="0" w:line="324" w:lineRule="auto"/>
            </w:pPr>
            <w:r>
              <w:rPr>
                <w:rFonts w:ascii="Satoshi" w:hAnsi="Satoshi" w:cs="Satoshi"/>
                <w:b w:val="0"/>
                <w:i w:val="0"/>
                <w:color w:val="FFFFFF"/>
                <w:sz w:val="25"/>
                <w:szCs w:val="25"/>
              </w:rPr>
              <w:t>A number you can defend, built from the bottom up</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Three sized figures, the arithmetic behind them, and the assumption that breaks them</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TAM is everyone who could ever buy this. SAM is the part you could serve with your model, in your geography. SOM is what you could realistically win in three years. The purpose is not a big number — it is a defensible one. A bottom-up figure with visible arithmetic beats a top-down figure taken from a report, every time, in front of anyone who has done this before.</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Show whether the business can ever be large enough to be worth the years it will take.</w:t>
      </w:r>
    </w:p>
    <w:p>
      <w:pPr>
        <w:keepNext w:val="0"/>
        <w:spacing w:before="0" w:after="60" w:line="312" w:lineRule="auto"/>
        <w:ind w:left="283"/>
        <w:jc w:val="left"/>
      </w:pPr>
      <w:r>
        <w:rPr>
          <w:rFonts w:ascii="Satoshi" w:hAnsi="Satoshi" w:cs="Satoshi"/>
          <w:b w:val="0"/>
          <w:i w:val="0"/>
          <w:color w:val="0B0E14"/>
          <w:sz w:val="20"/>
          <w:szCs w:val="20"/>
        </w:rPr>
        <w:t>—  Replace a cited market report with arithmetic a reader can check line by line.</w:t>
      </w:r>
    </w:p>
    <w:p>
      <w:pPr>
        <w:keepNext w:val="0"/>
        <w:spacing w:before="0" w:after="60" w:line="312" w:lineRule="auto"/>
        <w:ind w:left="283"/>
        <w:jc w:val="left"/>
      </w:pPr>
      <w:r>
        <w:rPr>
          <w:rFonts w:ascii="Satoshi" w:hAnsi="Satoshi" w:cs="Satoshi"/>
          <w:b w:val="0"/>
          <w:i w:val="0"/>
          <w:color w:val="0B0E14"/>
          <w:sz w:val="20"/>
          <w:szCs w:val="20"/>
        </w:rPr>
        <w:t>—  Expose the one assumption the whole number rests on.</w:t>
      </w:r>
    </w:p>
    <w:p>
      <w:pPr>
        <w:keepNext w:val="0"/>
        <w:spacing w:before="0" w:after="60" w:line="312" w:lineRule="auto"/>
        <w:ind w:left="283"/>
        <w:jc w:val="left"/>
      </w:pPr>
      <w:r>
        <w:rPr>
          <w:rFonts w:ascii="Satoshi" w:hAnsi="Satoshi" w:cs="Satoshi"/>
          <w:b w:val="0"/>
          <w:i w:val="0"/>
          <w:color w:val="0B0E14"/>
          <w:sz w:val="20"/>
          <w:szCs w:val="20"/>
        </w:rPr>
        <w:t>—  Give a realistic three-year target instead of '1% of a huge market', which signals inexperience immediately.</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Missions 4 and 12, and required for any pitch.</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Blank, S. &amp; Dorf, B. (2012). The Startup Owner's Manual. K&amp;S Ranch. — market size and type in customer discovery.</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The bottom-up method is Fermi estimation: decompose an unknown quantity into quantities you can estimate or count, and multiply. The discipline is old and comes from physics, not business — its value here is that every step is inspectable, so a reader can challenge one assumption instead of rejecting the whole figure.</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Mullins, J. (2003). The New Business Road Test. FT Prentice Hall.</w:t>
      </w:r>
    </w:p>
    <w:p>
      <w:pPr>
        <w:keepNext w:val="0"/>
        <w:spacing w:before="0" w:after="40" w:line="312" w:lineRule="auto"/>
        <w:ind w:left="283"/>
        <w:jc w:val="left"/>
      </w:pPr>
      <w:r>
        <w:rPr>
          <w:rFonts w:ascii="Satoshi" w:hAnsi="Satoshi" w:cs="Satoshi"/>
          <w:b w:val="0"/>
          <w:i w:val="0"/>
          <w:color w:val="0B0E14"/>
          <w:sz w:val="19"/>
          <w:szCs w:val="19"/>
        </w:rPr>
        <w:t>—  Weinstein, L. &amp; Adam, J. (2008). Guesstimation. Princeton University Press.</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Do the bottom-up calculation first: number of potential customers x price x purchase frequency per year. Show every figure.</w:t>
      </w:r>
    </w:p>
    <w:p>
      <w:pPr>
        <w:keepNext w:val="0"/>
        <w:spacing w:before="0" w:after="60" w:line="312" w:lineRule="auto"/>
        <w:ind w:left="283"/>
        <w:jc w:val="left"/>
      </w:pPr>
      <w:r>
        <w:rPr>
          <w:rFonts w:ascii="Satoshi" w:hAnsi="Satoshi" w:cs="Satoshi"/>
          <w:b w:val="0"/>
          <w:i w:val="0"/>
          <w:color w:val="0B0E14"/>
          <w:sz w:val="20"/>
          <w:szCs w:val="20"/>
        </w:rPr>
        <w:t>2.  Source each figure. A government statistic, a census, a platform's published number, or your own count — with the date.</w:t>
      </w:r>
    </w:p>
    <w:p>
      <w:pPr>
        <w:keepNext w:val="0"/>
        <w:spacing w:before="0" w:after="60" w:line="312" w:lineRule="auto"/>
        <w:ind w:left="283"/>
        <w:jc w:val="left"/>
      </w:pPr>
      <w:r>
        <w:rPr>
          <w:rFonts w:ascii="Satoshi" w:hAnsi="Satoshi" w:cs="Satoshi"/>
          <w:b w:val="0"/>
          <w:i w:val="0"/>
          <w:color w:val="0B0E14"/>
          <w:sz w:val="20"/>
          <w:szCs w:val="20"/>
        </w:rPr>
        <w:t>3.  Do a top-down estimate separately as a sanity check. If the two differ by more than 10x, one of them is wrong; find out which.</w:t>
      </w:r>
    </w:p>
    <w:p>
      <w:pPr>
        <w:keepNext w:val="0"/>
        <w:spacing w:before="0" w:after="60" w:line="312" w:lineRule="auto"/>
        <w:ind w:left="283"/>
        <w:jc w:val="left"/>
      </w:pPr>
      <w:r>
        <w:rPr>
          <w:rFonts w:ascii="Satoshi" w:hAnsi="Satoshi" w:cs="Satoshi"/>
          <w:b w:val="0"/>
          <w:i w:val="0"/>
          <w:color w:val="0B0E14"/>
          <w:sz w:val="20"/>
          <w:szCs w:val="20"/>
        </w:rPr>
        <w:t>4.  Work in EGP and give the USD equivalent with the rate and date you used.</w:t>
      </w:r>
    </w:p>
    <w:p>
      <w:pPr>
        <w:keepNext w:val="0"/>
        <w:spacing w:before="0" w:after="60" w:line="312" w:lineRule="auto"/>
        <w:ind w:left="283"/>
        <w:jc w:val="left"/>
      </w:pPr>
      <w:r>
        <w:rPr>
          <w:rFonts w:ascii="Satoshi" w:hAnsi="Satoshi" w:cs="Satoshi"/>
          <w:b w:val="0"/>
          <w:i w:val="0"/>
          <w:color w:val="0B0E14"/>
          <w:sz w:val="20"/>
          <w:szCs w:val="20"/>
        </w:rPr>
        <w:t>5.  State the assumption the whole number depends on — usually price or adoption rate — and what the number becomes if you halve it.</w:t>
      </w:r>
    </w:p>
    <w:p>
      <w:pPr>
        <w:keepNext w:val="0"/>
        <w:spacing w:before="0" w:after="60" w:line="312" w:lineRule="auto"/>
        <w:ind w:left="283"/>
        <w:jc w:val="left"/>
      </w:pPr>
      <w:r>
        <w:rPr>
          <w:rFonts w:ascii="Satoshi" w:hAnsi="Satoshi" w:cs="Satoshi"/>
          <w:b w:val="0"/>
          <w:i w:val="0"/>
          <w:color w:val="0B0E14"/>
          <w:sz w:val="20"/>
          <w:szCs w:val="20"/>
        </w:rPr>
        <w:t>6.  Set SOM against a real constraint: your channel, your capacity, your funding. Not a percentage of SAM.</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Every number has a source and a date next to it.</w:t>
      </w:r>
    </w:p>
    <w:p>
      <w:pPr>
        <w:keepNext w:val="0"/>
        <w:spacing w:before="0" w:after="60" w:line="312" w:lineRule="auto"/>
        <w:ind w:left="283"/>
        <w:jc w:val="left"/>
      </w:pPr>
      <w:r>
        <w:rPr>
          <w:rFonts w:ascii="Satoshi" w:hAnsi="Satoshi" w:cs="Satoshi"/>
          <w:b w:val="0"/>
          <w:i w:val="0"/>
          <w:color w:val="0B0E14"/>
          <w:sz w:val="20"/>
          <w:szCs w:val="20"/>
        </w:rPr>
        <w:t>☐  The arithmetic is visible and a reader can redo it.</w:t>
      </w:r>
    </w:p>
    <w:p>
      <w:pPr>
        <w:keepNext w:val="0"/>
        <w:spacing w:before="0" w:after="60" w:line="312" w:lineRule="auto"/>
        <w:ind w:left="283"/>
        <w:jc w:val="left"/>
      </w:pPr>
      <w:r>
        <w:rPr>
          <w:rFonts w:ascii="Satoshi" w:hAnsi="Satoshi" w:cs="Satoshi"/>
          <w:b w:val="0"/>
          <w:i w:val="0"/>
          <w:color w:val="0B0E14"/>
          <w:sz w:val="20"/>
          <w:szCs w:val="20"/>
        </w:rPr>
        <w:t>☐  SOM is justified by a constraint, not by a percentage.</w:t>
      </w:r>
    </w:p>
    <w:p>
      <w:pPr>
        <w:keepNext w:val="0"/>
        <w:spacing w:before="0" w:after="60" w:line="312" w:lineRule="auto"/>
        <w:ind w:left="283"/>
        <w:jc w:val="left"/>
      </w:pPr>
      <w:r>
        <w:rPr>
          <w:rFonts w:ascii="Satoshi" w:hAnsi="Satoshi" w:cs="Satoshi"/>
          <w:b w:val="0"/>
          <w:i w:val="0"/>
          <w:color w:val="0B0E14"/>
          <w:sz w:val="20"/>
          <w:szCs w:val="20"/>
        </w:rPr>
        <w:t>☐  The breaking assumption is named, with the halved case shown.</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4857"/>
        <w:gridCol w:w="4857"/>
        <w:gridCol w:w="4857"/>
      </w:tblGrid>
      <w:tr>
        <w:trPr>
          <w:trHeight w:val="2494" w:hRule="atLeast"/>
        </w:trPr>
        <w:tc>
          <w:tcPr>
            <w:tcW w:type="dxa" w:w="4857"/>
            <w:gridSpan w:val="3"/>
            <w:tcMar>
              <w:top w:w="79" w:type="dxa"/>
              <w:start w:w="102" w:type="dxa"/>
              <w:bottom w:w="79" w:type="dxa"/>
              <w:end w:w="102" w:type="dxa"/>
            </w:tcMar>
          </w:tcPr>
          <w:p>
            <w:pPr>
              <w:spacing w:after="40"/>
            </w:pPr>
            <w:r>
              <w:rPr>
                <w:rFonts w:ascii="Satoshi" w:hAnsi="Satoshi" w:cs="Satoshi"/>
                <w:b/>
                <w:i w:val="0"/>
                <w:color w:val="0B0E14"/>
                <w:sz w:val="19"/>
                <w:szCs w:val="19"/>
              </w:rPr>
              <w:t>TAM — total addressable market</w:t>
            </w:r>
          </w:p>
          <w:p>
            <w:pPr>
              <w:spacing w:after="0" w:line="276" w:lineRule="auto"/>
            </w:pPr>
            <w:r>
              <w:rPr>
                <w:rFonts w:ascii="Satoshi" w:hAnsi="Satoshi" w:cs="Satoshi"/>
                <w:b w:val="0"/>
                <w:i/>
                <w:color w:val="5E6670"/>
                <w:sz w:val="15"/>
                <w:szCs w:val="15"/>
              </w:rPr>
              <w:t>Everyone who could buy this, anywhere, if you had no limits. Definition, number, and how you got it.</w:t>
            </w:r>
          </w:p>
        </w:tc>
      </w:tr>
      <w:tr>
        <w:trPr>
          <w:trHeight w:val="2494" w:hRule="atLeast"/>
        </w:trPr>
        <w:tc>
          <w:tcPr>
            <w:tcW w:type="dxa" w:w="4857"/>
            <w:gridSpan w:val="3"/>
            <w:tcMar>
              <w:top w:w="79" w:type="dxa"/>
              <w:start w:w="102" w:type="dxa"/>
              <w:bottom w:w="79" w:type="dxa"/>
              <w:end w:w="102" w:type="dxa"/>
            </w:tcMar>
          </w:tcPr>
          <w:p>
            <w:pPr>
              <w:spacing w:after="40"/>
            </w:pPr>
            <w:r>
              <w:rPr>
                <w:rFonts w:ascii="Satoshi" w:hAnsi="Satoshi" w:cs="Satoshi"/>
                <w:b/>
                <w:i w:val="0"/>
                <w:color w:val="0B0E14"/>
                <w:sz w:val="19"/>
                <w:szCs w:val="19"/>
              </w:rPr>
              <w:t>SAM — serviceable available market</w:t>
            </w:r>
          </w:p>
          <w:p>
            <w:pPr>
              <w:spacing w:after="0" w:line="276" w:lineRule="auto"/>
            </w:pPr>
            <w:r>
              <w:rPr>
                <w:rFonts w:ascii="Satoshi" w:hAnsi="Satoshi" w:cs="Satoshi"/>
                <w:b w:val="0"/>
                <w:i/>
                <w:color w:val="5E6670"/>
                <w:sz w:val="15"/>
                <w:szCs w:val="15"/>
              </w:rPr>
              <w:t>The part your model and geography can actually reach. What did you exclude, and why?</w:t>
            </w:r>
          </w:p>
        </w:tc>
      </w:tr>
      <w:tr>
        <w:trPr>
          <w:trHeight w:val="2494" w:hRule="atLeast"/>
        </w:trPr>
        <w:tc>
          <w:tcPr>
            <w:tcW w:type="dxa" w:w="4857"/>
            <w:gridSpan w:val="3"/>
            <w:tcMar>
              <w:top w:w="79" w:type="dxa"/>
              <w:start w:w="102" w:type="dxa"/>
              <w:bottom w:w="79" w:type="dxa"/>
              <w:end w:w="102" w:type="dxa"/>
            </w:tcMar>
          </w:tcPr>
          <w:p>
            <w:pPr>
              <w:spacing w:after="40"/>
            </w:pPr>
            <w:r>
              <w:rPr>
                <w:rFonts w:ascii="Satoshi" w:hAnsi="Satoshi" w:cs="Satoshi"/>
                <w:b/>
                <w:i w:val="0"/>
                <w:color w:val="0B0E14"/>
                <w:sz w:val="19"/>
                <w:szCs w:val="19"/>
              </w:rPr>
              <w:t>SOM — serviceable obtainable market</w:t>
            </w:r>
          </w:p>
          <w:p>
            <w:pPr>
              <w:spacing w:after="0" w:line="276" w:lineRule="auto"/>
            </w:pPr>
            <w:r>
              <w:rPr>
                <w:rFonts w:ascii="Satoshi" w:hAnsi="Satoshi" w:cs="Satoshi"/>
                <w:b w:val="0"/>
                <w:i/>
                <w:color w:val="5E6670"/>
                <w:sz w:val="15"/>
                <w:szCs w:val="15"/>
              </w:rPr>
              <w:t>What you can realistically win in three years, limited by channel, capacity or capital. Name the constraint.</w:t>
            </w:r>
          </w:p>
        </w:tc>
      </w:tr>
    </w:tbl>
    <w:p>
      <w:pPr>
        <w:keepNext/>
        <w:spacing w:before="280" w:after="40" w:line="312" w:lineRule="auto"/>
        <w:jc w:val="left"/>
      </w:pPr>
      <w:r>
        <w:rPr>
          <w:rFonts w:ascii="Satoshi" w:hAnsi="Satoshi" w:cs="Satoshi"/>
          <w:b/>
          <w:i w:val="0"/>
          <w:color w:val="3418E0"/>
          <w:sz w:val="24"/>
          <w:szCs w:val="24"/>
        </w:rPr>
        <w:t>BOTTOM-UP CALCULATION</w:t>
      </w:r>
    </w:p>
    <w:p>
      <w:pPr>
        <w:keepNext w:val="0"/>
        <w:spacing w:before="0" w:after="120" w:line="312" w:lineRule="auto"/>
        <w:jc w:val="left"/>
      </w:pPr>
      <w:r>
        <w:rPr>
          <w:rFonts w:ascii="Satoshi" w:hAnsi="Satoshi" w:cs="Satoshi"/>
          <w:b w:val="0"/>
          <w:i/>
          <w:color w:val="5E6670"/>
          <w:sz w:val="17"/>
          <w:szCs w:val="17"/>
        </w:rPr>
        <w:t>Customers x price x frequency. Every figure gets a source and a date.</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914"/>
        <w:gridCol w:w="2914"/>
        <w:gridCol w:w="2914"/>
        <w:gridCol w:w="2914"/>
        <w:gridCol w:w="2914"/>
      </w:tblGrid>
      <w:tr>
        <w:trPr>
          <w:trHeight w:val="510" w:hRule="atLeast"/>
        </w:trPr>
        <w:tc>
          <w:tcPr>
            <w:tcW w:type="dxa" w:w="4285"/>
            <w:shd w:val="clear" w:fill="CBF24A"/>
            <w:tcMar>
              <w:top w:w="56" w:type="dxa"/>
              <w:start w:w="102" w:type="dxa"/>
              <w:bottom w:w="56" w:type="dxa"/>
              <w:end w:w="102" w:type="dxa"/>
            </w:tcMar>
          </w:tcPr>
          <w:p>
            <w:pPr>
              <w:spacing w:after="0"/>
            </w:pPr>
            <w:r>
              <w:rPr>
                <w:rFonts w:ascii="Satoshi" w:hAnsi="Satoshi" w:cs="Satoshi"/>
                <w:b/>
                <w:i w:val="0"/>
                <w:color w:val="0B0E14"/>
                <w:sz w:val="16"/>
                <w:szCs w:val="16"/>
              </w:rPr>
              <w:t>Step</w:t>
            </w:r>
          </w:p>
        </w:tc>
        <w:tc>
          <w:tcPr>
            <w:tcW w:type="dxa" w:w="2143"/>
            <w:shd w:val="clear" w:fill="CBF24A"/>
            <w:tcMar>
              <w:top w:w="56" w:type="dxa"/>
              <w:start w:w="102" w:type="dxa"/>
              <w:bottom w:w="56" w:type="dxa"/>
              <w:end w:w="102" w:type="dxa"/>
            </w:tcMar>
          </w:tcPr>
          <w:p>
            <w:pPr>
              <w:spacing w:after="0"/>
            </w:pPr>
            <w:r>
              <w:rPr>
                <w:rFonts w:ascii="Satoshi" w:hAnsi="Satoshi" w:cs="Satoshi"/>
                <w:b/>
                <w:i w:val="0"/>
                <w:color w:val="0B0E14"/>
                <w:sz w:val="16"/>
                <w:szCs w:val="16"/>
              </w:rPr>
              <w:t>Figure</w:t>
            </w:r>
          </w:p>
        </w:tc>
        <w:tc>
          <w:tcPr>
            <w:tcW w:type="dxa" w:w="3857"/>
            <w:shd w:val="clear" w:fill="CBF24A"/>
            <w:tcMar>
              <w:top w:w="56" w:type="dxa"/>
              <w:start w:w="102" w:type="dxa"/>
              <w:bottom w:w="56" w:type="dxa"/>
              <w:end w:w="102" w:type="dxa"/>
            </w:tcMar>
          </w:tcPr>
          <w:p>
            <w:pPr>
              <w:spacing w:after="0"/>
            </w:pPr>
            <w:r>
              <w:rPr>
                <w:rFonts w:ascii="Satoshi" w:hAnsi="Satoshi" w:cs="Satoshi"/>
                <w:b/>
                <w:i w:val="0"/>
                <w:color w:val="0B0E14"/>
                <w:sz w:val="16"/>
                <w:szCs w:val="16"/>
              </w:rPr>
              <w:t>Where it came from</w:t>
            </w:r>
          </w:p>
        </w:tc>
        <w:tc>
          <w:tcPr>
            <w:tcW w:type="dxa" w:w="1857"/>
            <w:shd w:val="clear" w:fill="CBF24A"/>
            <w:tcMar>
              <w:top w:w="56" w:type="dxa"/>
              <w:start w:w="102" w:type="dxa"/>
              <w:bottom w:w="56" w:type="dxa"/>
              <w:end w:w="102" w:type="dxa"/>
            </w:tcMar>
          </w:tcPr>
          <w:p>
            <w:pPr>
              <w:spacing w:after="0"/>
            </w:pPr>
            <w:r>
              <w:rPr>
                <w:rFonts w:ascii="Satoshi" w:hAnsi="Satoshi" w:cs="Satoshi"/>
                <w:b/>
                <w:i w:val="0"/>
                <w:color w:val="0B0E14"/>
                <w:sz w:val="16"/>
                <w:szCs w:val="16"/>
              </w:rPr>
              <w:t>Date of source</w:t>
            </w:r>
          </w:p>
        </w:tc>
        <w:tc>
          <w:tcPr>
            <w:tcW w:type="dxa" w:w="2428"/>
            <w:shd w:val="clear" w:fill="CBF24A"/>
            <w:tcMar>
              <w:top w:w="56" w:type="dxa"/>
              <w:start w:w="102" w:type="dxa"/>
              <w:bottom w:w="56" w:type="dxa"/>
              <w:end w:w="102" w:type="dxa"/>
            </w:tcMar>
          </w:tcPr>
          <w:p>
            <w:pPr>
              <w:spacing w:after="0"/>
            </w:pPr>
            <w:r>
              <w:rPr>
                <w:rFonts w:ascii="Satoshi" w:hAnsi="Satoshi" w:cs="Satoshi"/>
                <w:b/>
                <w:i w:val="0"/>
                <w:color w:val="0B0E14"/>
                <w:sz w:val="16"/>
                <w:szCs w:val="16"/>
              </w:rPr>
              <w:t>Running total</w:t>
            </w:r>
          </w:p>
        </w:tc>
      </w:tr>
      <w:tr>
        <w:trPr>
          <w:trHeight w:val="595" w:hRule="atLeast"/>
        </w:trPr>
        <w:tc>
          <w:tcPr>
            <w:tcW w:type="dxa" w:w="4285"/>
            <w:tcMar>
              <w:top w:w="56" w:type="dxa"/>
              <w:start w:w="102" w:type="dxa"/>
              <w:bottom w:w="56" w:type="dxa"/>
              <w:end w:w="102" w:type="dxa"/>
            </w:tcMar>
          </w:tcPr>
          <w:p>
            <w:pPr>
              <w:spacing w:after="0"/>
            </w:pPr>
            <w:r>
              <w:rPr>
                <w:rFonts w:ascii="Satoshi" w:hAnsi="Satoshi" w:cs="Satoshi"/>
                <w:b w:val="0"/>
                <w:i w:val="0"/>
                <w:color w:val="0B0E14"/>
                <w:sz w:val="17"/>
                <w:szCs w:val="17"/>
              </w:rPr>
              <w:t>Population or universe of the segment</w:t>
            </w:r>
          </w:p>
        </w:tc>
        <w:tc>
          <w:tcPr>
            <w:tcW w:type="dxa" w:w="2143"/>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2428"/>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4285"/>
            <w:tcMar>
              <w:top w:w="56" w:type="dxa"/>
              <w:start w:w="102" w:type="dxa"/>
              <w:bottom w:w="56" w:type="dxa"/>
              <w:end w:w="102" w:type="dxa"/>
            </w:tcMar>
          </w:tcPr>
          <w:p>
            <w:pPr>
              <w:spacing w:after="0"/>
            </w:pPr>
            <w:r>
              <w:rPr>
                <w:rFonts w:ascii="Satoshi" w:hAnsi="Satoshi" w:cs="Satoshi"/>
                <w:b w:val="0"/>
                <w:i w:val="0"/>
                <w:color w:val="0B0E14"/>
                <w:sz w:val="17"/>
                <w:szCs w:val="17"/>
              </w:rPr>
              <w:t>% that fit the definition</w:t>
            </w:r>
          </w:p>
        </w:tc>
        <w:tc>
          <w:tcPr>
            <w:tcW w:type="dxa" w:w="2143"/>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2428"/>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4285"/>
            <w:tcMar>
              <w:top w:w="56" w:type="dxa"/>
              <w:start w:w="102" w:type="dxa"/>
              <w:bottom w:w="56" w:type="dxa"/>
              <w:end w:w="102" w:type="dxa"/>
            </w:tcMar>
          </w:tcPr>
          <w:p>
            <w:pPr>
              <w:spacing w:after="0"/>
            </w:pPr>
            <w:r>
              <w:rPr>
                <w:rFonts w:ascii="Satoshi" w:hAnsi="Satoshi" w:cs="Satoshi"/>
                <w:b w:val="0"/>
                <w:i w:val="0"/>
                <w:color w:val="0B0E14"/>
                <w:sz w:val="17"/>
                <w:szCs w:val="17"/>
              </w:rPr>
              <w:t>= Potential customers</w:t>
            </w:r>
          </w:p>
        </w:tc>
        <w:tc>
          <w:tcPr>
            <w:tcW w:type="dxa" w:w="2143"/>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2428"/>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4285"/>
            <w:tcMar>
              <w:top w:w="56" w:type="dxa"/>
              <w:start w:w="102" w:type="dxa"/>
              <w:bottom w:w="56" w:type="dxa"/>
              <w:end w:w="102" w:type="dxa"/>
            </w:tcMar>
          </w:tcPr>
          <w:p>
            <w:pPr>
              <w:spacing w:after="0"/>
            </w:pPr>
            <w:r>
              <w:rPr>
                <w:rFonts w:ascii="Satoshi" w:hAnsi="Satoshi" w:cs="Satoshi"/>
                <w:b w:val="0"/>
                <w:i w:val="0"/>
                <w:color w:val="0B0E14"/>
                <w:sz w:val="17"/>
                <w:szCs w:val="17"/>
              </w:rPr>
              <w:t>Price per purchase (EGP)</w:t>
            </w:r>
          </w:p>
        </w:tc>
        <w:tc>
          <w:tcPr>
            <w:tcW w:type="dxa" w:w="2143"/>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2428"/>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4285"/>
            <w:tcMar>
              <w:top w:w="56" w:type="dxa"/>
              <w:start w:w="102" w:type="dxa"/>
              <w:bottom w:w="56" w:type="dxa"/>
              <w:end w:w="102" w:type="dxa"/>
            </w:tcMar>
          </w:tcPr>
          <w:p>
            <w:pPr>
              <w:spacing w:after="0"/>
            </w:pPr>
            <w:r>
              <w:rPr>
                <w:rFonts w:ascii="Satoshi" w:hAnsi="Satoshi" w:cs="Satoshi"/>
                <w:b w:val="0"/>
                <w:i w:val="0"/>
                <w:color w:val="0B0E14"/>
                <w:sz w:val="17"/>
                <w:szCs w:val="17"/>
              </w:rPr>
              <w:t>Purchases per customer per year</w:t>
            </w:r>
          </w:p>
        </w:tc>
        <w:tc>
          <w:tcPr>
            <w:tcW w:type="dxa" w:w="2143"/>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2428"/>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4285"/>
            <w:tcMar>
              <w:top w:w="56" w:type="dxa"/>
              <w:start w:w="102" w:type="dxa"/>
              <w:bottom w:w="56" w:type="dxa"/>
              <w:end w:w="102" w:type="dxa"/>
            </w:tcMar>
          </w:tcPr>
          <w:p>
            <w:pPr>
              <w:spacing w:after="0"/>
            </w:pPr>
            <w:r>
              <w:rPr>
                <w:rFonts w:ascii="Satoshi" w:hAnsi="Satoshi" w:cs="Satoshi"/>
                <w:b w:val="0"/>
                <w:i w:val="0"/>
                <w:color w:val="0B0E14"/>
                <w:sz w:val="17"/>
                <w:szCs w:val="17"/>
              </w:rPr>
              <w:t>= Annual market value (EGP)</w:t>
            </w:r>
          </w:p>
        </w:tc>
        <w:tc>
          <w:tcPr>
            <w:tcW w:type="dxa" w:w="2143"/>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2428"/>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4285"/>
            <w:tcMar>
              <w:top w:w="56" w:type="dxa"/>
              <w:start w:w="102" w:type="dxa"/>
              <w:bottom w:w="56" w:type="dxa"/>
              <w:end w:w="102" w:type="dxa"/>
            </w:tcMar>
          </w:tcPr>
          <w:p>
            <w:pPr>
              <w:spacing w:after="0"/>
            </w:pPr>
            <w:r>
              <w:rPr>
                <w:rFonts w:ascii="Satoshi" w:hAnsi="Satoshi" w:cs="Satoshi"/>
                <w:b w:val="0"/>
                <w:i w:val="0"/>
                <w:color w:val="0B0E14"/>
                <w:sz w:val="17"/>
                <w:szCs w:val="17"/>
              </w:rPr>
              <w:t>Top-down sanity check — same figure, different route</w:t>
            </w:r>
          </w:p>
        </w:tc>
        <w:tc>
          <w:tcPr>
            <w:tcW w:type="dxa" w:w="2143"/>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57"/>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2428"/>
            <w:tcMar>
              <w:top w:w="56" w:type="dxa"/>
              <w:start w:w="102" w:type="dxa"/>
              <w:bottom w:w="56" w:type="dxa"/>
              <w:end w:w="102" w:type="dxa"/>
            </w:tcMar>
          </w:tcPr>
          <w:p>
            <w:pPr>
              <w:spacing w:after="0"/>
            </w:pPr>
            <w:r>
              <w:rPr>
                <w:rFonts w:ascii="Satoshi" w:hAnsi="Satoshi" w:cs="Satoshi"/>
                <w:b w:val="0"/>
                <w:i w:val="0"/>
                <w:color w:val="0B0E14"/>
                <w:sz w:val="17"/>
                <w:szCs w:val="17"/>
              </w:rPr>
            </w:r>
          </w:p>
        </w:tc>
      </w:tr>
    </w:tbl>
    <w:p>
      <w:pPr>
        <w:keepNext/>
        <w:spacing w:before="320" w:after="80" w:line="312" w:lineRule="auto"/>
        <w:jc w:val="left"/>
      </w:pPr>
      <w:r>
        <w:rPr>
          <w:rFonts w:ascii="Satoshi" w:hAnsi="Satoshi" w:cs="Satoshi"/>
          <w:b/>
          <w:i w:val="0"/>
          <w:color w:val="3418E0"/>
          <w:sz w:val="24"/>
          <w:szCs w:val="24"/>
        </w:rPr>
        <w:t>WHAT BREAKS THE NUMBER</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7285"/>
        <w:gridCol w:w="7285"/>
      </w:tblGrid>
      <w:tr>
        <w:trPr>
          <w:trHeight w:val="2494" w:hRule="atLeast"/>
        </w:trPr>
        <w:tc>
          <w:tcPr>
            <w:tcW w:type="dxa" w:w="7285"/>
            <w:tcMar>
              <w:top w:w="79" w:type="dxa"/>
              <w:start w:w="102" w:type="dxa"/>
              <w:bottom w:w="79" w:type="dxa"/>
              <w:end w:w="102" w:type="dxa"/>
            </w:tcMar>
          </w:tcPr>
          <w:p>
            <w:pPr>
              <w:spacing w:after="40"/>
            </w:pPr>
            <w:r>
              <w:rPr>
                <w:rFonts w:ascii="Satoshi" w:hAnsi="Satoshi" w:cs="Satoshi"/>
                <w:b/>
                <w:i w:val="0"/>
                <w:color w:val="0B0E14"/>
                <w:sz w:val="19"/>
                <w:szCs w:val="19"/>
              </w:rPr>
              <w:t>The assumption everything rests on</w:t>
            </w:r>
          </w:p>
          <w:p>
            <w:pPr>
              <w:spacing w:after="0" w:line="276" w:lineRule="auto"/>
            </w:pPr>
            <w:r>
              <w:rPr>
                <w:rFonts w:ascii="Satoshi" w:hAnsi="Satoshi" w:cs="Satoshi"/>
                <w:b w:val="0"/>
                <w:i/>
                <w:color w:val="5E6670"/>
                <w:sz w:val="15"/>
                <w:szCs w:val="15"/>
              </w:rPr>
              <w:t>Which single figure, if wrong, changes the answer most? Usually price or adoption.</w:t>
            </w:r>
          </w:p>
        </w:tc>
        <w:tc>
          <w:tcPr>
            <w:tcW w:type="dxa" w:w="7285"/>
            <w:tcMar>
              <w:top w:w="79" w:type="dxa"/>
              <w:start w:w="102" w:type="dxa"/>
              <w:bottom w:w="79" w:type="dxa"/>
              <w:end w:w="102" w:type="dxa"/>
            </w:tcMar>
          </w:tcPr>
          <w:p>
            <w:pPr>
              <w:spacing w:after="40"/>
            </w:pPr>
            <w:r>
              <w:rPr>
                <w:rFonts w:ascii="Satoshi" w:hAnsi="Satoshi" w:cs="Satoshi"/>
                <w:b/>
                <w:i w:val="0"/>
                <w:color w:val="0B0E14"/>
                <w:sz w:val="19"/>
                <w:szCs w:val="19"/>
              </w:rPr>
              <w:t>Halve it — what happens?</w:t>
            </w:r>
          </w:p>
          <w:p>
            <w:pPr>
              <w:spacing w:after="0" w:line="276" w:lineRule="auto"/>
            </w:pPr>
            <w:r>
              <w:rPr>
                <w:rFonts w:ascii="Satoshi" w:hAnsi="Satoshi" w:cs="Satoshi"/>
                <w:b w:val="0"/>
                <w:i/>
                <w:color w:val="5E6670"/>
                <w:sz w:val="15"/>
                <w:szCs w:val="15"/>
              </w:rPr>
              <w:t>Recalculate with that assumption cut in half. Is the business still worth doing?</w:t>
            </w:r>
          </w:p>
        </w:tc>
      </w:tr>
      <w:tr>
        <w:trPr>
          <w:trHeight w:val="1474" w:hRule="atLeast"/>
        </w:trPr>
        <w:tc>
          <w:tcPr>
            <w:tcW w:type="dxa" w:w="7285"/>
            <w:gridSpan w:val="2"/>
            <w:tcMar>
              <w:top w:w="79" w:type="dxa"/>
              <w:start w:w="102" w:type="dxa"/>
              <w:bottom w:w="79" w:type="dxa"/>
              <w:end w:w="102" w:type="dxa"/>
            </w:tcMar>
          </w:tcPr>
          <w:p>
            <w:pPr>
              <w:spacing w:after="40"/>
            </w:pPr>
            <w:r>
              <w:rPr>
                <w:rFonts w:ascii="Satoshi" w:hAnsi="Satoshi" w:cs="Satoshi"/>
                <w:b/>
                <w:i w:val="0"/>
                <w:color w:val="0B0E14"/>
                <w:sz w:val="19"/>
                <w:szCs w:val="19"/>
              </w:rPr>
              <w:t>Currency and date</w:t>
            </w:r>
          </w:p>
          <w:p>
            <w:pPr>
              <w:spacing w:after="0" w:line="276" w:lineRule="auto"/>
            </w:pPr>
            <w:r>
              <w:rPr>
                <w:rFonts w:ascii="Satoshi" w:hAnsi="Satoshi" w:cs="Satoshi"/>
                <w:b w:val="0"/>
                <w:i/>
                <w:color w:val="5E6670"/>
                <w:sz w:val="15"/>
                <w:szCs w:val="15"/>
              </w:rPr>
              <w:t>EGP figures, the USD rate used, and the date. Market numbers age faster than founders expect.</w:t>
            </w:r>
          </w:p>
        </w:tc>
      </w:tr>
    </w:tbl>
    <w:p>
      <w:pPr>
        <w:sectPr>
          <w:footerReference w:type="default" r:id="rId11"/>
          <w:pgSz w:w="16838" w:h="11906" w:orient="landscape"/>
          <w:pgMar w:top="907" w:right="1134" w:bottom="850"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Market Sizing — TAM, SAM, SOM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Market Sizing — TAM, SAM, SOM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Market Sizing — TAM, SAM, SOM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Sizing — TAM, SAM, SOM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