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Lean Canvas</w:t>
            </w:r>
          </w:p>
          <w:p>
            <w:pPr>
              <w:spacing w:after="0" w:before="0" w:line="324" w:lineRule="auto"/>
            </w:pPr>
            <w:r>
              <w:rPr>
                <w:rFonts w:ascii="Satoshi" w:hAnsi="Satoshi" w:cs="Satoshi"/>
                <w:b w:val="0"/>
                <w:i w:val="0"/>
                <w:color w:val="FFFFFF"/>
                <w:sz w:val="25"/>
                <w:szCs w:val="25"/>
              </w:rPr>
              <w:t>A whole business model on one page, built around the risk that kills it</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One page you can hand to anyone, with the riskiest part named</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The Lean Canvas is a one-page business model for a company that does not exist yet. It replaces the business plan at the stage where a plan would be fiction. Where a traditional plan describes a future, this describes a set of guesses — and puts the most dangerous ones where you cannot avoid looking at them.</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Force a whole model into one page, so gaps become visible instead of hiding in paragraphs.</w:t>
      </w:r>
    </w:p>
    <w:p>
      <w:pPr>
        <w:keepNext w:val="0"/>
        <w:spacing w:before="0" w:after="60" w:line="312" w:lineRule="auto"/>
        <w:ind w:left="283"/>
        <w:jc w:val="left"/>
      </w:pPr>
      <w:r>
        <w:rPr>
          <w:rFonts w:ascii="Satoshi" w:hAnsi="Satoshi" w:cs="Satoshi"/>
          <w:b w:val="0"/>
          <w:i w:val="0"/>
          <w:color w:val="0B0E14"/>
          <w:sz w:val="20"/>
          <w:szCs w:val="20"/>
        </w:rPr>
        <w:t>—  Put Problem and Customer Segments first, because everything else is downstream of getting those two right.</w:t>
      </w:r>
    </w:p>
    <w:p>
      <w:pPr>
        <w:keepNext w:val="0"/>
        <w:spacing w:before="0" w:after="60" w:line="312" w:lineRule="auto"/>
        <w:ind w:left="283"/>
        <w:jc w:val="left"/>
      </w:pPr>
      <w:r>
        <w:rPr>
          <w:rFonts w:ascii="Satoshi" w:hAnsi="Satoshi" w:cs="Satoshi"/>
          <w:b w:val="0"/>
          <w:i w:val="0"/>
          <w:color w:val="0B0E14"/>
          <w:sz w:val="20"/>
          <w:szCs w:val="20"/>
        </w:rPr>
        <w:t>—  Surface the assumption that would sink the business, so you test that one first rather than the one that is easiest to test.</w:t>
      </w:r>
    </w:p>
    <w:p>
      <w:pPr>
        <w:keepNext w:val="0"/>
        <w:spacing w:before="0" w:after="60" w:line="312" w:lineRule="auto"/>
        <w:ind w:left="283"/>
        <w:jc w:val="left"/>
      </w:pPr>
      <w:r>
        <w:rPr>
          <w:rFonts w:ascii="Satoshi" w:hAnsi="Satoshi" w:cs="Satoshi"/>
          <w:b w:val="0"/>
          <w:i w:val="0"/>
          <w:color w:val="0B0E14"/>
          <w:sz w:val="20"/>
          <w:szCs w:val="20"/>
        </w:rPr>
        <w:t>—  Give you a single artefact an investor, a mentor or a programme reviewer can read in two minutes.</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5, 6 and 8 — idea selection, idea description, and the business model. Revisit it after Mission 12.</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Maurya, A. (2012). Running Lean: Iterate from Plan A to a Plan That Works. 2nd ed. O'Reilly.</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Adapted by Ash Maurya from the Business Model Canvas (Osterwalder &amp; Pigneur, 2010), replacing four blocks — Key Partners, Key Activities, Key Resources and Customer Relationships — with Problem, Solution, Key Metrics and Unfair Advantage, on the argument that a startup's risk sits in problem and solution, not in operations it does not have yet.</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Blank, S. (2013). Why the Lean Start-Up Changes Everything. Harvard Business Review, 91(5).</w:t>
      </w:r>
    </w:p>
    <w:p>
      <w:pPr>
        <w:keepNext w:val="0"/>
        <w:spacing w:before="0" w:after="40" w:line="312" w:lineRule="auto"/>
        <w:ind w:left="283"/>
        <w:jc w:val="left"/>
      </w:pPr>
      <w:r>
        <w:rPr>
          <w:rFonts w:ascii="Satoshi" w:hAnsi="Satoshi" w:cs="Satoshi"/>
          <w:b w:val="0"/>
          <w:i w:val="0"/>
          <w:color w:val="0B0E14"/>
          <w:sz w:val="19"/>
          <w:szCs w:val="19"/>
        </w:rPr>
        <w:t>—  Ries, E. (2011). The Lean Startup. Crown Business.</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Fill Customer Segments and Problem first, together. A problem with no named person attached is not a problem yet.</w:t>
      </w:r>
    </w:p>
    <w:p>
      <w:pPr>
        <w:keepNext w:val="0"/>
        <w:spacing w:before="0" w:after="60" w:line="312" w:lineRule="auto"/>
        <w:ind w:left="283"/>
        <w:jc w:val="left"/>
      </w:pPr>
      <w:r>
        <w:rPr>
          <w:rFonts w:ascii="Satoshi" w:hAnsi="Satoshi" w:cs="Satoshi"/>
          <w:b w:val="0"/>
          <w:i w:val="0"/>
          <w:color w:val="0B0E14"/>
          <w:sz w:val="20"/>
          <w:szCs w:val="20"/>
        </w:rPr>
        <w:t>2.  Write Existing Alternatives inside the Problem box — what they do today, including doing nothing. This is your real competitor.</w:t>
      </w:r>
    </w:p>
    <w:p>
      <w:pPr>
        <w:keepNext w:val="0"/>
        <w:spacing w:before="0" w:after="60" w:line="312" w:lineRule="auto"/>
        <w:ind w:left="283"/>
        <w:jc w:val="left"/>
      </w:pPr>
      <w:r>
        <w:rPr>
          <w:rFonts w:ascii="Satoshi" w:hAnsi="Satoshi" w:cs="Satoshi"/>
          <w:b w:val="0"/>
          <w:i w:val="0"/>
          <w:color w:val="0B0E14"/>
          <w:sz w:val="20"/>
          <w:szCs w:val="20"/>
        </w:rPr>
        <w:t>3.  Leave Solution until last among the top boxes. It is the block founders are most attached to and least sure about.</w:t>
      </w:r>
    </w:p>
    <w:p>
      <w:pPr>
        <w:keepNext w:val="0"/>
        <w:spacing w:before="0" w:after="60" w:line="312" w:lineRule="auto"/>
        <w:ind w:left="283"/>
        <w:jc w:val="left"/>
      </w:pPr>
      <w:r>
        <w:rPr>
          <w:rFonts w:ascii="Satoshi" w:hAnsi="Satoshi" w:cs="Satoshi"/>
          <w:b w:val="0"/>
          <w:i w:val="0"/>
          <w:color w:val="0B0E14"/>
          <w:sz w:val="20"/>
          <w:szCs w:val="20"/>
        </w:rPr>
        <w:t>4.  Write the Unique Value Proposition as one sentence a customer would repeat to a friend, not a slogan.</w:t>
      </w:r>
    </w:p>
    <w:p>
      <w:pPr>
        <w:keepNext w:val="0"/>
        <w:spacing w:before="0" w:after="60" w:line="312" w:lineRule="auto"/>
        <w:ind w:left="283"/>
        <w:jc w:val="left"/>
      </w:pPr>
      <w:r>
        <w:rPr>
          <w:rFonts w:ascii="Satoshi" w:hAnsi="Satoshi" w:cs="Satoshi"/>
          <w:b w:val="0"/>
          <w:i w:val="0"/>
          <w:color w:val="0B0E14"/>
          <w:sz w:val="20"/>
          <w:szCs w:val="20"/>
        </w:rPr>
        <w:t>5.  Circle the single box you are least sure about. That is your next experiment, and it belongs in Mission 7.</w:t>
      </w:r>
    </w:p>
    <w:p>
      <w:pPr>
        <w:keepNext w:val="0"/>
        <w:spacing w:before="0" w:after="60" w:line="312" w:lineRule="auto"/>
        <w:ind w:left="283"/>
        <w:jc w:val="left"/>
      </w:pPr>
      <w:r>
        <w:rPr>
          <w:rFonts w:ascii="Satoshi" w:hAnsi="Satoshi" w:cs="Satoshi"/>
          <w:b w:val="0"/>
          <w:i w:val="0"/>
          <w:color w:val="0B0E14"/>
          <w:sz w:val="20"/>
          <w:szCs w:val="20"/>
        </w:rPr>
        <w:t>6.  Date the canvas. Fill a fresh one after each round of interviews rather than editing this one — the difference between versions is your learning.</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Every box is filled, and at least one says 'we do not know yet' out loud.</w:t>
      </w:r>
    </w:p>
    <w:p>
      <w:pPr>
        <w:keepNext w:val="0"/>
        <w:spacing w:before="0" w:after="60" w:line="312" w:lineRule="auto"/>
        <w:ind w:left="283"/>
        <w:jc w:val="left"/>
      </w:pPr>
      <w:r>
        <w:rPr>
          <w:rFonts w:ascii="Satoshi" w:hAnsi="Satoshi" w:cs="Satoshi"/>
          <w:b w:val="0"/>
          <w:i w:val="0"/>
          <w:color w:val="0B0E14"/>
          <w:sz w:val="20"/>
          <w:szCs w:val="20"/>
        </w:rPr>
        <w:t>☐  The Problem box names what people do today instead of your product.</w:t>
      </w:r>
    </w:p>
    <w:p>
      <w:pPr>
        <w:keepNext w:val="0"/>
        <w:spacing w:before="0" w:after="60" w:line="312" w:lineRule="auto"/>
        <w:ind w:left="283"/>
        <w:jc w:val="left"/>
      </w:pPr>
      <w:r>
        <w:rPr>
          <w:rFonts w:ascii="Satoshi" w:hAnsi="Satoshi" w:cs="Satoshi"/>
          <w:b w:val="0"/>
          <w:i w:val="0"/>
          <w:color w:val="0B0E14"/>
          <w:sz w:val="20"/>
          <w:szCs w:val="20"/>
        </w:rPr>
        <w:t>☐  Customer Segments names a specific group, not 'young people in Egypt'.</w:t>
      </w:r>
    </w:p>
    <w:p>
      <w:pPr>
        <w:keepNext w:val="0"/>
        <w:spacing w:before="0" w:after="60" w:line="312" w:lineRule="auto"/>
        <w:ind w:left="283"/>
        <w:jc w:val="left"/>
      </w:pPr>
      <w:r>
        <w:rPr>
          <w:rFonts w:ascii="Satoshi" w:hAnsi="Satoshi" w:cs="Satoshi"/>
          <w:b w:val="0"/>
          <w:i w:val="0"/>
          <w:color w:val="0B0E14"/>
          <w:sz w:val="20"/>
          <w:szCs w:val="20"/>
        </w:rPr>
        <w:t>☐  You can point at the riskiest box without hesitating.</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1457"/>
        <w:gridCol w:w="1457"/>
        <w:gridCol w:w="1457"/>
        <w:gridCol w:w="1457"/>
        <w:gridCol w:w="1457"/>
        <w:gridCol w:w="1457"/>
        <w:gridCol w:w="1457"/>
        <w:gridCol w:w="1457"/>
        <w:gridCol w:w="1457"/>
        <w:gridCol w:w="1457"/>
      </w:tblGrid>
      <w:tr>
        <w:trPr>
          <w:trHeight w:val="1984" w:hRule="atLeast"/>
        </w:trPr>
        <w:tc>
          <w:tcPr>
            <w:tcW w:type="dxa" w:w="1457"/>
            <w:gridSpan w:val="2"/>
            <w:vMerge w:val="restart"/>
            <w:tcMar>
              <w:top w:w="79" w:type="dxa"/>
              <w:start w:w="102" w:type="dxa"/>
              <w:bottom w:w="79" w:type="dxa"/>
              <w:end w:w="102" w:type="dxa"/>
            </w:tcMar>
          </w:tcPr>
          <w:p>
            <w:pPr>
              <w:spacing w:after="40"/>
            </w:pPr>
            <w:r>
              <w:rPr>
                <w:rFonts w:ascii="Satoshi" w:hAnsi="Satoshi" w:cs="Satoshi"/>
                <w:b/>
                <w:i w:val="0"/>
                <w:color w:val="0B0E14"/>
                <w:sz w:val="19"/>
                <w:szCs w:val="19"/>
              </w:rPr>
              <w:t>Problem</w:t>
            </w:r>
          </w:p>
          <w:p>
            <w:pPr>
              <w:spacing w:after="0" w:line="276" w:lineRule="auto"/>
            </w:pPr>
            <w:r>
              <w:rPr>
                <w:rFonts w:ascii="Satoshi" w:hAnsi="Satoshi" w:cs="Satoshi"/>
                <w:b w:val="0"/>
                <w:i/>
                <w:color w:val="5E6670"/>
                <w:sz w:val="15"/>
                <w:szCs w:val="15"/>
              </w:rPr>
              <w:t>The top three problems your customer has. Under each, write the existing alternative — what they do about it today, including nothing.</w:t>
            </w: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Solution</w:t>
            </w:r>
          </w:p>
          <w:p>
            <w:pPr>
              <w:spacing w:after="0" w:line="276" w:lineRule="auto"/>
            </w:pPr>
            <w:r>
              <w:rPr>
                <w:rFonts w:ascii="Satoshi" w:hAnsi="Satoshi" w:cs="Satoshi"/>
                <w:b w:val="0"/>
                <w:i/>
                <w:color w:val="5E6670"/>
                <w:sz w:val="15"/>
                <w:szCs w:val="15"/>
              </w:rPr>
              <w:t>The top three features. One line each. No more.</w:t>
            </w:r>
          </w:p>
        </w:tc>
        <w:tc>
          <w:tcPr>
            <w:tcW w:type="dxa" w:w="1457"/>
            <w:gridSpan w:val="2"/>
            <w:vMerge w:val="restart"/>
            <w:tcMar>
              <w:top w:w="79" w:type="dxa"/>
              <w:start w:w="102" w:type="dxa"/>
              <w:bottom w:w="79" w:type="dxa"/>
              <w:end w:w="102" w:type="dxa"/>
            </w:tcMar>
          </w:tcPr>
          <w:p>
            <w:pPr>
              <w:spacing w:after="40"/>
            </w:pPr>
            <w:r>
              <w:rPr>
                <w:rFonts w:ascii="Satoshi" w:hAnsi="Satoshi" w:cs="Satoshi"/>
                <w:b/>
                <w:i w:val="0"/>
                <w:color w:val="0B0E14"/>
                <w:sz w:val="19"/>
                <w:szCs w:val="19"/>
              </w:rPr>
              <w:t>Unique Value Proposition</w:t>
            </w:r>
          </w:p>
          <w:p>
            <w:pPr>
              <w:spacing w:after="0" w:line="276" w:lineRule="auto"/>
            </w:pPr>
            <w:r>
              <w:rPr>
                <w:rFonts w:ascii="Satoshi" w:hAnsi="Satoshi" w:cs="Satoshi"/>
                <w:b w:val="0"/>
                <w:i/>
                <w:color w:val="5E6670"/>
                <w:sz w:val="15"/>
                <w:szCs w:val="15"/>
              </w:rPr>
              <w:t>One clear, compelling sentence that says why you are different and worth attention. Underneath: the high-level concept — 'the X for Y'.</w:t>
            </w: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Unfair Advantage</w:t>
            </w:r>
          </w:p>
          <w:p>
            <w:pPr>
              <w:spacing w:after="0" w:line="276" w:lineRule="auto"/>
            </w:pPr>
            <w:r>
              <w:rPr>
                <w:rFonts w:ascii="Satoshi" w:hAnsi="Satoshi" w:cs="Satoshi"/>
                <w:b w:val="0"/>
                <w:i/>
                <w:color w:val="5E6670"/>
                <w:sz w:val="15"/>
                <w:szCs w:val="15"/>
              </w:rPr>
              <w:t>Something that cannot be easily copied or bought. If you have none yet, write 'none yet' — that is an honest answer at this stage.</w:t>
            </w:r>
          </w:p>
        </w:tc>
        <w:tc>
          <w:tcPr>
            <w:tcW w:type="dxa" w:w="1457"/>
            <w:gridSpan w:val="2"/>
            <w:vMerge w:val="restart"/>
            <w:tcMar>
              <w:top w:w="79" w:type="dxa"/>
              <w:start w:w="102" w:type="dxa"/>
              <w:bottom w:w="79" w:type="dxa"/>
              <w:end w:w="102" w:type="dxa"/>
            </w:tcMar>
          </w:tcPr>
          <w:p>
            <w:pPr>
              <w:spacing w:after="40"/>
            </w:pPr>
            <w:r>
              <w:rPr>
                <w:rFonts w:ascii="Satoshi" w:hAnsi="Satoshi" w:cs="Satoshi"/>
                <w:b/>
                <w:i w:val="0"/>
                <w:color w:val="0B0E14"/>
                <w:sz w:val="19"/>
                <w:szCs w:val="19"/>
              </w:rPr>
              <w:t>Customer Segments</w:t>
            </w:r>
          </w:p>
          <w:p>
            <w:pPr>
              <w:spacing w:after="0" w:line="276" w:lineRule="auto"/>
            </w:pPr>
            <w:r>
              <w:rPr>
                <w:rFonts w:ascii="Satoshi" w:hAnsi="Satoshi" w:cs="Satoshi"/>
                <w:b w:val="0"/>
                <w:i/>
                <w:color w:val="5E6670"/>
                <w:sz w:val="15"/>
                <w:szCs w:val="15"/>
              </w:rPr>
              <w:t>Who exactly. Name the segment and, separately, your early adopters — the sharpest version of that person.</w:t>
            </w:r>
          </w:p>
        </w:tc>
      </w:tr>
      <w:tr>
        <w:trPr>
          <w:trHeight w:val="1984" w:hRule="atLeast"/>
        </w:trPr>
        <w:tc>
          <w:tcPr>
            <w:tcW w:type="dxa" w:w="2914"/>
            <w:gridSpan w:val="2"/>
            <w:vMerge/>
          </w:tcP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Key Metrics</w:t>
            </w:r>
          </w:p>
          <w:p>
            <w:pPr>
              <w:spacing w:after="0" w:line="276" w:lineRule="auto"/>
            </w:pPr>
            <w:r>
              <w:rPr>
                <w:rFonts w:ascii="Satoshi" w:hAnsi="Satoshi" w:cs="Satoshi"/>
                <w:b w:val="0"/>
                <w:i/>
                <w:color w:val="5E6670"/>
                <w:sz w:val="15"/>
                <w:szCs w:val="15"/>
              </w:rPr>
              <w:t>The single number that tells you whether this is working. Not signups.</w:t>
            </w:r>
          </w:p>
        </w:tc>
        <w:tc>
          <w:tcPr>
            <w:tcW w:type="dxa" w:w="2914"/>
            <w:gridSpan w:val="2"/>
            <w:vMerge/>
          </w:tcP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Channels</w:t>
            </w:r>
          </w:p>
          <w:p>
            <w:pPr>
              <w:spacing w:after="0" w:line="276" w:lineRule="auto"/>
            </w:pPr>
            <w:r>
              <w:rPr>
                <w:rFonts w:ascii="Satoshi" w:hAnsi="Satoshi" w:cs="Satoshi"/>
                <w:b w:val="0"/>
                <w:i/>
                <w:color w:val="5E6670"/>
                <w:sz w:val="15"/>
                <w:szCs w:val="15"/>
              </w:rPr>
              <w:t>Your path to customers. Free and paid. Which one will you test first?</w:t>
            </w:r>
          </w:p>
        </w:tc>
        <w:tc>
          <w:tcPr>
            <w:tcW w:type="dxa" w:w="2914"/>
            <w:gridSpan w:val="2"/>
            <w:vMerge/>
          </w:tcPr>
          <w:p/>
        </w:tc>
      </w:tr>
      <w:tr>
        <w:trPr>
          <w:trHeight w:val="2268" w:hRule="atLeast"/>
        </w:trPr>
        <w:tc>
          <w:tcPr>
            <w:tcW w:type="dxa" w:w="1457"/>
            <w:gridSpan w:val="5"/>
            <w:tcMar>
              <w:top w:w="79" w:type="dxa"/>
              <w:start w:w="102" w:type="dxa"/>
              <w:bottom w:w="79" w:type="dxa"/>
              <w:end w:w="102" w:type="dxa"/>
            </w:tcMar>
          </w:tcPr>
          <w:p>
            <w:pPr>
              <w:spacing w:after="40"/>
            </w:pPr>
            <w:r>
              <w:rPr>
                <w:rFonts w:ascii="Satoshi" w:hAnsi="Satoshi" w:cs="Satoshi"/>
                <w:b/>
                <w:i w:val="0"/>
                <w:color w:val="0B0E14"/>
                <w:sz w:val="19"/>
                <w:szCs w:val="19"/>
              </w:rPr>
              <w:t>Cost Structure</w:t>
            </w:r>
          </w:p>
          <w:p>
            <w:pPr>
              <w:spacing w:after="0" w:line="276" w:lineRule="auto"/>
            </w:pPr>
            <w:r>
              <w:rPr>
                <w:rFonts w:ascii="Satoshi" w:hAnsi="Satoshi" w:cs="Satoshi"/>
                <w:b w:val="0"/>
                <w:i/>
                <w:color w:val="5E6670"/>
                <w:sz w:val="15"/>
                <w:szCs w:val="15"/>
              </w:rPr>
              <w:t>What it costs to run the next three months. Fixed and variable. Be specific in EGP.</w:t>
            </w:r>
          </w:p>
        </w:tc>
        <w:tc>
          <w:tcPr>
            <w:tcW w:type="dxa" w:w="1457"/>
            <w:gridSpan w:val="5"/>
            <w:tcMar>
              <w:top w:w="79" w:type="dxa"/>
              <w:start w:w="102" w:type="dxa"/>
              <w:bottom w:w="79" w:type="dxa"/>
              <w:end w:w="102" w:type="dxa"/>
            </w:tcMar>
          </w:tcPr>
          <w:p>
            <w:pPr>
              <w:spacing w:after="40"/>
            </w:pPr>
            <w:r>
              <w:rPr>
                <w:rFonts w:ascii="Satoshi" w:hAnsi="Satoshi" w:cs="Satoshi"/>
                <w:b/>
                <w:i w:val="0"/>
                <w:color w:val="0B0E14"/>
                <w:sz w:val="19"/>
                <w:szCs w:val="19"/>
              </w:rPr>
              <w:t>Revenue Streams</w:t>
            </w:r>
          </w:p>
          <w:p>
            <w:pPr>
              <w:spacing w:after="0" w:line="276" w:lineRule="auto"/>
            </w:pPr>
            <w:r>
              <w:rPr>
                <w:rFonts w:ascii="Satoshi" w:hAnsi="Satoshi" w:cs="Satoshi"/>
                <w:b w:val="0"/>
                <w:i/>
                <w:color w:val="5E6670"/>
                <w:sz w:val="15"/>
                <w:szCs w:val="15"/>
              </w:rPr>
              <w:t>Who pays, for what, how much, and how often. If nobody pays yet, write what you will charge and why.</w:t>
            </w: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Lean Canvas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Lean Canvas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Lean Canvas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