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SWOT &amp; TOWS Analysis</w:t>
            </w:r>
          </w:p>
          <w:p>
            <w:pPr>
              <w:spacing w:after="0" w:before="0" w:line="324" w:lineRule="auto"/>
            </w:pPr>
            <w:r>
              <w:rPr>
                <w:rFonts w:ascii="Satoshi" w:hAnsi="Satoshi" w:cs="Satoshi"/>
                <w:b w:val="0"/>
                <w:i w:val="0"/>
                <w:color w:val="FFFFFF"/>
                <w:sz w:val="25"/>
                <w:szCs w:val="25"/>
              </w:rPr>
              <w:t>Four lists are a warm-up; the pairings are the actual work</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A SWOT that ends in four strategies, not four lists</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SWOT sets your internal strengths and weaknesses against external opportunities and threats. On its own it produces four columns and no decision, which is why it has a poor reputation. This template includes the step that rescues it: the TOWS matrix, which pairs the quadrants into strategies — use this strength on that opportunity, defend this weakness against that threat.</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Separate what is inside your control from what is not, which founders routinely mix.</w:t>
      </w:r>
    </w:p>
    <w:p>
      <w:pPr>
        <w:keepNext w:val="0"/>
        <w:spacing w:before="0" w:after="60" w:line="312" w:lineRule="auto"/>
        <w:ind w:left="283"/>
        <w:jc w:val="left"/>
      </w:pPr>
      <w:r>
        <w:rPr>
          <w:rFonts w:ascii="Satoshi" w:hAnsi="Satoshi" w:cs="Satoshi"/>
          <w:b w:val="0"/>
          <w:i w:val="0"/>
          <w:color w:val="0B0E14"/>
          <w:sz w:val="20"/>
          <w:szCs w:val="20"/>
        </w:rPr>
        <w:t>—  Force each entry to be specific enough to act on.</w:t>
      </w:r>
    </w:p>
    <w:p>
      <w:pPr>
        <w:keepNext w:val="0"/>
        <w:spacing w:before="0" w:after="60" w:line="312" w:lineRule="auto"/>
        <w:ind w:left="283"/>
        <w:jc w:val="left"/>
      </w:pPr>
      <w:r>
        <w:rPr>
          <w:rFonts w:ascii="Satoshi" w:hAnsi="Satoshi" w:cs="Satoshi"/>
          <w:b w:val="0"/>
          <w:i w:val="0"/>
          <w:color w:val="0B0E14"/>
          <w:sz w:val="20"/>
          <w:szCs w:val="20"/>
        </w:rPr>
        <w:t>—  Convert the four lists into four strategy types through deliberate pairing.</w:t>
      </w:r>
    </w:p>
    <w:p>
      <w:pPr>
        <w:keepNext w:val="0"/>
        <w:spacing w:before="0" w:after="60" w:line="312" w:lineRule="auto"/>
        <w:ind w:left="283"/>
        <w:jc w:val="left"/>
      </w:pPr>
      <w:r>
        <w:rPr>
          <w:rFonts w:ascii="Satoshi" w:hAnsi="Satoshi" w:cs="Satoshi"/>
          <w:b w:val="0"/>
          <w:i w:val="0"/>
          <w:color w:val="0B0E14"/>
          <w:sz w:val="20"/>
          <w:szCs w:val="20"/>
        </w:rPr>
        <w:t>—  Give a mentor or a committee a structure they already know how to read.</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 5, and revisited before Mission 15.</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Weihrich, H. (1982). The TOWS Matrix: A Tool for Situational Analysis. Long Range Planning, 15(2), 54-66.</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SWOT is widely credited to Albert Humphrey at Stanford Research Institute in the 1960s, developing from an earlier SOFT framework. The frequent claim that it originated at Harvard with Learned, Christensen, Andrews and Guth (1965) is not supported: that book uses the four words but never presents SWOT as a tool, and Guth himself denied the attribution. Recent historical work in Long Range Planning and the Journal of Management History traces the line from SOFT to SWOT. Treat any confident single-origin story with suspicion.</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Puyt, R. W., Lie, F. B. &amp; Wilderom, C. P. M. (2023). The Origins of SWOT Analysis. Long Range Planning, 56(3).</w:t>
      </w:r>
    </w:p>
    <w:p>
      <w:pPr>
        <w:keepNext w:val="0"/>
        <w:spacing w:before="0" w:after="40" w:line="312" w:lineRule="auto"/>
        <w:ind w:left="283"/>
        <w:jc w:val="left"/>
      </w:pPr>
      <w:r>
        <w:rPr>
          <w:rFonts w:ascii="Satoshi" w:hAnsi="Satoshi" w:cs="Satoshi"/>
          <w:b w:val="0"/>
          <w:i w:val="0"/>
          <w:color w:val="0B0E14"/>
          <w:sz w:val="19"/>
          <w:szCs w:val="19"/>
        </w:rPr>
        <w:t>—  Learned, E., Christensen, C. R., Andrews, K. &amp; Guth, W. (1965). Business Policy: Text and Cases. Irwin. — the LCAG framework, often miscited as SWOT.</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Fix the subject first. SWOT of what — the company, one product, one market? An unfixed subject produces unusable lists.</w:t>
      </w:r>
    </w:p>
    <w:p>
      <w:pPr>
        <w:keepNext w:val="0"/>
        <w:spacing w:before="0" w:after="60" w:line="312" w:lineRule="auto"/>
        <w:ind w:left="283"/>
        <w:jc w:val="left"/>
      </w:pPr>
      <w:r>
        <w:rPr>
          <w:rFonts w:ascii="Satoshi" w:hAnsi="Satoshi" w:cs="Satoshi"/>
          <w:b w:val="0"/>
          <w:i w:val="0"/>
          <w:color w:val="0B0E14"/>
          <w:sz w:val="20"/>
          <w:szCs w:val="20"/>
        </w:rPr>
        <w:t>2.  Strengths and weaknesses are internal and present tense. If you cannot change it, it belongs on the right-hand side.</w:t>
      </w:r>
    </w:p>
    <w:p>
      <w:pPr>
        <w:keepNext w:val="0"/>
        <w:spacing w:before="0" w:after="60" w:line="312" w:lineRule="auto"/>
        <w:ind w:left="283"/>
        <w:jc w:val="left"/>
      </w:pPr>
      <w:r>
        <w:rPr>
          <w:rFonts w:ascii="Satoshi" w:hAnsi="Satoshi" w:cs="Satoshi"/>
          <w:b w:val="0"/>
          <w:i w:val="0"/>
          <w:color w:val="0B0E14"/>
          <w:sz w:val="20"/>
          <w:szCs w:val="20"/>
        </w:rPr>
        <w:t>3.  Opportunities and threats are external and future-facing. Name the source: a regulation, a competitor, a cost, a behaviour change.</w:t>
      </w:r>
    </w:p>
    <w:p>
      <w:pPr>
        <w:keepNext w:val="0"/>
        <w:spacing w:before="0" w:after="60" w:line="312" w:lineRule="auto"/>
        <w:ind w:left="283"/>
        <w:jc w:val="left"/>
      </w:pPr>
      <w:r>
        <w:rPr>
          <w:rFonts w:ascii="Satoshi" w:hAnsi="Satoshi" w:cs="Satoshi"/>
          <w:b w:val="0"/>
          <w:i w:val="0"/>
          <w:color w:val="0B0E14"/>
          <w:sz w:val="20"/>
          <w:szCs w:val="20"/>
        </w:rPr>
        <w:t>4.  Be specific. 'Good team' is not a strength; 'two engineers who have shipped a payments integration before' is.</w:t>
      </w:r>
    </w:p>
    <w:p>
      <w:pPr>
        <w:keepNext w:val="0"/>
        <w:spacing w:before="0" w:after="60" w:line="312" w:lineRule="auto"/>
        <w:ind w:left="283"/>
        <w:jc w:val="left"/>
      </w:pPr>
      <w:r>
        <w:rPr>
          <w:rFonts w:ascii="Satoshi" w:hAnsi="Satoshi" w:cs="Satoshi"/>
          <w:b w:val="0"/>
          <w:i w:val="0"/>
          <w:color w:val="0B0E14"/>
          <w:sz w:val="20"/>
          <w:szCs w:val="20"/>
        </w:rPr>
        <w:t>5.  Cap each quadrant at five entries, ranked. A list of twelve is a way of avoiding the ranking.</w:t>
      </w:r>
    </w:p>
    <w:p>
      <w:pPr>
        <w:keepNext w:val="0"/>
        <w:spacing w:before="0" w:after="60" w:line="312" w:lineRule="auto"/>
        <w:ind w:left="283"/>
        <w:jc w:val="left"/>
      </w:pPr>
      <w:r>
        <w:rPr>
          <w:rFonts w:ascii="Satoshi" w:hAnsi="Satoshi" w:cs="Satoshi"/>
          <w:b w:val="0"/>
          <w:i w:val="0"/>
          <w:color w:val="0B0E14"/>
          <w:sz w:val="20"/>
          <w:szCs w:val="20"/>
        </w:rPr>
        <w:t>6.  Do the TOWS pairings. This is the part that produces decisions, and the part most people skip.</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Nothing appears in two quadrants at once.</w:t>
      </w:r>
    </w:p>
    <w:p>
      <w:pPr>
        <w:keepNext w:val="0"/>
        <w:spacing w:before="0" w:after="60" w:line="312" w:lineRule="auto"/>
        <w:ind w:left="283"/>
        <w:jc w:val="left"/>
      </w:pPr>
      <w:r>
        <w:rPr>
          <w:rFonts w:ascii="Satoshi" w:hAnsi="Satoshi" w:cs="Satoshi"/>
          <w:b w:val="0"/>
          <w:i w:val="0"/>
          <w:color w:val="0B0E14"/>
          <w:sz w:val="20"/>
          <w:szCs w:val="20"/>
        </w:rPr>
        <w:t>☐  Every entry is specific enough that someone could disagree with it.</w:t>
      </w:r>
    </w:p>
    <w:p>
      <w:pPr>
        <w:keepNext w:val="0"/>
        <w:spacing w:before="0" w:after="60" w:line="312" w:lineRule="auto"/>
        <w:ind w:left="283"/>
        <w:jc w:val="left"/>
      </w:pPr>
      <w:r>
        <w:rPr>
          <w:rFonts w:ascii="Satoshi" w:hAnsi="Satoshi" w:cs="Satoshi"/>
          <w:b w:val="0"/>
          <w:i w:val="0"/>
          <w:color w:val="0B0E14"/>
          <w:sz w:val="20"/>
          <w:szCs w:val="20"/>
        </w:rPr>
        <w:t>☐  All four TOWS boxes contain a real action with an owner.</w:t>
      </w:r>
    </w:p>
    <w:p>
      <w:pPr>
        <w:keepNext w:val="0"/>
        <w:spacing w:before="0" w:after="60" w:line="312" w:lineRule="auto"/>
        <w:ind w:left="283"/>
        <w:jc w:val="left"/>
      </w:pPr>
      <w:r>
        <w:rPr>
          <w:rFonts w:ascii="Satoshi" w:hAnsi="Satoshi" w:cs="Satoshi"/>
          <w:b w:val="0"/>
          <w:i w:val="0"/>
          <w:color w:val="0B0E14"/>
          <w:sz w:val="20"/>
          <w:szCs w:val="20"/>
        </w:rPr>
        <w:t>☐  At least one pairing surprised you.</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4819"/>
        <w:gridCol w:w="4819"/>
      </w:tblGrid>
      <w:tr>
        <w:trPr>
          <w:trHeight w:val="1360" w:hRule="atLeast"/>
        </w:trPr>
        <w:tc>
          <w:tcPr>
            <w:tcW w:type="dxa" w:w="4819"/>
            <w:gridSpan w:val="2"/>
            <w:tcMar>
              <w:top w:w="79" w:type="dxa"/>
              <w:start w:w="102" w:type="dxa"/>
              <w:bottom w:w="79" w:type="dxa"/>
              <w:end w:w="102" w:type="dxa"/>
            </w:tcMar>
          </w:tcPr>
          <w:p>
            <w:pPr>
              <w:spacing w:after="40"/>
            </w:pPr>
            <w:r>
              <w:rPr>
                <w:rFonts w:ascii="Satoshi" w:hAnsi="Satoshi" w:cs="Satoshi"/>
                <w:b/>
                <w:i w:val="0"/>
                <w:color w:val="0B0E14"/>
                <w:sz w:val="19"/>
                <w:szCs w:val="19"/>
              </w:rPr>
              <w:t>Subject of this analysis</w:t>
            </w:r>
          </w:p>
          <w:p>
            <w:pPr>
              <w:spacing w:after="0" w:line="276" w:lineRule="auto"/>
            </w:pPr>
            <w:r>
              <w:rPr>
                <w:rFonts w:ascii="Satoshi" w:hAnsi="Satoshi" w:cs="Satoshi"/>
                <w:b w:val="0"/>
                <w:i/>
                <w:color w:val="5E6670"/>
                <w:sz w:val="15"/>
                <w:szCs w:val="15"/>
              </w:rPr>
              <w:t>The company, product or market this SWOT is about, and the date. One subject only.</w:t>
            </w:r>
          </w:p>
        </w:tc>
      </w:tr>
      <w:tr>
        <w:trPr>
          <w:trHeight w:val="3685" w:hRule="atLeast"/>
        </w:trPr>
        <w:tc>
          <w:tcPr>
            <w:tcW w:type="dxa" w:w="4819"/>
            <w:tcMar>
              <w:top w:w="79" w:type="dxa"/>
              <w:start w:w="102" w:type="dxa"/>
              <w:bottom w:w="79" w:type="dxa"/>
              <w:end w:w="102" w:type="dxa"/>
            </w:tcMar>
          </w:tcPr>
          <w:p>
            <w:pPr>
              <w:spacing w:after="40"/>
            </w:pPr>
            <w:r>
              <w:rPr>
                <w:rFonts w:ascii="Satoshi" w:hAnsi="Satoshi" w:cs="Satoshi"/>
                <w:b/>
                <w:i w:val="0"/>
                <w:color w:val="0B0E14"/>
                <w:sz w:val="19"/>
                <w:szCs w:val="19"/>
              </w:rPr>
              <w:t>Strengths — internal, present</w:t>
            </w:r>
          </w:p>
          <w:p>
            <w:pPr>
              <w:spacing w:after="0" w:line="276" w:lineRule="auto"/>
            </w:pPr>
            <w:r>
              <w:rPr>
                <w:rFonts w:ascii="Satoshi" w:hAnsi="Satoshi" w:cs="Satoshi"/>
                <w:b w:val="0"/>
                <w:i/>
                <w:color w:val="5E6670"/>
                <w:sz w:val="15"/>
                <w:szCs w:val="15"/>
              </w:rPr>
              <w:t>What you have that others do not. Team, access, cost position, relationships, data, speed. Rank the top five.</w:t>
            </w:r>
          </w:p>
        </w:tc>
        <w:tc>
          <w:tcPr>
            <w:tcW w:type="dxa" w:w="4819"/>
            <w:tcMar>
              <w:top w:w="79" w:type="dxa"/>
              <w:start w:w="102" w:type="dxa"/>
              <w:bottom w:w="79" w:type="dxa"/>
              <w:end w:w="102" w:type="dxa"/>
            </w:tcMar>
          </w:tcPr>
          <w:p>
            <w:pPr>
              <w:spacing w:after="40"/>
            </w:pPr>
            <w:r>
              <w:rPr>
                <w:rFonts w:ascii="Satoshi" w:hAnsi="Satoshi" w:cs="Satoshi"/>
                <w:b/>
                <w:i w:val="0"/>
                <w:color w:val="0B0E14"/>
                <w:sz w:val="19"/>
                <w:szCs w:val="19"/>
              </w:rPr>
              <w:t>Weaknesses — internal, present</w:t>
            </w:r>
          </w:p>
          <w:p>
            <w:pPr>
              <w:spacing w:after="0" w:line="276" w:lineRule="auto"/>
            </w:pPr>
            <w:r>
              <w:rPr>
                <w:rFonts w:ascii="Satoshi" w:hAnsi="Satoshi" w:cs="Satoshi"/>
                <w:b w:val="0"/>
                <w:i/>
                <w:color w:val="5E6670"/>
                <w:sz w:val="15"/>
                <w:szCs w:val="15"/>
              </w:rPr>
              <w:t>What you lack or do badly. Be honest; this page is not a pitch. Rank the top five.</w:t>
            </w:r>
          </w:p>
        </w:tc>
      </w:tr>
      <w:tr>
        <w:trPr>
          <w:trHeight w:val="3685" w:hRule="atLeast"/>
        </w:trPr>
        <w:tc>
          <w:tcPr>
            <w:tcW w:type="dxa" w:w="4819"/>
            <w:tcMar>
              <w:top w:w="79" w:type="dxa"/>
              <w:start w:w="102" w:type="dxa"/>
              <w:bottom w:w="79" w:type="dxa"/>
              <w:end w:w="102" w:type="dxa"/>
            </w:tcMar>
          </w:tcPr>
          <w:p>
            <w:pPr>
              <w:spacing w:after="40"/>
            </w:pPr>
            <w:r>
              <w:rPr>
                <w:rFonts w:ascii="Satoshi" w:hAnsi="Satoshi" w:cs="Satoshi"/>
                <w:b/>
                <w:i w:val="0"/>
                <w:color w:val="0B0E14"/>
                <w:sz w:val="19"/>
                <w:szCs w:val="19"/>
              </w:rPr>
              <w:t>Opportunities — external, future</w:t>
            </w:r>
          </w:p>
          <w:p>
            <w:pPr>
              <w:spacing w:after="0" w:line="276" w:lineRule="auto"/>
            </w:pPr>
            <w:r>
              <w:rPr>
                <w:rFonts w:ascii="Satoshi" w:hAnsi="Satoshi" w:cs="Satoshi"/>
                <w:b w:val="0"/>
                <w:i/>
                <w:color w:val="5E6670"/>
                <w:sz w:val="15"/>
                <w:szCs w:val="15"/>
              </w:rPr>
              <w:t>Shifts you could ride: regulation, behaviour, cost, a gap a competitor left. Name the source of each.</w:t>
            </w:r>
          </w:p>
        </w:tc>
        <w:tc>
          <w:tcPr>
            <w:tcW w:type="dxa" w:w="4819"/>
            <w:tcMar>
              <w:top w:w="79" w:type="dxa"/>
              <w:start w:w="102" w:type="dxa"/>
              <w:bottom w:w="79" w:type="dxa"/>
              <w:end w:w="102" w:type="dxa"/>
            </w:tcMar>
          </w:tcPr>
          <w:p>
            <w:pPr>
              <w:spacing w:after="40"/>
            </w:pPr>
            <w:r>
              <w:rPr>
                <w:rFonts w:ascii="Satoshi" w:hAnsi="Satoshi" w:cs="Satoshi"/>
                <w:b/>
                <w:i w:val="0"/>
                <w:color w:val="0B0E14"/>
                <w:sz w:val="19"/>
                <w:szCs w:val="19"/>
              </w:rPr>
              <w:t>Threats — external, future</w:t>
            </w:r>
          </w:p>
          <w:p>
            <w:pPr>
              <w:spacing w:after="0" w:line="276" w:lineRule="auto"/>
            </w:pPr>
            <w:r>
              <w:rPr>
                <w:rFonts w:ascii="Satoshi" w:hAnsi="Satoshi" w:cs="Satoshi"/>
                <w:b w:val="0"/>
                <w:i/>
                <w:color w:val="5E6670"/>
                <w:sz w:val="15"/>
                <w:szCs w:val="15"/>
              </w:rPr>
              <w:t>What could damage the plan: an incumbent, a rule, a price, a platform you depend on. Name the source of each.</w:t>
            </w:r>
          </w:p>
        </w:tc>
      </w:tr>
    </w:tbl>
    <w:p>
      <w:pPr>
        <w:keepNext/>
        <w:spacing w:before="320" w:after="80" w:line="312" w:lineRule="auto"/>
        <w:jc w:val="left"/>
      </w:pPr>
      <w:r>
        <w:rPr>
          <w:rFonts w:ascii="Satoshi" w:hAnsi="Satoshi" w:cs="Satoshi"/>
          <w:b/>
          <w:i w:val="0"/>
          <w:color w:val="3418E0"/>
          <w:sz w:val="24"/>
          <w:szCs w:val="24"/>
        </w:rPr>
        <w:t>TOWS — THE PAIRINGS THAT PRODUCE STRATEGY</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4819"/>
        <w:gridCol w:w="4819"/>
      </w:tblGrid>
      <w:tr>
        <w:trPr>
          <w:trHeight w:val="3118" w:hRule="atLeast"/>
        </w:trPr>
        <w:tc>
          <w:tcPr>
            <w:tcW w:type="dxa" w:w="4819"/>
            <w:tcMar>
              <w:top w:w="79" w:type="dxa"/>
              <w:start w:w="102" w:type="dxa"/>
              <w:bottom w:w="79" w:type="dxa"/>
              <w:end w:w="102" w:type="dxa"/>
            </w:tcMar>
          </w:tcPr>
          <w:p>
            <w:pPr>
              <w:spacing w:after="40"/>
            </w:pPr>
            <w:r>
              <w:rPr>
                <w:rFonts w:ascii="Satoshi" w:hAnsi="Satoshi" w:cs="Satoshi"/>
                <w:b/>
                <w:i w:val="0"/>
                <w:color w:val="0B0E14"/>
                <w:sz w:val="19"/>
                <w:szCs w:val="19"/>
              </w:rPr>
              <w:t>SO — strength on opportunity</w:t>
            </w:r>
          </w:p>
          <w:p>
            <w:pPr>
              <w:spacing w:after="0" w:line="276" w:lineRule="auto"/>
            </w:pPr>
            <w:r>
              <w:rPr>
                <w:rFonts w:ascii="Satoshi" w:hAnsi="Satoshi" w:cs="Satoshi"/>
                <w:b w:val="0"/>
                <w:i/>
                <w:color w:val="5E6670"/>
                <w:sz w:val="15"/>
                <w:szCs w:val="15"/>
              </w:rPr>
              <w:t>Which strength lets you take which opportunity faster than anyone else? Write the action and who owns it.</w:t>
            </w:r>
          </w:p>
        </w:tc>
        <w:tc>
          <w:tcPr>
            <w:tcW w:type="dxa" w:w="4819"/>
            <w:tcMar>
              <w:top w:w="79" w:type="dxa"/>
              <w:start w:w="102" w:type="dxa"/>
              <w:bottom w:w="79" w:type="dxa"/>
              <w:end w:w="102" w:type="dxa"/>
            </w:tcMar>
          </w:tcPr>
          <w:p>
            <w:pPr>
              <w:spacing w:after="40"/>
            </w:pPr>
            <w:r>
              <w:rPr>
                <w:rFonts w:ascii="Satoshi" w:hAnsi="Satoshi" w:cs="Satoshi"/>
                <w:b/>
                <w:i w:val="0"/>
                <w:color w:val="0B0E14"/>
                <w:sz w:val="19"/>
                <w:szCs w:val="19"/>
              </w:rPr>
              <w:t>WO — fix a weakness to reach an opportunity</w:t>
            </w:r>
          </w:p>
          <w:p>
            <w:pPr>
              <w:spacing w:after="0" w:line="276" w:lineRule="auto"/>
            </w:pPr>
            <w:r>
              <w:rPr>
                <w:rFonts w:ascii="Satoshi" w:hAnsi="Satoshi" w:cs="Satoshi"/>
                <w:b w:val="0"/>
                <w:i/>
                <w:color w:val="5E6670"/>
                <w:sz w:val="15"/>
                <w:szCs w:val="15"/>
              </w:rPr>
              <w:t>Which weakness is blocking an opportunity worth the cost of fixing? What is the fix?</w:t>
            </w:r>
          </w:p>
        </w:tc>
      </w:tr>
      <w:tr>
        <w:trPr>
          <w:trHeight w:val="3118" w:hRule="atLeast"/>
        </w:trPr>
        <w:tc>
          <w:tcPr>
            <w:tcW w:type="dxa" w:w="4819"/>
            <w:tcMar>
              <w:top w:w="79" w:type="dxa"/>
              <w:start w:w="102" w:type="dxa"/>
              <w:bottom w:w="79" w:type="dxa"/>
              <w:end w:w="102" w:type="dxa"/>
            </w:tcMar>
          </w:tcPr>
          <w:p>
            <w:pPr>
              <w:spacing w:after="40"/>
            </w:pPr>
            <w:r>
              <w:rPr>
                <w:rFonts w:ascii="Satoshi" w:hAnsi="Satoshi" w:cs="Satoshi"/>
                <w:b/>
                <w:i w:val="0"/>
                <w:color w:val="0B0E14"/>
                <w:sz w:val="19"/>
                <w:szCs w:val="19"/>
              </w:rPr>
              <w:t>ST — strength against threat</w:t>
            </w:r>
          </w:p>
          <w:p>
            <w:pPr>
              <w:spacing w:after="0" w:line="276" w:lineRule="auto"/>
            </w:pPr>
            <w:r>
              <w:rPr>
                <w:rFonts w:ascii="Satoshi" w:hAnsi="Satoshi" w:cs="Satoshi"/>
                <w:b w:val="0"/>
                <w:i/>
                <w:color w:val="5E6670"/>
                <w:sz w:val="15"/>
                <w:szCs w:val="15"/>
              </w:rPr>
              <w:t>Which strength reduces which threat? What would you do the week the threat arrives?</w:t>
            </w:r>
          </w:p>
        </w:tc>
        <w:tc>
          <w:tcPr>
            <w:tcW w:type="dxa" w:w="4819"/>
            <w:tcMar>
              <w:top w:w="79" w:type="dxa"/>
              <w:start w:w="102" w:type="dxa"/>
              <w:bottom w:w="79" w:type="dxa"/>
              <w:end w:w="102" w:type="dxa"/>
            </w:tcMar>
          </w:tcPr>
          <w:p>
            <w:pPr>
              <w:spacing w:after="40"/>
            </w:pPr>
            <w:r>
              <w:rPr>
                <w:rFonts w:ascii="Satoshi" w:hAnsi="Satoshi" w:cs="Satoshi"/>
                <w:b/>
                <w:i w:val="0"/>
                <w:color w:val="0B0E14"/>
                <w:sz w:val="19"/>
                <w:szCs w:val="19"/>
              </w:rPr>
              <w:t>WT — weakness exposed to threat</w:t>
            </w:r>
          </w:p>
          <w:p>
            <w:pPr>
              <w:spacing w:after="0" w:line="276" w:lineRule="auto"/>
            </w:pPr>
            <w:r>
              <w:rPr>
                <w:rFonts w:ascii="Satoshi" w:hAnsi="Satoshi" w:cs="Satoshi"/>
                <w:b w:val="0"/>
                <w:i/>
                <w:color w:val="5E6670"/>
                <w:sz w:val="15"/>
                <w:szCs w:val="15"/>
              </w:rPr>
              <w:t>Where a weakness meets a threat, you avoid, insure or exit. Which is it, and by when?</w:t>
            </w:r>
          </w:p>
        </w:tc>
      </w:tr>
      <w:tr>
        <w:trPr>
          <w:trHeight w:val="1814" w:hRule="atLeast"/>
        </w:trPr>
        <w:tc>
          <w:tcPr>
            <w:tcW w:type="dxa" w:w="4819"/>
            <w:gridSpan w:val="2"/>
            <w:tcMar>
              <w:top w:w="79" w:type="dxa"/>
              <w:start w:w="102" w:type="dxa"/>
              <w:bottom w:w="79" w:type="dxa"/>
              <w:end w:w="102" w:type="dxa"/>
            </w:tcMar>
          </w:tcPr>
          <w:p>
            <w:pPr>
              <w:spacing w:after="40"/>
            </w:pPr>
            <w:r>
              <w:rPr>
                <w:rFonts w:ascii="Satoshi" w:hAnsi="Satoshi" w:cs="Satoshi"/>
                <w:b/>
                <w:i w:val="0"/>
                <w:color w:val="0B0E14"/>
                <w:sz w:val="19"/>
                <w:szCs w:val="19"/>
              </w:rPr>
              <w:t>The one thing this analysis changes</w:t>
            </w:r>
          </w:p>
          <w:p>
            <w:pPr>
              <w:spacing w:after="0" w:line="276" w:lineRule="auto"/>
            </w:pPr>
            <w:r>
              <w:rPr>
                <w:rFonts w:ascii="Satoshi" w:hAnsi="Satoshi" w:cs="Satoshi"/>
                <w:b w:val="0"/>
                <w:i/>
                <w:color w:val="5E6670"/>
                <w:sz w:val="15"/>
                <w:szCs w:val="15"/>
              </w:rPr>
              <w:t>If this SWOT changes nothing in your plan, it was a writing exercise. What is different now?</w:t>
            </w:r>
          </w:p>
        </w:tc>
      </w:tr>
    </w:tbl>
    <w:p>
      <w:pPr>
        <w:sectPr>
          <w:footerReference w:type="default" r:id="rId11"/>
          <w:pgSz w:w="11906" w:h="16838"/>
          <w:pgMar w:top="1134" w:right="1134" w:bottom="964"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SWOT &amp; TOWS Analysis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SWOT &amp; TOWS Analysis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SWOT &amp; TOWS Analysis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SWOT &amp; TOWS Analysis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