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Importance–Frequency Matrix</w:t>
            </w:r>
          </w:p>
          <w:p>
            <w:pPr>
              <w:spacing w:after="0" w:before="0" w:line="324" w:lineRule="auto"/>
            </w:pPr>
            <w:r>
              <w:rPr>
                <w:rFonts w:ascii="Satoshi" w:hAnsi="Satoshi" w:cs="Satoshi"/>
                <w:b w:val="0"/>
                <w:i w:val="0"/>
                <w:color w:val="FFFFFF"/>
                <w:sz w:val="25"/>
                <w:szCs w:val="25"/>
              </w:rPr>
              <w:t>Which problem to solve first, decided on evidence instead of enthusiasm</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A ranked problem list and one problem chosen, with the reason written down</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A grid that scores each candidate problem on how much it matters when it happens and how often it happens, then places it in one of four quadrants. A severe problem that occurs twice a year and a mild one that occurs daily are different businesses. This template stops you choosing between them by instinct.</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Turn a list of problems into a ranked list with a defensible order.</w:t>
      </w:r>
    </w:p>
    <w:p>
      <w:pPr>
        <w:keepNext w:val="0"/>
        <w:spacing w:before="0" w:after="60" w:line="312" w:lineRule="auto"/>
        <w:ind w:left="283"/>
        <w:jc w:val="left"/>
      </w:pPr>
      <w:r>
        <w:rPr>
          <w:rFonts w:ascii="Satoshi" w:hAnsi="Satoshi" w:cs="Satoshi"/>
          <w:b w:val="0"/>
          <w:i w:val="0"/>
          <w:color w:val="0B0E14"/>
          <w:sz w:val="20"/>
          <w:szCs w:val="20"/>
        </w:rPr>
        <w:t>—  Expose the rare-but-painful problems that feel urgent in an interview and do not support a business.</w:t>
      </w:r>
    </w:p>
    <w:p>
      <w:pPr>
        <w:keepNext w:val="0"/>
        <w:spacing w:before="0" w:after="60" w:line="312" w:lineRule="auto"/>
        <w:ind w:left="283"/>
        <w:jc w:val="left"/>
      </w:pPr>
      <w:r>
        <w:rPr>
          <w:rFonts w:ascii="Satoshi" w:hAnsi="Satoshi" w:cs="Satoshi"/>
          <w:b w:val="0"/>
          <w:i w:val="0"/>
          <w:color w:val="0B0E14"/>
          <w:sz w:val="20"/>
          <w:szCs w:val="20"/>
        </w:rPr>
        <w:t>—  Record the current workaround for each problem — the thing you are really competing with.</w:t>
      </w:r>
    </w:p>
    <w:p>
      <w:pPr>
        <w:keepNext w:val="0"/>
        <w:spacing w:before="0" w:after="60" w:line="312" w:lineRule="auto"/>
        <w:ind w:left="283"/>
        <w:jc w:val="left"/>
      </w:pPr>
      <w:r>
        <w:rPr>
          <w:rFonts w:ascii="Satoshi" w:hAnsi="Satoshi" w:cs="Satoshi"/>
          <w:b w:val="0"/>
          <w:i w:val="0"/>
          <w:color w:val="0B0E14"/>
          <w:sz w:val="20"/>
          <w:szCs w:val="20"/>
        </w:rPr>
        <w:t>—  Leave a written reason for the problem you chose, so a later pivot is a decision rather than a drift.</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 3 directly; feeds Missions 4 and 5.</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Ulwick, A. (2002). Turn Customer Input into Innovation. Harvard Business Review, 80(1). — the opportunity algorithm, which scores desired outcomes by importance and satisfaction.</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The two-axis prioritisation grid is a working adaptation rather than a single named theory. Its closest scholarly anchors are Ulwick's outcome-driven innovation, which ranks outcomes by importance against satisfaction, and the Kano model, which shows that attributes differ in kind and not only in degree. Substituting frequency for satisfaction suits early-stage work, where satisfaction data does not exist yet.</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Kano, N., Seraku, N., Takahashi, F. &amp; Tsuji, S. (1984). Attractive Quality and Must-Be Quality. Journal of the Japanese Society for Quality Control, 14(2).</w:t>
      </w:r>
    </w:p>
    <w:p>
      <w:pPr>
        <w:keepNext w:val="0"/>
        <w:spacing w:before="0" w:after="40" w:line="312" w:lineRule="auto"/>
        <w:ind w:left="283"/>
        <w:jc w:val="left"/>
      </w:pPr>
      <w:r>
        <w:rPr>
          <w:rFonts w:ascii="Satoshi" w:hAnsi="Satoshi" w:cs="Satoshi"/>
          <w:b w:val="0"/>
          <w:i w:val="0"/>
          <w:color w:val="0B0E14"/>
          <w:sz w:val="19"/>
          <w:szCs w:val="19"/>
        </w:rPr>
        <w:t>—  Bettencourt, L. A. &amp; Ulwick, A. W. (2008). The Customer-Centered Innovation Map. Harvard Business Review, 86(5).</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List only problems you heard in interviews. A problem you thought of does not get a row.</w:t>
      </w:r>
    </w:p>
    <w:p>
      <w:pPr>
        <w:keepNext w:val="0"/>
        <w:spacing w:before="0" w:after="60" w:line="312" w:lineRule="auto"/>
        <w:ind w:left="283"/>
        <w:jc w:val="left"/>
      </w:pPr>
      <w:r>
        <w:rPr>
          <w:rFonts w:ascii="Satoshi" w:hAnsi="Satoshi" w:cs="Satoshi"/>
          <w:b w:val="0"/>
          <w:i w:val="0"/>
          <w:color w:val="0B0E14"/>
          <w:sz w:val="20"/>
          <w:szCs w:val="20"/>
        </w:rPr>
        <w:t>2.  Score importance 1–5 on consequence when it occurs, and frequency 1–5 on how often. Use the interview evidence, not your impression.</w:t>
      </w:r>
    </w:p>
    <w:p>
      <w:pPr>
        <w:keepNext w:val="0"/>
        <w:spacing w:before="0" w:after="60" w:line="312" w:lineRule="auto"/>
        <w:ind w:left="283"/>
        <w:jc w:val="left"/>
      </w:pPr>
      <w:r>
        <w:rPr>
          <w:rFonts w:ascii="Satoshi" w:hAnsi="Satoshi" w:cs="Satoshi"/>
          <w:b w:val="0"/>
          <w:i w:val="0"/>
          <w:color w:val="0B0E14"/>
          <w:sz w:val="20"/>
          <w:szCs w:val="20"/>
        </w:rPr>
        <w:t>3.  Write the current workaround for every row. If there is no workaround, check the problem is real.</w:t>
      </w:r>
    </w:p>
    <w:p>
      <w:pPr>
        <w:keepNext w:val="0"/>
        <w:spacing w:before="0" w:after="60" w:line="312" w:lineRule="auto"/>
        <w:ind w:left="283"/>
        <w:jc w:val="left"/>
      </w:pPr>
      <w:r>
        <w:rPr>
          <w:rFonts w:ascii="Satoshi" w:hAnsi="Satoshi" w:cs="Satoshi"/>
          <w:b w:val="0"/>
          <w:i w:val="0"/>
          <w:color w:val="0B0E14"/>
          <w:sz w:val="20"/>
          <w:szCs w:val="20"/>
        </w:rPr>
        <w:t>4.  Plot each problem in the quadrant grid on the next page.</w:t>
      </w:r>
    </w:p>
    <w:p>
      <w:pPr>
        <w:keepNext w:val="0"/>
        <w:spacing w:before="0" w:after="60" w:line="312" w:lineRule="auto"/>
        <w:ind w:left="283"/>
        <w:jc w:val="left"/>
      </w:pPr>
      <w:r>
        <w:rPr>
          <w:rFonts w:ascii="Satoshi" w:hAnsi="Satoshi" w:cs="Satoshi"/>
          <w:b w:val="0"/>
          <w:i w:val="0"/>
          <w:color w:val="0B0E14"/>
          <w:sz w:val="20"/>
          <w:szCs w:val="20"/>
        </w:rPr>
        <w:t>5.  Choose one problem from the top-right quadrant and write the reason underneath.</w:t>
      </w:r>
    </w:p>
    <w:p>
      <w:pPr>
        <w:keepNext w:val="0"/>
        <w:spacing w:before="0" w:after="60" w:line="312" w:lineRule="auto"/>
        <w:ind w:left="283"/>
        <w:jc w:val="left"/>
      </w:pPr>
      <w:r>
        <w:rPr>
          <w:rFonts w:ascii="Satoshi" w:hAnsi="Satoshi" w:cs="Satoshi"/>
          <w:b w:val="0"/>
          <w:i w:val="0"/>
          <w:color w:val="0B0E14"/>
          <w:sz w:val="20"/>
          <w:szCs w:val="20"/>
        </w:rPr>
        <w:t>6.  Keep the rejected problems. They are your second and third options if the first fails validation.</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Every row traces to a named interview.</w:t>
      </w:r>
    </w:p>
    <w:p>
      <w:pPr>
        <w:keepNext w:val="0"/>
        <w:spacing w:before="0" w:after="60" w:line="312" w:lineRule="auto"/>
        <w:ind w:left="283"/>
        <w:jc w:val="left"/>
      </w:pPr>
      <w:r>
        <w:rPr>
          <w:rFonts w:ascii="Satoshi" w:hAnsi="Satoshi" w:cs="Satoshi"/>
          <w:b w:val="0"/>
          <w:i w:val="0"/>
          <w:color w:val="0B0E14"/>
          <w:sz w:val="20"/>
          <w:szCs w:val="20"/>
        </w:rPr>
        <w:t>☐  Scores differ from each other — if everything is a 5, nothing was measured.</w:t>
      </w:r>
    </w:p>
    <w:p>
      <w:pPr>
        <w:keepNext w:val="0"/>
        <w:spacing w:before="0" w:after="60" w:line="312" w:lineRule="auto"/>
        <w:ind w:left="283"/>
        <w:jc w:val="left"/>
      </w:pPr>
      <w:r>
        <w:rPr>
          <w:rFonts w:ascii="Satoshi" w:hAnsi="Satoshi" w:cs="Satoshi"/>
          <w:b w:val="0"/>
          <w:i w:val="0"/>
          <w:color w:val="0B0E14"/>
          <w:sz w:val="20"/>
          <w:szCs w:val="20"/>
        </w:rPr>
        <w:t>☐  The chosen problem sits in the high-importance, high-frequency quadrant, or the exception is argued explicitly.</w:t>
      </w:r>
    </w:p>
    <w:p>
      <w:pPr>
        <w:keepNext w:val="0"/>
        <w:spacing w:before="0" w:after="60" w:line="312" w:lineRule="auto"/>
        <w:ind w:left="283"/>
        <w:jc w:val="left"/>
      </w:pPr>
      <w:r>
        <w:rPr>
          <w:rFonts w:ascii="Satoshi" w:hAnsi="Satoshi" w:cs="Satoshi"/>
          <w:b w:val="0"/>
          <w:i w:val="0"/>
          <w:color w:val="0B0E14"/>
          <w:sz w:val="20"/>
          <w:szCs w:val="20"/>
        </w:rPr>
        <w:t>☐  The workaround column is complete.</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453" w:hRule="atLeast"/>
        </w:trPr>
        <w:tc>
          <w:tcPr>
            <w:tcW w:type="dxa" w:w="7285"/>
            <w:gridSpan w:val="2"/>
            <w:shd w:val="clear" w:fill="CBF24A"/>
            <w:tcMar>
              <w:top w:w="79" w:type="dxa"/>
              <w:start w:w="102" w:type="dxa"/>
              <w:bottom w:w="79" w:type="dxa"/>
              <w:end w:w="102" w:type="dxa"/>
            </w:tcMar>
          </w:tcPr>
          <w:p>
            <w:pPr>
              <w:spacing w:after="0"/>
            </w:pPr>
            <w:r>
              <w:rPr>
                <w:rFonts w:ascii="Satoshi" w:hAnsi="Satoshi" w:cs="Satoshi"/>
                <w:b/>
                <w:i w:val="0"/>
                <w:color w:val="0B0E14"/>
                <w:spacing w:val="6"/>
                <w:sz w:val="20"/>
                <w:szCs w:val="20"/>
              </w:rPr>
              <w:t>HOW TO SCORE</w:t>
            </w:r>
          </w:p>
        </w:tc>
      </w:tr>
      <w:tr>
        <w:trPr>
          <w:trHeight w:val="1701" w:hRule="atLeast"/>
        </w:trPr>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Importance 1–5</w:t>
            </w:r>
          </w:p>
          <w:p>
            <w:pPr>
              <w:spacing w:after="0" w:line="276" w:lineRule="auto"/>
            </w:pPr>
            <w:r>
              <w:rPr>
                <w:rFonts w:ascii="Satoshi" w:hAnsi="Satoshi" w:cs="Satoshi"/>
                <w:b w:val="0"/>
                <w:i/>
                <w:color w:val="5E6670"/>
                <w:sz w:val="15"/>
                <w:szCs w:val="15"/>
              </w:rPr>
              <w:t>1 = mildly annoying · 3 = costs real time or money · 5 = blocks something they must do. Judge by what it cost them, not how loudly they said it.</w:t>
            </w:r>
          </w:p>
        </w:tc>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Frequency 1–5</w:t>
            </w:r>
          </w:p>
          <w:p>
            <w:pPr>
              <w:spacing w:after="0" w:line="276" w:lineRule="auto"/>
            </w:pPr>
            <w:r>
              <w:rPr>
                <w:rFonts w:ascii="Satoshi" w:hAnsi="Satoshi" w:cs="Satoshi"/>
                <w:b w:val="0"/>
                <w:i/>
                <w:color w:val="5E6670"/>
                <w:sz w:val="15"/>
                <w:szCs w:val="15"/>
              </w:rPr>
              <w:t>1 = once a year or less · 3 = monthly · 5 = daily or more. Count occurrences they described, not ones they expect.</w:t>
            </w:r>
          </w:p>
        </w:tc>
      </w:tr>
    </w:tbl>
    <w:p>
      <w:pPr>
        <w:keepNext/>
        <w:spacing w:before="280" w:after="40" w:line="312" w:lineRule="auto"/>
        <w:jc w:val="left"/>
      </w:pPr>
      <w:r>
        <w:rPr>
          <w:rFonts w:ascii="Satoshi" w:hAnsi="Satoshi" w:cs="Satoshi"/>
          <w:b/>
          <w:i w:val="0"/>
          <w:color w:val="3418E0"/>
          <w:sz w:val="24"/>
          <w:szCs w:val="24"/>
        </w:rPr>
        <w:t>PROBLEM SCORING</w:t>
      </w:r>
    </w:p>
    <w:p>
      <w:pPr>
        <w:keepNext w:val="0"/>
        <w:spacing w:before="0" w:after="120" w:line="312" w:lineRule="auto"/>
        <w:jc w:val="left"/>
      </w:pPr>
      <w:r>
        <w:rPr>
          <w:rFonts w:ascii="Satoshi" w:hAnsi="Satoshi" w:cs="Satoshi"/>
          <w:b w:val="0"/>
          <w:i/>
          <w:color w:val="5E6670"/>
          <w:sz w:val="17"/>
          <w:szCs w:val="17"/>
        </w:rPr>
        <w:t>One row per problem heard in interviews. Score = importance × frequency.</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081"/>
        <w:gridCol w:w="2081"/>
        <w:gridCol w:w="2081"/>
        <w:gridCol w:w="2081"/>
        <w:gridCol w:w="2081"/>
        <w:gridCol w:w="2081"/>
        <w:gridCol w:w="2081"/>
      </w:tblGrid>
      <w:tr>
        <w:trPr>
          <w:trHeight w:val="510" w:hRule="atLeast"/>
        </w:trPr>
        <w:tc>
          <w:tcPr>
            <w:tcW w:type="dxa" w:w="662"/>
            <w:shd w:val="clear" w:fill="CBF24A"/>
            <w:tcMar>
              <w:top w:w="56" w:type="dxa"/>
              <w:start w:w="102" w:type="dxa"/>
              <w:bottom w:w="56" w:type="dxa"/>
              <w:end w:w="102" w:type="dxa"/>
            </w:tcMar>
          </w:tcPr>
          <w:p>
            <w:pPr>
              <w:spacing w:after="0"/>
            </w:pPr>
            <w:r>
              <w:rPr>
                <w:rFonts w:ascii="Satoshi" w:hAnsi="Satoshi" w:cs="Satoshi"/>
                <w:b/>
                <w:i w:val="0"/>
                <w:color w:val="0B0E14"/>
                <w:sz w:val="16"/>
                <w:szCs w:val="16"/>
              </w:rPr>
              <w:t>#</w:t>
            </w:r>
          </w:p>
        </w:tc>
        <w:tc>
          <w:tcPr>
            <w:tcW w:type="dxa" w:w="3974"/>
            <w:shd w:val="clear" w:fill="CBF24A"/>
            <w:tcMar>
              <w:top w:w="56" w:type="dxa"/>
              <w:start w:w="102" w:type="dxa"/>
              <w:bottom w:w="56" w:type="dxa"/>
              <w:end w:w="102" w:type="dxa"/>
            </w:tcMar>
          </w:tcPr>
          <w:p>
            <w:pPr>
              <w:spacing w:after="0"/>
            </w:pPr>
            <w:r>
              <w:rPr>
                <w:rFonts w:ascii="Satoshi" w:hAnsi="Satoshi" w:cs="Satoshi"/>
                <w:b/>
                <w:i w:val="0"/>
                <w:color w:val="0B0E14"/>
                <w:sz w:val="16"/>
                <w:szCs w:val="16"/>
              </w:rPr>
              <w:t>The problem, in their words</w:t>
            </w:r>
          </w:p>
        </w:tc>
        <w:tc>
          <w:tcPr>
            <w:tcW w:type="dxa" w:w="2060"/>
            <w:shd w:val="clear" w:fill="CBF24A"/>
            <w:tcMar>
              <w:top w:w="56" w:type="dxa"/>
              <w:start w:w="102" w:type="dxa"/>
              <w:bottom w:w="56" w:type="dxa"/>
              <w:end w:w="102" w:type="dxa"/>
            </w:tcMar>
          </w:tcPr>
          <w:p>
            <w:pPr>
              <w:spacing w:after="0"/>
            </w:pPr>
            <w:r>
              <w:rPr>
                <w:rFonts w:ascii="Satoshi" w:hAnsi="Satoshi" w:cs="Satoshi"/>
                <w:b/>
                <w:i w:val="0"/>
                <w:color w:val="0B0E14"/>
                <w:sz w:val="16"/>
                <w:szCs w:val="16"/>
              </w:rPr>
              <w:t>Who has it</w:t>
            </w:r>
          </w:p>
        </w:tc>
        <w:tc>
          <w:tcPr>
            <w:tcW w:type="dxa" w:w="1545"/>
            <w:shd w:val="clear" w:fill="CBF24A"/>
            <w:tcMar>
              <w:top w:w="56" w:type="dxa"/>
              <w:start w:w="102" w:type="dxa"/>
              <w:bottom w:w="56" w:type="dxa"/>
              <w:end w:w="102" w:type="dxa"/>
            </w:tcMar>
          </w:tcPr>
          <w:p>
            <w:pPr>
              <w:spacing w:after="0"/>
            </w:pPr>
            <w:r>
              <w:rPr>
                <w:rFonts w:ascii="Satoshi" w:hAnsi="Satoshi" w:cs="Satoshi"/>
                <w:b/>
                <w:i w:val="0"/>
                <w:color w:val="0B0E14"/>
                <w:sz w:val="16"/>
                <w:szCs w:val="16"/>
              </w:rPr>
              <w:t>Importance 1–5</w:t>
            </w:r>
          </w:p>
        </w:tc>
        <w:tc>
          <w:tcPr>
            <w:tcW w:type="dxa" w:w="1545"/>
            <w:shd w:val="clear" w:fill="CBF24A"/>
            <w:tcMar>
              <w:top w:w="56" w:type="dxa"/>
              <w:start w:w="102" w:type="dxa"/>
              <w:bottom w:w="56" w:type="dxa"/>
              <w:end w:w="102" w:type="dxa"/>
            </w:tcMar>
          </w:tcPr>
          <w:p>
            <w:pPr>
              <w:spacing w:after="0"/>
            </w:pPr>
            <w:r>
              <w:rPr>
                <w:rFonts w:ascii="Satoshi" w:hAnsi="Satoshi" w:cs="Satoshi"/>
                <w:b/>
                <w:i w:val="0"/>
                <w:color w:val="0B0E14"/>
                <w:sz w:val="16"/>
                <w:szCs w:val="16"/>
              </w:rPr>
              <w:t>Frequency 1–5</w:t>
            </w:r>
          </w:p>
        </w:tc>
        <w:tc>
          <w:tcPr>
            <w:tcW w:type="dxa" w:w="1104"/>
            <w:shd w:val="clear" w:fill="CBF24A"/>
            <w:tcMar>
              <w:top w:w="56" w:type="dxa"/>
              <w:start w:w="102" w:type="dxa"/>
              <w:bottom w:w="56" w:type="dxa"/>
              <w:end w:w="102" w:type="dxa"/>
            </w:tcMar>
          </w:tcPr>
          <w:p>
            <w:pPr>
              <w:spacing w:after="0"/>
            </w:pPr>
            <w:r>
              <w:rPr>
                <w:rFonts w:ascii="Satoshi" w:hAnsi="Satoshi" w:cs="Satoshi"/>
                <w:b/>
                <w:i w:val="0"/>
                <w:color w:val="0B0E14"/>
                <w:sz w:val="16"/>
                <w:szCs w:val="16"/>
              </w:rPr>
              <w:t>Score</w:t>
            </w:r>
          </w:p>
        </w:tc>
        <w:tc>
          <w:tcPr>
            <w:tcW w:type="dxa" w:w="3679"/>
            <w:shd w:val="clear" w:fill="CBF24A"/>
            <w:tcMar>
              <w:top w:w="56" w:type="dxa"/>
              <w:start w:w="102" w:type="dxa"/>
              <w:bottom w:w="56" w:type="dxa"/>
              <w:end w:w="102" w:type="dxa"/>
            </w:tcMar>
          </w:tcPr>
          <w:p>
            <w:pPr>
              <w:spacing w:after="0"/>
            </w:pPr>
            <w:r>
              <w:rPr>
                <w:rFonts w:ascii="Satoshi" w:hAnsi="Satoshi" w:cs="Satoshi"/>
                <w:b/>
                <w:i w:val="0"/>
                <w:color w:val="0B0E14"/>
                <w:sz w:val="16"/>
                <w:szCs w:val="16"/>
              </w:rPr>
              <w:t>What they do today instead</w:t>
            </w: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1</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2</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3</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4</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5</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6</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7</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8</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9</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r>
        <w:trPr>
          <w:trHeight w:val="595" w:hRule="atLeast"/>
        </w:trPr>
        <w:tc>
          <w:tcPr>
            <w:tcW w:type="dxa" w:w="662"/>
            <w:tcMar>
              <w:top w:w="56" w:type="dxa"/>
              <w:start w:w="102" w:type="dxa"/>
              <w:bottom w:w="56" w:type="dxa"/>
              <w:end w:w="102" w:type="dxa"/>
            </w:tcMar>
          </w:tcPr>
          <w:p>
            <w:pPr>
              <w:spacing w:after="0"/>
            </w:pPr>
            <w:r>
              <w:rPr>
                <w:rFonts w:ascii="Satoshi" w:hAnsi="Satoshi" w:cs="Satoshi"/>
                <w:b w:val="0"/>
                <w:i w:val="0"/>
                <w:color w:val="5E6670"/>
                <w:sz w:val="17"/>
                <w:szCs w:val="17"/>
              </w:rPr>
              <w:t>10</w:t>
            </w:r>
          </w:p>
        </w:tc>
        <w:tc>
          <w:tcPr>
            <w:tcW w:type="dxa" w:w="3974"/>
            <w:tcMar>
              <w:top w:w="56" w:type="dxa"/>
              <w:start w:w="102" w:type="dxa"/>
              <w:bottom w:w="56" w:type="dxa"/>
              <w:end w:w="102" w:type="dxa"/>
            </w:tcMar>
          </w:tcPr>
          <w:p>
            <w:pPr>
              <w:spacing w:after="0"/>
            </w:pPr>
          </w:p>
        </w:tc>
        <w:tc>
          <w:tcPr>
            <w:tcW w:type="dxa" w:w="2060"/>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545"/>
            <w:tcMar>
              <w:top w:w="56" w:type="dxa"/>
              <w:start w:w="102" w:type="dxa"/>
              <w:bottom w:w="56" w:type="dxa"/>
              <w:end w:w="102" w:type="dxa"/>
            </w:tcMar>
          </w:tcPr>
          <w:p>
            <w:pPr>
              <w:spacing w:after="0"/>
            </w:pPr>
          </w:p>
        </w:tc>
        <w:tc>
          <w:tcPr>
            <w:tcW w:type="dxa" w:w="1104"/>
            <w:tcMar>
              <w:top w:w="56" w:type="dxa"/>
              <w:start w:w="102" w:type="dxa"/>
              <w:bottom w:w="56" w:type="dxa"/>
              <w:end w:w="102" w:type="dxa"/>
            </w:tcMar>
          </w:tcPr>
          <w:p>
            <w:pPr>
              <w:spacing w:after="0"/>
            </w:pPr>
          </w:p>
        </w:tc>
        <w:tc>
          <w:tcPr>
            <w:tcW w:type="dxa" w:w="3679"/>
            <w:tcMar>
              <w:top w:w="56" w:type="dxa"/>
              <w:start w:w="102" w:type="dxa"/>
              <w:bottom w:w="56" w:type="dxa"/>
              <w:end w:w="102" w:type="dxa"/>
            </w:tcMar>
          </w:tcPr>
          <w:p>
            <w:pPr>
              <w:spacing w:after="0"/>
            </w:pPr>
          </w:p>
        </w:tc>
      </w:tr>
    </w:tbl>
    <w:p>
      <w:pPr>
        <w:keepNext/>
        <w:spacing w:before="320" w:after="80" w:line="312" w:lineRule="auto"/>
        <w:jc w:val="left"/>
      </w:pPr>
      <w:r>
        <w:rPr>
          <w:rFonts w:ascii="Satoshi" w:hAnsi="Satoshi" w:cs="Satoshi"/>
          <w:b/>
          <w:i w:val="0"/>
          <w:color w:val="3418E0"/>
          <w:sz w:val="24"/>
          <w:szCs w:val="24"/>
        </w:rPr>
        <w:t>THE MATRIX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3402" w:hRule="atLeast"/>
        </w:trPr>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High importance · Low frequency</w:t>
            </w:r>
          </w:p>
          <w:p>
            <w:pPr>
              <w:spacing w:after="0" w:line="276" w:lineRule="auto"/>
            </w:pPr>
            <w:r>
              <w:rPr>
                <w:rFonts w:ascii="Satoshi" w:hAnsi="Satoshi" w:cs="Satoshi"/>
                <w:b w:val="0"/>
                <w:i/>
                <w:color w:val="5E6670"/>
                <w:sz w:val="15"/>
                <w:szCs w:val="15"/>
              </w:rPr>
              <w:t>Real pain, rare. Usually a service or an insurance-shaped product, not a daily tool. Plot problems here.</w:t>
            </w:r>
          </w:p>
        </w:tc>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High importance · High frequency  ←  build here</w:t>
            </w:r>
          </w:p>
          <w:p>
            <w:pPr>
              <w:spacing w:after="0" w:line="276" w:lineRule="auto"/>
            </w:pPr>
            <w:r>
              <w:rPr>
                <w:rFonts w:ascii="Satoshi" w:hAnsi="Satoshi" w:cs="Satoshi"/>
                <w:b w:val="0"/>
                <w:i/>
                <w:color w:val="5E6670"/>
                <w:sz w:val="15"/>
                <w:szCs w:val="15"/>
              </w:rPr>
              <w:t>Severe and constant. This is where a first product belongs. Plot problems here.</w:t>
            </w:r>
          </w:p>
        </w:tc>
      </w:tr>
      <w:tr>
        <w:trPr>
          <w:trHeight w:val="3402" w:hRule="atLeast"/>
        </w:trPr>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Low importance · Low frequency</w:t>
            </w:r>
          </w:p>
          <w:p>
            <w:pPr>
              <w:spacing w:after="0" w:line="276" w:lineRule="auto"/>
            </w:pPr>
            <w:r>
              <w:rPr>
                <w:rFonts w:ascii="Satoshi" w:hAnsi="Satoshi" w:cs="Satoshi"/>
                <w:b w:val="0"/>
                <w:i/>
                <w:color w:val="5E6670"/>
                <w:sz w:val="15"/>
                <w:szCs w:val="15"/>
              </w:rPr>
              <w:t>Ignore. Politely.</w:t>
            </w:r>
          </w:p>
        </w:tc>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Low importance · High frequency</w:t>
            </w:r>
          </w:p>
          <w:p>
            <w:pPr>
              <w:spacing w:after="0" w:line="276" w:lineRule="auto"/>
            </w:pPr>
            <w:r>
              <w:rPr>
                <w:rFonts w:ascii="Satoshi" w:hAnsi="Satoshi" w:cs="Satoshi"/>
                <w:b w:val="0"/>
                <w:i/>
                <w:color w:val="5E6670"/>
                <w:sz w:val="15"/>
                <w:szCs w:val="15"/>
              </w:rPr>
              <w:t>Frequent irritation. Can work as a free hook, rarely as a paid product on its own. Plot problems here.</w:t>
            </w:r>
          </w:p>
        </w:tc>
      </w:tr>
      <w:tr>
        <w:trPr>
          <w:trHeight w:val="2041"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The problem we are taking forward, and why</w:t>
            </w:r>
          </w:p>
          <w:p>
            <w:pPr>
              <w:spacing w:after="0" w:line="276" w:lineRule="auto"/>
            </w:pPr>
            <w:r>
              <w:rPr>
                <w:rFonts w:ascii="Satoshi" w:hAnsi="Satoshi" w:cs="Satoshi"/>
                <w:b w:val="0"/>
                <w:i/>
                <w:color w:val="5E6670"/>
                <w:sz w:val="15"/>
                <w:szCs w:val="15"/>
              </w:rPr>
              <w:t>Name it, give its score, and write the reason in two sentences. Date this.</w:t>
            </w:r>
          </w:p>
        </w:tc>
      </w:tr>
    </w:tbl>
    <w:p>
      <w:pPr>
        <w:sectPr>
          <w:footerReference w:type="default" r:id="rId11"/>
          <w:pgSz w:w="16838" w:h="11906" w:orient="landscape"/>
          <w:pgMar w:top="907" w:right="1134" w:bottom="850"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Importance–Frequency Matrix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Importance–Frequency Matrix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Importance–Frequency Matrix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Importance–Frequency Matrix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