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520"/>
      </w:pPr>
      <w:r>
        <w:drawing>
          <wp:inline xmlns:a="http://schemas.openxmlformats.org/drawingml/2006/main" xmlns:pic="http://schemas.openxmlformats.org/drawingml/2006/picture">
            <wp:extent cx="1224000" cy="813009"/>
            <wp:docPr id="1" name="Picture 1"/>
            <wp:cNvGraphicFramePr>
              <a:graphicFrameLocks noChangeAspect="1"/>
            </wp:cNvGraphicFramePr>
            <a:graphic>
              <a:graphicData uri="http://schemas.openxmlformats.org/drawingml/2006/picture">
                <pic:pic>
                  <pic:nvPicPr>
                    <pic:cNvPr id="0" name="startpad_logo.png"/>
                    <pic:cNvPicPr/>
                  </pic:nvPicPr>
                  <pic:blipFill>
                    <a:blip r:embed="rId11"/>
                    <a:stretch>
                      <a:fillRect/>
                    </a:stretch>
                  </pic:blipFill>
                  <pic:spPr>
                    <a:xfrm>
                      <a:off x="0" y="0"/>
                      <a:ext cx="1224000" cy="813009"/>
                    </a:xfrm>
                    <a:prstGeom prst="rect"/>
                  </pic:spPr>
                </pic:pic>
              </a:graphicData>
            </a:graphic>
          </wp:inline>
        </w:drawing>
      </w:r>
    </w:p>
    <w:p>
      <w:pPr>
        <w:shd w:val="clear" w:fill="CBF24A"/>
        <w:spacing w:after="0"/>
      </w:pPr>
      <w:r>
        <w:rPr>
          <w:sz w:val="4"/>
        </w:rPr>
        <w:t xml:space="preserve">  </w:t>
      </w:r>
    </w:p>
    <w:p>
      <w:pPr>
        <w:keepLines w:val="true"/>
        <w:widowControl w:val="true"/>
        <w:spacing w:before="440" w:after="0" w:line="245" w:lineRule="auto"/>
      </w:pPr>
      <w:r>
        <w:rPr>
          <w:rFonts w:ascii="Plus Jakarta Sans" w:hAnsi="Plus Jakarta Sans" w:cs="Segoe UI"/>
          <w:b/>
          <w:i w:val="0"/>
          <w:color w:val="0B0E14"/>
          <w:sz w:val="84"/>
          <w:szCs w:val="84"/>
        </w:rPr>
        <w:t>Business Plan</w:t>
      </w:r>
    </w:p>
    <w:p>
      <w:pPr>
        <w:keepLines w:val="true"/>
        <w:widowControl w:val="true"/>
        <w:spacing w:before="120" w:after="320" w:line="312" w:lineRule="auto"/>
      </w:pPr>
      <w:r>
        <w:rPr>
          <w:rFonts w:ascii="Plus Jakarta Sans" w:hAnsi="Plus Jakarta Sans" w:cs="Segoe UI"/>
          <w:b w:val="0"/>
          <w:i w:val="0"/>
          <w:color w:val="3A4050"/>
          <w:sz w:val="29"/>
          <w:szCs w:val="29"/>
        </w:rPr>
        <w:t>Egypt and Saudi Arabia · Years one to three</w:t>
      </w:r>
    </w:p>
    <w:p>
      <w:pPr>
        <w:pBdr>
          <w:bottom w:val="single" w:sz="8" w:color="0B0E14"/>
        </w:pBdr>
        <w:spacing w:before="0" w:after="280"/>
      </w:pPr>
    </w:p>
    <w:p>
      <w:pPr>
        <w:keepLines w:val="true"/>
        <w:widowControl w:val="true"/>
        <w:spacing w:before="0" w:after="400" w:line="341" w:lineRule="auto"/>
      </w:pPr>
      <w:r>
        <w:rPr>
          <w:rFonts w:ascii="Plus Jakarta Sans" w:hAnsi="Plus Jakarta Sans" w:cs="Segoe UI"/>
          <w:b w:val="0"/>
          <w:i w:val="0"/>
          <w:color w:val="0B0E14"/>
          <w:sz w:val="22"/>
          <w:szCs w:val="22"/>
        </w:rPr>
        <w:t>A gamified, AI-native venture-building platform that takes MENA founders from a raw idea to a live product in fifteen guided missions — and the six institutional engines built around it.</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$111.4m</w:t>
            </w:r>
          </w:p>
          <w:p>
            <w:pPr>
              <w:spacing w:after="0" w:line="293" w:lineRule="auto"/>
            </w:pPr>
            <w:r>
              <w:rPr>
                <w:rFonts w:ascii="Plus Jakarta Sans" w:hAnsi="Plus Jakarta Sans" w:cs="Segoe UI"/>
                <w:b w:val="0"/>
                <w:i w:val="0"/>
                <w:color w:val="3A4050"/>
                <w:sz w:val="15"/>
                <w:szCs w:val="15"/>
              </w:rPr>
              <w:t>Total addressable market, Egypt and KSA</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$44.3m</w:t>
            </w:r>
          </w:p>
          <w:p>
            <w:pPr>
              <w:spacing w:after="0" w:line="293" w:lineRule="auto"/>
            </w:pPr>
            <w:r>
              <w:rPr>
                <w:rFonts w:ascii="Plus Jakarta Sans" w:hAnsi="Plus Jakarta Sans" w:cs="Segoe UI"/>
                <w:b w:val="0"/>
                <w:i w:val="0"/>
                <w:color w:val="3A4050"/>
                <w:sz w:val="15"/>
                <w:szCs w:val="15"/>
              </w:rPr>
              <w:t>Serviceable available market</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$853k</w:t>
            </w:r>
          </w:p>
          <w:p>
            <w:pPr>
              <w:spacing w:after="0" w:line="293" w:lineRule="auto"/>
            </w:pPr>
            <w:r>
              <w:rPr>
                <w:rFonts w:ascii="Plus Jakarta Sans" w:hAnsi="Plus Jakarta Sans" w:cs="Segoe UI"/>
                <w:b w:val="0"/>
                <w:i w:val="0"/>
                <w:color w:val="3A4050"/>
                <w:sz w:val="15"/>
                <w:szCs w:val="15"/>
              </w:rPr>
              <w:t>Year-one revenue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96%</w:t>
            </w:r>
          </w:p>
          <w:p>
            <w:pPr>
              <w:spacing w:after="0" w:line="293" w:lineRule="auto"/>
            </w:pPr>
            <w:r>
              <w:rPr>
                <w:rFonts w:ascii="Plus Jakarta Sans" w:hAnsi="Plus Jakarta Sans" w:cs="Segoe UI"/>
                <w:b w:val="0"/>
                <w:i w:val="0"/>
                <w:color w:val="3A4050"/>
                <w:sz w:val="15"/>
                <w:szCs w:val="15"/>
              </w:rPr>
              <w:t>Institutional revenue</w:t>
            </w:r>
          </w:p>
        </w:tc>
      </w:tr>
    </w:tbl>
    <w:p>
      <w:pPr>
        <w:keepLines w:val="true"/>
        <w:widowControl w:val="true"/>
        <w:spacing w:before="0" w:after="160" w:line="322" w:lineRule="auto"/>
      </w:pPr>
    </w:p>
    <w:p>
      <w:pPr>
        <w:keepLines w:val="true"/>
        <w:widowControl w:val="true"/>
        <w:spacing w:before="0" w:after="560" w:line="322" w:lineRule="auto"/>
      </w:pPr>
    </w:p>
    <w:tbl>
      <w:tblPr>
        <w:tblW w:type="auto" w:w="0"/>
        <w:tblBorders>
          <w:top w:val="single" w:sz="2" w:color="FFFFFF"/>
          <w:left w:val="single" w:sz="2" w:color="FFFFFF"/>
          <w:bottom w:val="single" w:sz="2" w:color="FFFFFF"/>
          <w:right w:val="single" w:sz="2" w:color="FFFFFF"/>
          <w:insideH w:val="single" w:sz="2" w:color="FFFFFF"/>
          <w:insideV w:val="single" w:sz="2" w:color="FFFFFF"/>
        </w:tblBorders>
        <w:tblLook w:firstColumn="1" w:firstRow="1" w:lastColumn="0" w:lastRow="0" w:noHBand="0" w:noVBand="1" w:val="04A0"/>
      </w:tblPr>
      <w:tblGrid>
        <w:gridCol w:w="4706"/>
        <w:gridCol w:w="4706"/>
      </w:tblGrid>
      <w:tr>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PLANNING PERIOD</w:t>
            </w:r>
          </w:p>
          <w:p>
            <w:pPr>
              <w:spacing w:after="0"/>
            </w:pPr>
            <w:r>
              <w:rPr>
                <w:rFonts w:ascii="Plus Jakarta Sans" w:hAnsi="Plus Jakarta Sans" w:cs="Segoe UI"/>
                <w:b/>
                <w:i w:val="0"/>
                <w:color w:val="0B0E14"/>
                <w:sz w:val="19"/>
                <w:szCs w:val="19"/>
              </w:rPr>
              <w:t>October 2026 – September 2029</w:t>
            </w:r>
          </w:p>
        </w:tc>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MARKETS</w:t>
            </w:r>
          </w:p>
          <w:p>
            <w:pPr>
              <w:spacing w:after="0"/>
            </w:pPr>
            <w:r>
              <w:rPr>
                <w:rFonts w:ascii="Plus Jakarta Sans" w:hAnsi="Plus Jakarta Sans" w:cs="Segoe UI"/>
                <w:b/>
                <w:i w:val="0"/>
                <w:color w:val="0B0E14"/>
                <w:sz w:val="19"/>
                <w:szCs w:val="19"/>
              </w:rPr>
              <w:t>Egypt · Saudi Arabia</w:t>
            </w:r>
          </w:p>
        </w:tc>
      </w:tr>
    </w:tbl>
    <w:p>
      <w:r>
        <w:br w:type="page"/>
      </w:r>
    </w:p>
    <w:p>
      <w:pPr>
        <w:keepLines w:val="true"/>
        <w:widowControl w:val="true"/>
        <w:spacing w:before="0" w:after="80" w:line="322" w:lineRule="auto"/>
      </w:pPr>
      <w:r>
        <w:rPr>
          <w:rFonts w:ascii="Plus Jakarta Sans" w:hAnsi="Plus Jakarta Sans" w:cs="Segoe UI"/>
          <w:b/>
          <w:i w:val="0"/>
          <w:color w:val="0B0E14"/>
          <w:sz w:val="38"/>
          <w:szCs w:val="38"/>
        </w:rPr>
        <w:t>Contents</w:t>
      </w:r>
    </w:p>
    <w:p>
      <w:pPr>
        <w:pBdr>
          <w:bottom w:val="single" w:sz="10" w:color="3418E0"/>
        </w:pBdr>
        <w:spacing w:before="0" w:after="200"/>
      </w:pPr>
    </w:p>
    <w:tbl>
      <w:tblPr>
        <w:tblW w:type="dxa" w:w="9412"/>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538"/>
        <w:gridCol w:w="3657"/>
        <w:gridCol w:w="5216"/>
      </w:tblGrid>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Executive summary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Six engines, what each is worth, and why subscriptions are the smallest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The company and the product</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StartPad is, and what makes it sellable to an institution</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 study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TAM and SAM built per engine, from the organisations that sign the contract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The six revenue engines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each sells, who signs, what it is worth and how it scales</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Engine 1 — University cohorts and licences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The flagship: pilot to cohort to parallel groups to faculty licence</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06</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Engine 2 — Sponsored seats in national initiatives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The scale engine: million-founder programmes with no delivery capacity</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07</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Engine 3 — Sponsored competitions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Why a competition is a revenue line, not a marketing cost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08</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Competition and positioning</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a buyer uses instead, and why it does not close the gap</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09</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Go-to-market plan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Five moves, four phases, two markets, and the institutional pipeline</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10</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Demand generation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Making a dean take the meeting — not buying consumers</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Organisation and HR plan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Every role, when it is hired, what it costs and why in that order</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Operational plan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has to be true for the go-to-market plan to be deliverable</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Financial plan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Three years of revenue, cost and cash, and the raise</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Risks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The ones most likely to break this, and what absorbs each</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Milestones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has to be true at the end of each quarter</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16</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Appendix — assumptions and sources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Every input, so the inputs can be argued with</w:t>
            </w:r>
          </w:p>
        </w:tc>
      </w:tr>
    </w:tbl>
    <w:p>
      <w:r>
        <w:br w:type="page"/>
      </w:r>
    </w:p>
    <w:p>
      <w:pPr>
        <w:keepNext/>
        <w:spacing w:before="0" w:after="20"/>
      </w:pPr>
      <w:r>
        <w:rPr>
          <w:rFonts w:ascii="Plus Jakarta Sans" w:hAnsi="Plus Jakarta Sans" w:cs="Segoe UI"/>
          <w:b/>
          <w:i w:val="0"/>
          <w:color w:val="3418E0"/>
          <w:spacing w:val="28"/>
          <w:sz w:val="16"/>
          <w:szCs w:val="16"/>
        </w:rPr>
        <w:t>SECTION 01</w:t>
      </w:r>
    </w:p>
    <w:p>
      <w:pPr>
        <w:keepNext/>
        <w:spacing w:before="40" w:after="120"/>
      </w:pPr>
      <w:r>
        <w:rPr>
          <w:rFonts w:ascii="Plus Jakarta Sans" w:hAnsi="Plus Jakarta Sans" w:cs="Segoe UI"/>
          <w:b/>
          <w:i w:val="0"/>
          <w:color w:val="0B0E14"/>
          <w:sz w:val="42"/>
          <w:szCs w:val="42"/>
        </w:rPr>
        <w:t>Executive summary</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StartPad sells readiness to organisations that need a group of young people prepared — universities, national initiatives, competition sponsors, corporates and startup programmes. Founders who pay for themselves are the smallest line in the plan and a consequence of the others, not a channel. This document sets out the six engines, what each is worth, and what has to be true operationally to run them.</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$111.4m</w:t>
            </w:r>
          </w:p>
          <w:p>
            <w:pPr>
              <w:spacing w:after="0" w:line="293" w:lineRule="auto"/>
            </w:pPr>
            <w:r>
              <w:rPr>
                <w:rFonts w:ascii="Plus Jakarta Sans" w:hAnsi="Plus Jakarta Sans" w:cs="Segoe UI"/>
                <w:b w:val="0"/>
                <w:i w:val="0"/>
                <w:color w:val="3A4050"/>
                <w:sz w:val="15"/>
                <w:szCs w:val="15"/>
              </w:rPr>
              <w:t>TAM · Egypt and KSA</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$44.3m</w:t>
            </w:r>
          </w:p>
          <w:p>
            <w:pPr>
              <w:spacing w:after="0" w:line="293" w:lineRule="auto"/>
            </w:pPr>
            <w:r>
              <w:rPr>
                <w:rFonts w:ascii="Plus Jakarta Sans" w:hAnsi="Plus Jakarta Sans" w:cs="Segoe UI"/>
                <w:b w:val="0"/>
                <w:i w:val="0"/>
                <w:color w:val="3A4050"/>
                <w:sz w:val="15"/>
                <w:szCs w:val="15"/>
              </w:rPr>
              <w:t>SAM · reachable, with a budget</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$853k</w:t>
            </w:r>
          </w:p>
          <w:p>
            <w:pPr>
              <w:spacing w:after="0" w:line="293" w:lineRule="auto"/>
            </w:pPr>
            <w:r>
              <w:rPr>
                <w:rFonts w:ascii="Plus Jakarta Sans" w:hAnsi="Plus Jakarta Sans" w:cs="Segoe UI"/>
                <w:b w:val="0"/>
                <w:i w:val="0"/>
                <w:color w:val="3A4050"/>
                <w:sz w:val="15"/>
                <w:szCs w:val="15"/>
              </w:rPr>
              <w:t>Year-one revenue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96%</w:t>
            </w:r>
          </w:p>
          <w:p>
            <w:pPr>
              <w:spacing w:after="0" w:line="293" w:lineRule="auto"/>
            </w:pPr>
            <w:r>
              <w:rPr>
                <w:rFonts w:ascii="Plus Jakarta Sans" w:hAnsi="Plus Jakarta Sans" w:cs="Segoe UI"/>
                <w:b w:val="0"/>
                <w:i w:val="0"/>
                <w:color w:val="3A4050"/>
                <w:sz w:val="15"/>
                <w:szCs w:val="15"/>
              </w:rPr>
              <w:t>Institutional</w:t>
            </w:r>
          </w:p>
        </w:tc>
      </w:tr>
    </w:tbl>
    <w:p>
      <w:pPr>
        <w:keepLines w:val="true"/>
        <w:widowControl w:val="true"/>
        <w:spacing w:before="0" w:after="16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Six engines, and they are not equal</w:t>
      </w:r>
    </w:p>
    <w:p>
      <w:pPr>
        <w:keepNext/>
        <w:spacing w:before="160" w:after="60"/>
        <w:jc w:val="center"/>
      </w:pPr>
      <w:r>
        <w:drawing>
          <wp:inline xmlns:a="http://schemas.openxmlformats.org/drawingml/2006/main" xmlns:pic="http://schemas.openxmlformats.org/drawingml/2006/picture">
            <wp:extent cx="5976000" cy="3126422"/>
            <wp:docPr id="2" name="Picture 2"/>
            <wp:cNvGraphicFramePr>
              <a:graphicFrameLocks noChangeAspect="1"/>
            </wp:cNvGraphicFramePr>
            <a:graphic>
              <a:graphicData uri="http://schemas.openxmlformats.org/drawingml/2006/picture">
                <pic:pic>
                  <pic:nvPicPr>
                    <pic:cNvPr id="0" name="revenue_engines.png"/>
                    <pic:cNvPicPr/>
                  </pic:nvPicPr>
                  <pic:blipFill>
                    <a:blip r:embed="rId12"/>
                    <a:stretch>
                      <a:fillRect/>
                    </a:stretch>
                  </pic:blipFill>
                  <pic:spPr>
                    <a:xfrm>
                      <a:off x="0" y="0"/>
                      <a:ext cx="5976000" cy="3126422"/>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Revenue by engine across three years. The business is institutional in every year; subscriptions never become the point.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76"/>
        <w:gridCol w:w="3096"/>
        <w:gridCol w:w="1362"/>
        <w:gridCol w:w="1362"/>
        <w:gridCol w:w="1114"/>
      </w:tblGrid>
      <w:tr>
        <w:trPr>
          <w:tblHeader w:val="true"/>
        </w:trPr>
        <w:tc>
          <w:tcPr>
            <w:tcW w:type="dxa" w:w="24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30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signs the contract</w:t>
            </w:r>
          </w:p>
        </w:tc>
        <w:tc>
          <w:tcPr>
            <w:tcW w:type="dxa" w:w="13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3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1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Y3</w:t>
            </w:r>
          </w:p>
        </w:tc>
      </w:tr>
      <w:tr>
        <w:trPr>
          <w:cantSplit w:val="true"/>
        </w:trPr>
        <w:tc>
          <w:tcPr>
            <w:tcW w:type="dxa" w:w="24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30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dean, an entrepreneurship centre or a capstone coordinator</w:t>
            </w:r>
          </w:p>
        </w:tc>
        <w:tc>
          <w:tcPr>
            <w:tcW w:type="dxa" w:w="13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$470k</w:t>
            </w:r>
          </w:p>
        </w:tc>
        <w:tc>
          <w:tcPr>
            <w:tcW w:type="dxa" w:w="13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$3.2m</w:t>
            </w:r>
          </w:p>
        </w:tc>
        <w:tc>
          <w:tcPr>
            <w:tcW w:type="dxa" w:w="11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w:t>
            </w:r>
          </w:p>
        </w:tc>
      </w:tr>
      <w:tr>
        <w:trPr>
          <w:cantSplit w:val="true"/>
        </w:trPr>
        <w:tc>
          <w:tcPr>
            <w:tcW w:type="dxa" w:w="24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 in national initiatives</w:t>
            </w:r>
          </w:p>
        </w:tc>
        <w:tc>
          <w:tcPr>
            <w:tcW w:type="dxa" w:w="30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ministry, a donor or a national programme office</w:t>
            </w:r>
          </w:p>
        </w:tc>
        <w:tc>
          <w:tcPr>
            <w:tcW w:type="dxa" w:w="13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$156k</w:t>
            </w:r>
          </w:p>
        </w:tc>
        <w:tc>
          <w:tcPr>
            <w:tcW w:type="dxa" w:w="13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$2.2m</w:t>
            </w:r>
          </w:p>
        </w:tc>
        <w:tc>
          <w:tcPr>
            <w:tcW w:type="dxa" w:w="11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r>
      <w:tr>
        <w:trPr>
          <w:cantSplit w:val="true"/>
        </w:trPr>
        <w:tc>
          <w:tcPr>
            <w:tcW w:type="dxa" w:w="24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30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bank, a telco, a ministry or a foundation</w:t>
            </w:r>
          </w:p>
        </w:tc>
        <w:tc>
          <w:tcPr>
            <w:tcW w:type="dxa" w:w="13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$112k</w:t>
            </w:r>
          </w:p>
        </w:tc>
        <w:tc>
          <w:tcPr>
            <w:tcW w:type="dxa" w:w="13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$1.2m</w:t>
            </w:r>
          </w:p>
        </w:tc>
        <w:tc>
          <w:tcPr>
            <w:tcW w:type="dxa" w:w="11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r>
      <w:tr>
        <w:trPr>
          <w:cantSplit w:val="true"/>
        </w:trPr>
        <w:tc>
          <w:tcPr>
            <w:tcW w:type="dxa" w:w="24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30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corporate CSR or innovation budget holder</w:t>
            </w:r>
          </w:p>
        </w:tc>
        <w:tc>
          <w:tcPr>
            <w:tcW w:type="dxa" w:w="13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$45k</w:t>
            </w:r>
          </w:p>
        </w:tc>
        <w:tc>
          <w:tcPr>
            <w:tcW w:type="dxa" w:w="13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$840k</w:t>
            </w:r>
          </w:p>
        </w:tc>
        <w:tc>
          <w:tcPr>
            <w:tcW w:type="dxa" w:w="11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24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30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incubator or accelerator director</w:t>
            </w:r>
          </w:p>
        </w:tc>
        <w:tc>
          <w:tcPr>
            <w:tcW w:type="dxa" w:w="13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$34k</w:t>
            </w:r>
          </w:p>
        </w:tc>
        <w:tc>
          <w:tcPr>
            <w:tcW w:type="dxa" w:w="13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$337k</w:t>
            </w:r>
          </w:p>
        </w:tc>
        <w:tc>
          <w:tcPr>
            <w:tcW w:type="dxa" w:w="11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r>
      <w:tr>
        <w:trPr>
          <w:cantSplit w:val="true"/>
        </w:trPr>
        <w:tc>
          <w:tcPr>
            <w:tcW w:type="dxa" w:w="24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30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out of their own pocket</w:t>
            </w:r>
          </w:p>
        </w:tc>
        <w:tc>
          <w:tcPr>
            <w:tcW w:type="dxa" w:w="13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$36k</w:t>
            </w:r>
          </w:p>
        </w:tc>
        <w:tc>
          <w:tcPr>
            <w:tcW w:type="dxa" w:w="13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$541k</w:t>
            </w:r>
          </w:p>
        </w:tc>
        <w:tc>
          <w:tcPr>
            <w:tcW w:type="dxa" w:w="11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r>
      <w:tr>
        <w:trPr>
          <w:cantSplit w:val="true"/>
        </w:trPr>
        <w:tc>
          <w:tcPr>
            <w:tcW w:type="dxa" w:w="247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3096"/>
            <w:shd w:val="clear" w:fill="CBF24A"/>
            <w:tcMar>
              <w:top w:w="73" w:type="dxa"/>
              <w:start w:w="90" w:type="dxa"/>
              <w:bottom w:w="73" w:type="dxa"/>
              <w:end w:w="79" w:type="dxa"/>
            </w:tcMar>
          </w:tcPr>
          <w:p>
            <w:pPr>
              <w:spacing w:after="0" w:line="288" w:lineRule="auto"/>
            </w:pPr>
          </w:p>
        </w:tc>
        <w:tc>
          <w:tcPr>
            <w:tcW w:type="dxa" w:w="136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$853k</w:t>
            </w:r>
          </w:p>
        </w:tc>
        <w:tc>
          <w:tcPr>
            <w:tcW w:type="dxa" w:w="136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$8.3m</w:t>
            </w:r>
          </w:p>
        </w:tc>
        <w:tc>
          <w:tcPr>
            <w:tcW w:type="dxa" w:w="111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100%</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business in six sentences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val="0"/>
          <w:i w:val="0"/>
          <w:color w:val="0B0E14"/>
          <w:sz w:val="19"/>
          <w:szCs w:val="19"/>
        </w:rPr>
        <w:t xml:space="preserve">StartPad takes a first-time founder from a raw idea to a live product through </w:t>
      </w:r>
      <w:r>
        <w:rPr>
          <w:rFonts w:ascii="Plus Jakarta Sans" w:hAnsi="Plus Jakarta Sans" w:cs="Segoe UI"/>
          <w:b/>
          <w:i w:val="0"/>
          <w:color w:val="0B0E14"/>
          <w:sz w:val="19"/>
          <w:szCs w:val="19"/>
        </w:rPr>
        <w:t>fifteen sequenced missions</w:t>
      </w:r>
      <w:r>
        <w:rPr>
          <w:rFonts w:ascii="Plus Jakarta Sans" w:hAnsi="Plus Jakarta Sans" w:cs="Segoe UI"/>
          <w:b w:val="0"/>
          <w:i w:val="0"/>
          <w:color w:val="0B0E14"/>
          <w:sz w:val="19"/>
          <w:szCs w:val="19"/>
        </w:rPr>
        <w:t>, each reviewed by an AI before the next unlocks, with 121 tools mapped to the journey.</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val="0"/>
          <w:i w:val="0"/>
          <w:color w:val="0B0E14"/>
          <w:sz w:val="19"/>
          <w:szCs w:val="19"/>
        </w:rPr>
        <w:t xml:space="preserve">The flagship product is a </w:t>
      </w:r>
      <w:r>
        <w:rPr>
          <w:rFonts w:ascii="Plus Jakarta Sans" w:hAnsi="Plus Jakarta Sans" w:cs="Segoe UI"/>
          <w:b/>
          <w:i w:val="0"/>
          <w:color w:val="0B0E14"/>
          <w:sz w:val="19"/>
          <w:szCs w:val="19"/>
        </w:rPr>
        <w:t>cohort</w:t>
      </w:r>
      <w:r>
        <w:rPr>
          <w:rFonts w:ascii="Plus Jakarta Sans" w:hAnsi="Plus Jakarta Sans" w:cs="Segoe UI"/>
          <w:b w:val="0"/>
          <w:i w:val="0"/>
          <w:color w:val="0B0E14"/>
          <w:sz w:val="19"/>
          <w:szCs w:val="19"/>
        </w:rPr>
        <w:t>: $7,500 buys a 6-day in-person bootcamp for 25 students, a platform seat for each of them, judging, and a cohort report the institution can act on.</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val="0"/>
          <w:i w:val="0"/>
          <w:color w:val="0B0E14"/>
          <w:sz w:val="19"/>
          <w:szCs w:val="19"/>
        </w:rPr>
        <w:t xml:space="preserve">Above that sits the </w:t>
      </w:r>
      <w:r>
        <w:rPr>
          <w:rFonts w:ascii="Plus Jakarta Sans" w:hAnsi="Plus Jakarta Sans" w:cs="Segoe UI"/>
          <w:b/>
          <w:i w:val="0"/>
          <w:color w:val="0B0E14"/>
          <w:sz w:val="19"/>
          <w:szCs w:val="19"/>
        </w:rPr>
        <w:t>scale engine</w:t>
      </w:r>
      <w:r>
        <w:rPr>
          <w:rFonts w:ascii="Plus Jakarta Sans" w:hAnsi="Plus Jakarta Sans" w:cs="Segoe UI"/>
          <w:b w:val="0"/>
          <w:i w:val="0"/>
          <w:color w:val="0B0E14"/>
          <w:sz w:val="19"/>
          <w:szCs w:val="19"/>
        </w:rPr>
        <w:t xml:space="preserve"> — sponsored seats inside national initiatives that have publicly committed to qualifying a million entrepreneurs and have no method, platform or reporting line to do it with.</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val="0"/>
          <w:i w:val="0"/>
          <w:color w:val="0B0E14"/>
          <w:sz w:val="19"/>
          <w:szCs w:val="19"/>
        </w:rPr>
        <w:t xml:space="preserve">Beside both sit </w:t>
      </w:r>
      <w:r>
        <w:rPr>
          <w:rFonts w:ascii="Plus Jakarta Sans" w:hAnsi="Plus Jakarta Sans" w:cs="Segoe UI"/>
          <w:b/>
          <w:i w:val="0"/>
          <w:color w:val="0B0E14"/>
          <w:sz w:val="19"/>
          <w:szCs w:val="19"/>
        </w:rPr>
        <w:t>sponsored competitions</w:t>
      </w:r>
      <w:r>
        <w:rPr>
          <w:rFonts w:ascii="Plus Jakarta Sans" w:hAnsi="Plus Jakarta Sans" w:cs="Segoe UI"/>
          <w:b w:val="0"/>
          <w:i w:val="0"/>
          <w:color w:val="0B0E14"/>
          <w:sz w:val="19"/>
          <w:szCs w:val="19"/>
        </w:rPr>
        <w:t>, where a bank or a ministry pays for the platform to run entry, qualification and judging — turning what most companies treat as a marketing cost into a 15% revenue line.</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val="0"/>
          <w:i w:val="0"/>
          <w:color w:val="0B0E14"/>
          <w:sz w:val="19"/>
          <w:szCs w:val="19"/>
        </w:rPr>
        <w:t>Year one delivers 56 paid cohorts, 6,000 sponsored seats and 4 competitions for $853k against a loss of $218k; breakeven comes in year two and a 31% operating margin in year three.</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val="0"/>
          <w:i w:val="0"/>
          <w:color w:val="0B0E14"/>
          <w:sz w:val="19"/>
          <w:szCs w:val="19"/>
        </w:rPr>
        <w:t>The raise is $750k, which is small for a business reaching $8.3m because every institutional engine invoices before it delivers.</w:t>
      </w:r>
    </w:p>
    <w:p>
      <w:r>
        <w:br w:type="page"/>
      </w:r>
    </w:p>
    <w:p>
      <w:pPr>
        <w:keepNext/>
        <w:keepLines w:val="true"/>
        <w:widowControl w:val="true"/>
        <w:spacing w:before="300" w:after="100" w:line="288" w:lineRule="auto"/>
      </w:pPr>
      <w:r>
        <w:rPr>
          <w:rFonts w:ascii="Plus Jakarta Sans" w:hAnsi="Plus Jakarta Sans" w:cs="Segoe UI"/>
          <w:b/>
          <w:i w:val="0"/>
          <w:color w:val="0B0E14"/>
          <w:sz w:val="26"/>
          <w:szCs w:val="26"/>
        </w:rPr>
        <w:t>Why subscriptions are the smallest line, and should be</w:t>
      </w:r>
    </w:p>
    <w:p>
      <w:pPr>
        <w:keepLines w:val="true"/>
        <w:widowControl w:val="true"/>
        <w:spacing w:before="0" w:after="100" w:line="322" w:lineRule="auto"/>
      </w:pPr>
      <w:r>
        <w:rPr>
          <w:rFonts w:ascii="Plus Jakarta Sans" w:hAnsi="Plus Jakarta Sans" w:cs="Segoe UI"/>
          <w:b w:val="0"/>
          <w:i w:val="0"/>
          <w:color w:val="0B0E14"/>
          <w:sz w:val="19"/>
          <w:szCs w:val="19"/>
        </w:rPr>
        <w:t>A founder subscription is worth $125 over its life. A national initiative partnership is worth $279k. One costs $34 to win and the other $22k — a ratio of 1 to 647 on effort, against a value ratio of 1 to 2,225. The institutional deal returns more than twenty times as much per unit of effort spent winning it.</w:t>
      </w:r>
    </w:p>
    <w:p>
      <w:pPr>
        <w:keepNext/>
        <w:spacing w:before="160" w:after="60"/>
        <w:jc w:val="center"/>
      </w:pPr>
      <w:r>
        <w:drawing>
          <wp:inline xmlns:a="http://schemas.openxmlformats.org/drawingml/2006/main" xmlns:pic="http://schemas.openxmlformats.org/drawingml/2006/picture">
            <wp:extent cx="5976000" cy="2277363"/>
            <wp:docPr id="3" name="Picture 3"/>
            <wp:cNvGraphicFramePr>
              <a:graphicFrameLocks noChangeAspect="1"/>
            </wp:cNvGraphicFramePr>
            <a:graphic>
              <a:graphicData uri="http://schemas.openxmlformats.org/drawingml/2006/picture">
                <pic:pic>
                  <pic:nvPicPr>
                    <pic:cNvPr id="0" name="engine_economics.png"/>
                    <pic:cNvPicPr/>
                  </pic:nvPicPr>
                  <pic:blipFill>
                    <a:blip r:embed="rId13"/>
                    <a:stretch>
                      <a:fillRect/>
                    </a:stretch>
                  </pic:blipFill>
                  <pic:spPr>
                    <a:xfrm>
                      <a:off x="0" y="0"/>
                      <a:ext cx="5976000" cy="2277363"/>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What it costs to win each kind of customer, against what that customer is worth over its life. The scale is the argument.</w:t>
      </w:r>
    </w:p>
    <w:p>
      <w:pPr>
        <w:keepLines w:val="true"/>
        <w:widowControl w:val="true"/>
        <w:spacing w:before="0" w:after="100" w:line="322" w:lineRule="auto"/>
      </w:pPr>
      <w:r>
        <w:rPr>
          <w:rFonts w:ascii="Plus Jakarta Sans" w:hAnsi="Plus Jakarta Sans" w:cs="Segoe UI"/>
          <w:b w:val="0"/>
          <w:i w:val="0"/>
          <w:color w:val="0B0E14"/>
          <w:sz w:val="19"/>
          <w:szCs w:val="19"/>
        </w:rPr>
        <w:t>This is not an argument for abandoning subscriptions. It is an argument about where they come from. 72% of year-one subscribers are people StartPad first met inside a cohort, a competition or a sponsored programme — they completed ten missions with an organisation paying, then paid themselves to finish the last five. Acquiring the same person cold through advertising costs more than they are worth.</w:t>
      </w:r>
    </w:p>
    <w:p>
      <w:pPr>
        <w:keepNext/>
        <w:keepLines w:val="true"/>
        <w:widowControl w:val="true"/>
        <w:spacing w:before="300" w:after="100" w:line="288" w:lineRule="auto"/>
      </w:pPr>
      <w:r>
        <w:rPr>
          <w:rFonts w:ascii="Plus Jakarta Sans" w:hAnsi="Plus Jakarta Sans" w:cs="Segoe UI"/>
          <w:b/>
          <w:i w:val="0"/>
          <w:color w:val="0B0E14"/>
          <w:sz w:val="26"/>
          <w:szCs w:val="26"/>
        </w:rPr>
        <w:t>What this plan concludes</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to the budget holder, not the beneficiary</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 both markets the person who benefits — a student — has almost no money, and the person with the budget — a dean, a ministry, a bank's CSR committee — has a reporting problem StartPad solves. Every engine in this plan is built on that asymmetry.</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Competitions are revenue, not marketing</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competition sponsored at $28,000 with 61% gross margin reaches roughly 700 entrants, every one of whom opens an account, and leaves behind both a university relationship and a sponsor relationship. Treating it as an acquisition cost gets the sign wrong.</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binding constraint is facilitators, not demand</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 xml:space="preserve">The year-one plan peaks at 11 facilitators in the final quarter, and a certified pair runs 18 cohorts a year. Certification is the first operational priority, ahead of sales — and the seat and competition engines matter partly because they scale </w:t>
      </w:r>
      <w:r>
        <w:rPr>
          <w:rFonts w:ascii="Plus Jakarta Sans" w:hAnsi="Plus Jakarta Sans" w:cs="Segoe UI"/>
          <w:b/>
          <w:i w:val="0"/>
          <w:color w:val="3A4050"/>
          <w:sz w:val="19"/>
          <w:szCs w:val="19"/>
        </w:rPr>
        <w:t>past</w:t>
      </w:r>
      <w:r>
        <w:rPr>
          <w:rFonts w:ascii="Plus Jakarta Sans" w:hAnsi="Plus Jakarta Sans" w:cs="Segoe UI"/>
          <w:b w:val="0"/>
          <w:i w:val="0"/>
          <w:color w:val="3A4050"/>
          <w:sz w:val="19"/>
          <w:szCs w:val="19"/>
        </w:rPr>
        <w:t xml:space="preserve"> that constraint.</w:t>
      </w:r>
    </w:p>
    <w:p>
      <w:pPr>
        <w:keepNext/>
        <w:keepLines w:val="true"/>
        <w:widowControl w:val="true"/>
        <w:spacing w:before="300" w:after="100" w:line="288" w:lineRule="auto"/>
      </w:pPr>
      <w:r>
        <w:rPr>
          <w:rFonts w:ascii="Plus Jakarta Sans" w:hAnsi="Plus Jakarta Sans" w:cs="Segoe UI"/>
          <w:b/>
          <w:i w:val="0"/>
          <w:color w:val="0B0E14"/>
          <w:sz w:val="26"/>
          <w:szCs w:val="26"/>
        </w:rPr>
        <w:t>The shape of the three years</w:t>
      </w:r>
    </w:p>
    <w:p>
      <w:pPr>
        <w:keepNext/>
        <w:spacing w:before="160" w:after="60"/>
        <w:jc w:val="center"/>
      </w:pPr>
      <w:r>
        <w:drawing>
          <wp:inline xmlns:a="http://schemas.openxmlformats.org/drawingml/2006/main" xmlns:pic="http://schemas.openxmlformats.org/drawingml/2006/picture">
            <wp:extent cx="5976000" cy="2732719"/>
            <wp:docPr id="4" name="Picture 4"/>
            <wp:cNvGraphicFramePr>
              <a:graphicFrameLocks noChangeAspect="1"/>
            </wp:cNvGraphicFramePr>
            <a:graphic>
              <a:graphicData uri="http://schemas.openxmlformats.org/drawingml/2006/picture">
                <pic:pic>
                  <pic:nvPicPr>
                    <pic:cNvPr id="0" name="pl.png"/>
                    <pic:cNvPicPr/>
                  </pic:nvPicPr>
                  <pic:blipFill>
                    <a:blip r:embed="rId14"/>
                    <a:stretch>
                      <a:fillRect/>
                    </a:stretch>
                  </pic:blipFill>
                  <pic:spPr>
                    <a:xfrm>
                      <a:off x="0" y="0"/>
                      <a:ext cx="5976000" cy="2732719"/>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Revenue against operating cost. Year one is funded; year two pays for itself; year three carries the margin.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40"/>
        <w:gridCol w:w="2324"/>
        <w:gridCol w:w="2324"/>
        <w:gridCol w:w="2324"/>
      </w:tblGrid>
      <w:tr>
        <w:trPr>
          <w:tblHeader w:val="true"/>
        </w:trPr>
        <w:tc>
          <w:tcPr>
            <w:tcW w:type="dxa" w:w="2440"/>
            <w:shd w:val="clear" w:fill="0B0E14"/>
            <w:tcMar>
              <w:top w:w="79" w:type="dxa"/>
              <w:start w:w="90" w:type="dxa"/>
              <w:bottom w:w="79" w:type="dxa"/>
              <w:end w:w="79" w:type="dxa"/>
            </w:tcMar>
          </w:tcPr>
          <w:p>
            <w:pPr>
              <w:spacing w:after="0" w:line="278" w:lineRule="auto"/>
            </w:pPr>
          </w:p>
        </w:tc>
        <w:tc>
          <w:tcPr>
            <w:tcW w:type="dxa" w:w="23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 · 2026/27</w:t>
            </w:r>
          </w:p>
        </w:tc>
        <w:tc>
          <w:tcPr>
            <w:tcW w:type="dxa" w:w="23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 · 2027/28</w:t>
            </w:r>
          </w:p>
        </w:tc>
        <w:tc>
          <w:tcPr>
            <w:tcW w:type="dxa" w:w="23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 · 2028/29</w:t>
            </w:r>
          </w:p>
        </w:tc>
      </w:tr>
      <w:tr>
        <w:trPr>
          <w:cantSplit w:val="true"/>
        </w:trPr>
        <w:tc>
          <w:tcPr>
            <w:tcW w:type="dxa" w:w="244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$853k</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$3.2m</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$8.3m</w:t>
            </w:r>
          </w:p>
        </w:tc>
      </w:tr>
      <w:tr>
        <w:trPr>
          <w:cantSplit w:val="true"/>
        </w:trPr>
        <w:tc>
          <w:tcPr>
            <w:tcW w:type="dxa" w:w="244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share</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w:t>
            </w:r>
          </w:p>
        </w:tc>
      </w:tr>
      <w:tr>
        <w:trPr>
          <w:cantSplit w:val="true"/>
        </w:trPr>
        <w:tc>
          <w:tcPr>
            <w:tcW w:type="dxa" w:w="244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cost</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$1.1m</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$2.8m</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$5.7m</w:t>
            </w:r>
          </w:p>
        </w:tc>
      </w:tr>
      <w:tr>
        <w:trPr>
          <w:cantSplit w:val="true"/>
        </w:trPr>
        <w:tc>
          <w:tcPr>
            <w:tcW w:type="dxa" w:w="244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Result</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−$218k</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+$409k</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+$2.6m</w:t>
            </w:r>
          </w:p>
        </w:tc>
      </w:tr>
      <w:tr>
        <w:trPr>
          <w:cantSplit w:val="true"/>
        </w:trPr>
        <w:tc>
          <w:tcPr>
            <w:tcW w:type="dxa" w:w="244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margin</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23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w:t>
            </w:r>
          </w:p>
        </w:tc>
      </w:tr>
      <w:tr>
        <w:trPr>
          <w:cantSplit w:val="true"/>
        </w:trPr>
        <w:tc>
          <w:tcPr>
            <w:tcW w:type="dxa" w:w="244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Employees at year end</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w:t>
            </w:r>
          </w:p>
        </w:tc>
        <w:tc>
          <w:tcPr>
            <w:tcW w:type="dxa" w:w="23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118</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 xml:space="preserve">Every figure in this plan is computed from one assumption set, held in </w:t>
      </w:r>
      <w:r>
        <w:rPr>
          <w:rFonts w:ascii="Plus Jakarta Sans" w:hAnsi="Plus Jakarta Sans" w:cs="Segoe UI"/>
          <w:b/>
          <w:i w:val="0"/>
          <w:color w:val="3A4050"/>
          <w:sz w:val="18"/>
          <w:szCs w:val="18"/>
        </w:rPr>
        <w:t>business_plan/model.py</w:t>
      </w:r>
      <w:r>
        <w:rPr>
          <w:rFonts w:ascii="Plus Jakarta Sans" w:hAnsi="Plus Jakarta Sans" w:cs="Segoe UI"/>
          <w:b w:val="0"/>
          <w:i w:val="0"/>
          <w:color w:val="3A4050"/>
          <w:sz w:val="18"/>
          <w:szCs w:val="18"/>
        </w:rPr>
        <w:t xml:space="preserve"> and listed in full in the appendix. No number is typed into a sentence; change an assumption and the sentence, the table and the chart move together.</w:t>
      </w:r>
    </w:p>
    <w:p>
      <w:pPr>
        <w:keepNext/>
        <w:pageBreakBefore w:val="true"/>
        <w:spacing w:before="0" w:after="20"/>
      </w:pPr>
      <w:r>
        <w:rPr>
          <w:rFonts w:ascii="Plus Jakarta Sans" w:hAnsi="Plus Jakarta Sans" w:cs="Segoe UI"/>
          <w:b/>
          <w:i w:val="0"/>
          <w:color w:val="3418E0"/>
          <w:spacing w:val="28"/>
          <w:sz w:val="16"/>
          <w:szCs w:val="16"/>
        </w:rPr>
        <w:t>SECTION 02</w:t>
      </w:r>
    </w:p>
    <w:p>
      <w:pPr>
        <w:keepNext/>
        <w:spacing w:before="40" w:after="120"/>
      </w:pPr>
      <w:r>
        <w:rPr>
          <w:rFonts w:ascii="Plus Jakarta Sans" w:hAnsi="Plus Jakarta Sans" w:cs="Segoe UI"/>
          <w:b/>
          <w:i w:val="0"/>
          <w:color w:val="0B0E14"/>
          <w:sz w:val="42"/>
          <w:szCs w:val="42"/>
        </w:rPr>
        <w:t>The company and the product</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What StartPad is, and why a sequenced journey with a review gate is something an institution will pay for when a library of templates is not.</w:t>
      </w:r>
    </w:p>
    <w:p>
      <w:pPr>
        <w:keepNext/>
        <w:keepLines w:val="true"/>
        <w:widowControl w:val="true"/>
        <w:spacing w:before="300" w:after="100" w:line="288" w:lineRule="auto"/>
      </w:pPr>
      <w:r>
        <w:rPr>
          <w:rFonts w:ascii="Plus Jakarta Sans" w:hAnsi="Plus Jakarta Sans" w:cs="Segoe UI"/>
          <w:b/>
          <w:i w:val="0"/>
          <w:color w:val="0B0E14"/>
          <w:sz w:val="26"/>
          <w:szCs w:val="26"/>
        </w:rPr>
        <w:t>The problem</w:t>
      </w:r>
    </w:p>
    <w:p>
      <w:pPr>
        <w:keepLines w:val="true"/>
        <w:widowControl w:val="true"/>
        <w:spacing w:before="0" w:after="100" w:line="322" w:lineRule="auto"/>
      </w:pPr>
      <w:r>
        <w:rPr>
          <w:rFonts w:ascii="Plus Jakarta Sans" w:hAnsi="Plus Jakarta Sans" w:cs="Segoe UI"/>
          <w:b w:val="0"/>
          <w:i w:val="0"/>
          <w:color w:val="0B0E14"/>
          <w:sz w:val="19"/>
          <w:szCs w:val="19"/>
        </w:rPr>
        <w:t>Ideas are everywhere in MENA. A path to a real startup is not. The gap is method: founders have graduation projects and no process; institutions need founders who are ready and have no way to prepare them; programmes screen applicants who never did the groundwork.</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21%</w:t>
            </w:r>
          </w:p>
          <w:p>
            <w:pPr>
              <w:spacing w:after="0" w:line="293" w:lineRule="auto"/>
            </w:pPr>
            <w:r>
              <w:rPr>
                <w:rFonts w:ascii="Plus Jakarta Sans" w:hAnsi="Plus Jakarta Sans" w:cs="Segoe UI"/>
                <w:b w:val="0"/>
                <w:i w:val="0"/>
                <w:color w:val="3A4050"/>
                <w:sz w:val="15"/>
                <w:szCs w:val="15"/>
              </w:rPr>
              <w:t>of self-described MENA startups meet the minimum criteria to be considered investable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56%</w:t>
            </w:r>
          </w:p>
          <w:p>
            <w:pPr>
              <w:spacing w:after="0" w:line="293" w:lineRule="auto"/>
            </w:pPr>
            <w:r>
              <w:rPr>
                <w:rFonts w:ascii="Plus Jakarta Sans" w:hAnsi="Plus Jakarta Sans" w:cs="Segoe UI"/>
                <w:b w:val="0"/>
                <w:i w:val="0"/>
                <w:color w:val="3A4050"/>
                <w:sz w:val="15"/>
                <w:szCs w:val="15"/>
              </w:rPr>
              <w:t>of MENA pre-seed startups never reach the next stage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68%</w:t>
            </w:r>
          </w:p>
          <w:p>
            <w:pPr>
              <w:spacing w:after="0" w:line="293" w:lineRule="auto"/>
            </w:pPr>
            <w:r>
              <w:rPr>
                <w:rFonts w:ascii="Plus Jakarta Sans" w:hAnsi="Plus Jakarta Sans" w:cs="Segoe UI"/>
                <w:b w:val="0"/>
                <w:i w:val="0"/>
                <w:color w:val="3A4050"/>
                <w:sz w:val="15"/>
                <w:szCs w:val="15"/>
              </w:rPr>
              <w:t>failure rate in Egypt for startups trying to reach Series A — the highest in the region</w:t>
            </w:r>
          </w:p>
        </w:tc>
      </w:tr>
    </w:tbl>
    <w:p>
      <w:pPr>
        <w:keepLines w:val="true"/>
        <w:widowControl w:val="true"/>
        <w:spacing w:before="0" w:after="16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These are one failure, not three. A founder who never defined the problem precisely cannot produce evidence; without evidence they fail a screen; having failed, they conclude the problem was capital. StartPad intervenes at the first step, which is the only step where intervention is cheap — and it is also the step every institution in this plan is already trying and failing to deliver.</w:t>
      </w:r>
    </w:p>
    <w:p>
      <w:pPr>
        <w:keepNext/>
        <w:keepLines w:val="true"/>
        <w:widowControl w:val="true"/>
        <w:spacing w:before="300" w:after="100" w:line="288" w:lineRule="auto"/>
      </w:pPr>
      <w:r>
        <w:rPr>
          <w:rFonts w:ascii="Plus Jakarta Sans" w:hAnsi="Plus Jakarta Sans" w:cs="Segoe UI"/>
          <w:b/>
          <w:i w:val="0"/>
          <w:color w:val="0B0E14"/>
          <w:sz w:val="26"/>
          <w:szCs w:val="26"/>
        </w:rPr>
        <w:t>The product</w:t>
      </w:r>
    </w:p>
    <w:p>
      <w:pPr>
        <w:keepLines w:val="true"/>
        <w:widowControl w:val="true"/>
        <w:spacing w:before="0" w:after="100" w:line="322" w:lineRule="auto"/>
      </w:pPr>
      <w:r>
        <w:rPr>
          <w:rFonts w:ascii="Plus Jakarta Sans" w:hAnsi="Plus Jakarta Sans" w:cs="Segoe UI"/>
          <w:b w:val="0"/>
          <w:i w:val="0"/>
          <w:color w:val="0B0E14"/>
          <w:sz w:val="19"/>
          <w:szCs w:val="19"/>
        </w:rPr>
        <w:t>Fifteen missions across five phases. Each has a brief, a short lesson, five tasks with an explicit standard for what a good answer needs, and an evidence slot. The founder submits; an AI reviews against specificity, depth, evidence, actionability and relevance; at 70% the next mission unlocks. Below 70% they get one highest-gain fix and a full report, with answers kept for the retry.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43"/>
        <w:gridCol w:w="1162"/>
        <w:gridCol w:w="1045"/>
        <w:gridCol w:w="1278"/>
        <w:gridCol w:w="4183"/>
      </w:tblGrid>
      <w:tr>
        <w:trPr>
          <w:tblHeader w:val="true"/>
        </w:trPr>
        <w:tc>
          <w:tcPr>
            <w:tcW w:type="dxa" w:w="17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1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Missions</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Points</w:t>
            </w:r>
          </w:p>
        </w:tc>
        <w:tc>
          <w:tcPr>
            <w:tcW w:type="dxa" w:w="12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 time</w:t>
            </w:r>
          </w:p>
        </w:tc>
        <w:tc>
          <w:tcPr>
            <w:tcW w:type="dxa" w:w="4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produces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Discovery</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01–03</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prioritised problem worth solving</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Validation</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04–06</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tested problem–solution canvas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Business model</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07–09</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11–19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full BMC and a working prototype</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Build and MVP</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10–13</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29–54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shipped MVP with analytics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Launch</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14–15</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live launch and first customers</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4,050 points across the journey. Points and scores are written only on the server with direct writes revoked at the database, so a score is earned rather than claimed — which is what lets an institution treat the record as evidence and a ministry put it in a report.</w:t>
      </w:r>
    </w:p>
    <w:p>
      <w:pPr>
        <w:keepNext/>
        <w:keepLines w:val="true"/>
        <w:widowControl w:val="true"/>
        <w:spacing w:before="300" w:after="100" w:line="288" w:lineRule="auto"/>
      </w:pPr>
      <w:r>
        <w:rPr>
          <w:rFonts w:ascii="Plus Jakarta Sans" w:hAnsi="Plus Jakarta Sans" w:cs="Segoe UI"/>
          <w:b/>
          <w:i w:val="0"/>
          <w:color w:val="0B0E14"/>
          <w:sz w:val="26"/>
          <w:szCs w:val="26"/>
        </w:rPr>
        <w:t>What makes it sellable to an institution</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It produces a reporting line, not a completion rate</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Cohort progress, review states, evidence and follow-up signals, with a downloadable cohort report. Every buyer in this plan has somebody they report to — a dean to an accreditation body, a programme office to a ministry, a CSR team to a board, a sponsor to its marketing committee. A course certificate satisfies none of them.</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sequence is the product</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mission unlocks only when the last one passes. That constraint separates this from a library of templates: a founder cannot skip to the pitch deck before they have a tested problem, which is precisely the mistake the 56% figure measures.</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AI is a co-founder, not a ghostwriter</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It asks the follow-up a good mentor would ask and pushes back on vague answers. It does not write the plan. A tool that writes the answer destroys the only asset the product creates, which is a founder who can defend their own work in front of a judge.</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Built in MENA, in both languages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mission, review and exported PDF works in Arabic with complete right-to-left layout, composed rather than translated — Egyptian colloquial for Egypt, Saudi dialect for the Kingdom. A ministry cannot circulate a report it cannot read.</w:t>
      </w:r>
    </w:p>
    <w:p>
      <w:pPr>
        <w:keepNext/>
        <w:spacing w:before="160" w:after="60"/>
        <w:jc w:val="center"/>
      </w:pPr>
      <w:r>
        <w:drawing>
          <wp:inline xmlns:a="http://schemas.openxmlformats.org/drawingml/2006/main" xmlns:pic="http://schemas.openxmlformats.org/drawingml/2006/picture">
            <wp:extent cx="5976000" cy="3818000"/>
            <wp:docPr id="5" name="Picture 5"/>
            <wp:cNvGraphicFramePr>
              <a:graphicFrameLocks noChangeAspect="1"/>
            </wp:cNvGraphicFramePr>
            <a:graphic>
              <a:graphicData uri="http://schemas.openxmlformats.org/drawingml/2006/picture">
                <pic:pic>
                  <pic:nvPicPr>
                    <pic:cNvPr id="0" name="flywheel.png"/>
                    <pic:cNvPicPr/>
                  </pic:nvPicPr>
                  <pic:blipFill>
                    <a:blip r:embed="rId15"/>
                    <a:stretch>
                      <a:fillRect/>
                    </a:stretch>
                  </pic:blipFill>
                  <pic:spPr>
                    <a:xfrm>
                      <a:off x="0" y="0"/>
                      <a:ext cx="5976000" cy="3818000"/>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Growth compounds through the loop: founders who progress become the stories that win the next campus, the next sponsor and the next programme.</w:t>
      </w:r>
    </w:p>
    <w:p>
      <w:pPr>
        <w:keepNext/>
        <w:pageBreakBefore w:val="true"/>
        <w:spacing w:before="0" w:after="20"/>
      </w:pPr>
      <w:r>
        <w:rPr>
          <w:rFonts w:ascii="Plus Jakarta Sans" w:hAnsi="Plus Jakarta Sans" w:cs="Segoe UI"/>
          <w:b/>
          <w:i w:val="0"/>
          <w:color w:val="3418E0"/>
          <w:spacing w:val="28"/>
          <w:sz w:val="16"/>
          <w:szCs w:val="16"/>
        </w:rPr>
        <w:t>SECTION 03</w:t>
      </w:r>
    </w:p>
    <w:p>
      <w:pPr>
        <w:keepNext/>
        <w:spacing w:before="40" w:after="120"/>
      </w:pPr>
      <w:r>
        <w:rPr>
          <w:rFonts w:ascii="Plus Jakarta Sans" w:hAnsi="Plus Jakarta Sans" w:cs="Segoe UI"/>
          <w:b/>
          <w:i w:val="0"/>
          <w:color w:val="0B0E14"/>
          <w:sz w:val="42"/>
          <w:szCs w:val="42"/>
        </w:rPr>
        <w:t>Market study</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How large each engine is, built from the bottom up — from counted institutions, counted programmes and counted competitions at our own prices, rather than from a share of somebody else's market report.</w:t>
      </w:r>
    </w:p>
    <w:p>
      <w:pPr>
        <w:keepNext/>
        <w:keepLines w:val="true"/>
        <w:widowControl w:val="true"/>
        <w:spacing w:before="300" w:after="100" w:line="288" w:lineRule="auto"/>
      </w:pPr>
      <w:r>
        <w:rPr>
          <w:rFonts w:ascii="Plus Jakarta Sans" w:hAnsi="Plus Jakarta Sans" w:cs="Segoe UI"/>
          <w:b/>
          <w:i w:val="0"/>
          <w:color w:val="0B0E14"/>
          <w:sz w:val="26"/>
          <w:szCs w:val="26"/>
        </w:rPr>
        <w:t>Method</w:t>
      </w:r>
    </w:p>
    <w:p>
      <w:pPr>
        <w:keepLines w:val="true"/>
        <w:widowControl w:val="true"/>
        <w:spacing w:before="0" w:after="100" w:line="322" w:lineRule="auto"/>
      </w:pPr>
      <w:r>
        <w:rPr>
          <w:rFonts w:ascii="Plus Jakarta Sans" w:hAnsi="Plus Jakarta Sans" w:cs="Segoe UI"/>
          <w:b w:val="0"/>
          <w:i w:val="0"/>
          <w:color w:val="0B0E14"/>
          <w:sz w:val="19"/>
          <w:szCs w:val="19"/>
        </w:rPr>
        <w:t xml:space="preserve">A top-down sizing would start from a global edtech figure and take a percentage. That produces a large number and no information. This sizing instead counts, for each engine, </w:t>
      </w:r>
      <w:r>
        <w:rPr>
          <w:rFonts w:ascii="Plus Jakarta Sans" w:hAnsi="Plus Jakarta Sans" w:cs="Segoe UI"/>
          <w:b/>
          <w:i w:val="0"/>
          <w:color w:val="0B0E14"/>
          <w:sz w:val="19"/>
          <w:szCs w:val="19"/>
        </w:rPr>
        <w:t>the organisations that sign the contract</w:t>
      </w:r>
      <w:r>
        <w:rPr>
          <w:rFonts w:ascii="Plus Jakarta Sans" w:hAnsi="Plus Jakarta Sans" w:cs="Segoe UI"/>
          <w:b w:val="0"/>
          <w:i w:val="0"/>
          <w:color w:val="0B0E14"/>
          <w:sz w:val="19"/>
          <w:szCs w:val="19"/>
        </w:rPr>
        <w:t xml:space="preserve"> — buying units, national programmes, competitions, corporates, incubators — applies the filters that decide whether each can plausibly buy, and multiplies by our own prices.</w:t>
      </w:r>
    </w:p>
    <w:p>
      <w:pPr>
        <w:keepLines w:val="true"/>
        <w:widowControl w:val="true"/>
        <w:spacing w:before="0" w:after="100" w:line="322" w:lineRule="auto"/>
      </w:pPr>
      <w:r>
        <w:rPr>
          <w:rFonts w:ascii="Plus Jakarta Sans" w:hAnsi="Plus Jakarta Sans" w:cs="Segoe UI"/>
          <w:b w:val="0"/>
          <w:i w:val="0"/>
          <w:color w:val="0B0E14"/>
          <w:sz w:val="19"/>
          <w:szCs w:val="19"/>
        </w:rPr>
        <w:t>The buyer, not the beneficiary, is the unit of counting. That is the single most important methodological choice in this plan, and it is why the subscription line — which looks largest if you count students — turns out to be the smallest engine once you count who actually pays.</w:t>
      </w:r>
    </w:p>
    <w:p>
      <w:pPr>
        <w:keepNext/>
        <w:keepLines w:val="true"/>
        <w:widowControl w:val="true"/>
        <w:spacing w:before="300" w:after="100" w:line="288" w:lineRule="auto"/>
      </w:pPr>
      <w:r>
        <w:rPr>
          <w:rFonts w:ascii="Plus Jakarta Sans" w:hAnsi="Plus Jakarta Sans" w:cs="Segoe UI"/>
          <w:b/>
          <w:i w:val="0"/>
          <w:color w:val="0B0E14"/>
          <w:sz w:val="26"/>
          <w:szCs w:val="26"/>
        </w:rPr>
        <w:t>The buyer universe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8"/>
        <w:gridCol w:w="1294"/>
        <w:gridCol w:w="5529"/>
      </w:tblGrid>
      <w:tr>
        <w:trPr>
          <w:tblHeader w:val="true"/>
        </w:trPr>
        <w:tc>
          <w:tcPr>
            <w:tcW w:type="dxa" w:w="25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Universe</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Count</w:t>
            </w:r>
          </w:p>
        </w:tc>
        <w:tc>
          <w:tcPr>
            <w:tcW w:type="dxa" w:w="5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buying units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951 in Egypt (551 CAPMAS public colleges plus private faculties), 564 in KSA. The buying unit is the college — three of the four doors sit below university level</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400,000</w:t>
            </w:r>
          </w:p>
        </w:tc>
        <w:tc>
          <w:tcPr>
            <w:tcW w:type="dxa" w:w="5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across both markets at steady state, far below the stated million-scale targets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Youth competitions a year</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5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by universities, banks, telcos, ministries and foundations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5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 line</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Incubators and startup programmes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w:t>
            </w:r>
          </w:p>
        </w:tc>
        <w:tc>
          <w:tcPr>
            <w:tcW w:type="dxa" w:w="5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select applicants and would benefit from a prepared pool</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Students and recent graduates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8,041,600</w:t>
            </w:r>
          </w:p>
        </w:tc>
        <w:tc>
          <w:tcPr>
            <w:tcW w:type="dxa" w:w="5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2024/25 and UNESCO UIS, plus three graduating years</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TAM and SAM, engine by engine</w:t>
      </w:r>
    </w:p>
    <w:p>
      <w:pPr>
        <w:keepNext/>
        <w:spacing w:before="160" w:after="60"/>
        <w:jc w:val="center"/>
      </w:pPr>
      <w:r>
        <w:drawing>
          <wp:inline xmlns:a="http://schemas.openxmlformats.org/drawingml/2006/main" xmlns:pic="http://schemas.openxmlformats.org/drawingml/2006/picture">
            <wp:extent cx="5976000" cy="2570616"/>
            <wp:docPr id="6" name="Picture 6"/>
            <wp:cNvGraphicFramePr>
              <a:graphicFrameLocks noChangeAspect="1"/>
            </wp:cNvGraphicFramePr>
            <a:graphic>
              <a:graphicData uri="http://schemas.openxmlformats.org/drawingml/2006/picture">
                <pic:pic>
                  <pic:nvPicPr>
                    <pic:cNvPr id="0" name="tam_sam.png"/>
                    <pic:cNvPicPr/>
                  </pic:nvPicPr>
                  <pic:blipFill>
                    <a:blip r:embed="rId16"/>
                    <a:stretch>
                      <a:fillRect/>
                    </a:stretch>
                  </pic:blipFill>
                  <pic:spPr>
                    <a:xfrm>
                      <a:off x="0" y="0"/>
                      <a:ext cx="5976000" cy="2570616"/>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Each engine sized separately. The institutional engines are 45% of the serviceable market.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07"/>
        <w:gridCol w:w="3996"/>
        <w:gridCol w:w="1353"/>
        <w:gridCol w:w="1353"/>
      </w:tblGrid>
      <w:tr>
        <w:trPr>
          <w:tblHeader w:val="true"/>
        </w:trPr>
        <w:tc>
          <w:tcPr>
            <w:tcW w:type="dxa" w:w="27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39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 basis</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SAM</w:t>
            </w:r>
          </w:p>
        </w:tc>
      </w:tr>
      <w:tr>
        <w:trPr>
          <w:cantSplit w:val="true"/>
        </w:trPr>
        <w:tc>
          <w:tcPr>
            <w:tcW w:type="dxa" w:w="270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 buying units × 18,000 a year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$27.3m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$7.0m</w:t>
            </w:r>
          </w:p>
        </w:tc>
      </w:tr>
      <w:tr>
        <w:trPr>
          <w:cantSplit w:val="true"/>
        </w:trPr>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 in national initiatives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400,000 seats a year × $20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$2.0m</w:t>
            </w:r>
          </w:p>
        </w:tc>
      </w:tr>
      <w:tr>
        <w:trPr>
          <w:cantSplit w:val="true"/>
        </w:trPr>
        <w:tc>
          <w:tcPr>
            <w:tcW w:type="dxa" w:w="270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 competitions a year × $32,000</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$7.7m</w:t>
            </w:r>
          </w:p>
        </w:tc>
      </w:tr>
      <w:tr>
        <w:trPr>
          <w:cantSplit w:val="true"/>
        </w:trPr>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 corporates × one programme every four years</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$12.4m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$2.5m</w:t>
            </w:r>
          </w:p>
        </w:tc>
      </w:tr>
      <w:tr>
        <w:trPr>
          <w:cantSplit w:val="true"/>
        </w:trPr>
        <w:tc>
          <w:tcPr>
            <w:tcW w:type="dxa" w:w="270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 programmes × 150 seats × $42</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$945k</w:t>
            </w:r>
          </w:p>
        </w:tc>
      </w:tr>
      <w:tr>
        <w:trPr>
          <w:cantSplit w:val="true"/>
        </w:trPr>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of 8.0m who would ever self-pay × $89</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$42.9m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$24.3m</w:t>
            </w:r>
          </w:p>
        </w:tc>
      </w:tr>
      <w:tr>
        <w:trPr>
          <w:cantSplit w:val="true"/>
        </w:trPr>
        <w:tc>
          <w:tcPr>
            <w:tcW w:type="dxa" w:w="270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3996"/>
            <w:shd w:val="clear" w:fill="CBF24A"/>
            <w:tcMar>
              <w:top w:w="73" w:type="dxa"/>
              <w:start w:w="90" w:type="dxa"/>
              <w:bottom w:w="73" w:type="dxa"/>
              <w:end w:w="79" w:type="dxa"/>
            </w:tcMar>
          </w:tcPr>
          <w:p>
            <w:pPr>
              <w:spacing w:after="0" w:line="288" w:lineRule="auto"/>
            </w:pP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$111.4m</w:t>
            </w: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$44.3m</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subscription line has the largest TAM on paper — $42.9m, because there are millions of students and in principle any of them could pay. It is the least realisable number in the table, and the engine economics show why: at these willingness-to-pay levels the cost of reaching a stranger exceeds what they are worth. A plan built on that TAM would be built on the one number here that cannot be converted.</w:t>
      </w:r>
    </w:p>
    <w:p>
      <w:pPr>
        <w:keepNext/>
        <w:keepLines w:val="true"/>
        <w:widowControl w:val="true"/>
        <w:spacing w:before="300" w:after="100" w:line="288" w:lineRule="auto"/>
      </w:pPr>
      <w:r>
        <w:rPr>
          <w:rFonts w:ascii="Plus Jakarta Sans" w:hAnsi="Plus Jakarta Sans" w:cs="Segoe UI"/>
          <w:b/>
          <w:i w:val="0"/>
          <w:color w:val="0B0E14"/>
          <w:sz w:val="26"/>
          <w:szCs w:val="26"/>
        </w:rPr>
        <w:t>Narrowing the institutional universe</w:t>
      </w:r>
    </w:p>
    <w:p>
      <w:pPr>
        <w:keepNext/>
        <w:spacing w:before="160" w:after="60"/>
        <w:jc w:val="center"/>
      </w:pPr>
      <w:r>
        <w:drawing>
          <wp:inline xmlns:a="http://schemas.openxmlformats.org/drawingml/2006/main" xmlns:pic="http://schemas.openxmlformats.org/drawingml/2006/picture">
            <wp:extent cx="5976000" cy="1648287"/>
            <wp:docPr id="7" name="Picture 7"/>
            <wp:cNvGraphicFramePr>
              <a:graphicFrameLocks noChangeAspect="1"/>
            </wp:cNvGraphicFramePr>
            <a:graphic>
              <a:graphicData uri="http://schemas.openxmlformats.org/drawingml/2006/picture">
                <pic:pic>
                  <pic:nvPicPr>
                    <pic:cNvPr id="0" name="buyer_funnel.png"/>
                    <pic:cNvPicPr/>
                  </pic:nvPicPr>
                  <pic:blipFill>
                    <a:blip r:embed="rId17"/>
                    <a:stretch>
                      <a:fillRect/>
                    </a:stretch>
                  </pic:blipFill>
                  <pic:spPr>
                    <a:xfrm>
                      <a:off x="0" y="0"/>
                      <a:ext cx="5976000" cy="1648287"/>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Institutional buying units, filtered to those where venture-building fits the curriculum and where we can physically deliver.</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Faculty fit — 35%</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Business, commerce, engineering, computing, design and applied science carry capstone and graduation projects that map onto the missions. Medicine and law largely do not.</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Reachable for delivery — 73%</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Greater Cairo, Alexandria, the Delta and the Upper Egypt hubs; Riyadh, Jeddah and Dammam. A bootcamp needs facilitators in a room — which is exactly why the seat and competition engines, which do not, matter for reaching everywhere else.</w:t>
      </w:r>
    </w:p>
    <w:p>
      <w:pPr>
        <w:keepNext/>
        <w:keepLines w:val="true"/>
        <w:widowControl w:val="true"/>
        <w:spacing w:before="300" w:after="100" w:line="288" w:lineRule="auto"/>
      </w:pPr>
      <w:r>
        <w:rPr>
          <w:rFonts w:ascii="Plus Jakarta Sans" w:hAnsi="Plus Jakarta Sans" w:cs="Segoe UI"/>
          <w:b/>
          <w:i w:val="0"/>
          <w:color w:val="0B0E14"/>
          <w:sz w:val="26"/>
          <w:szCs w:val="26"/>
        </w:rPr>
        <w:t>SOM — what we capture, and why that number</w:t>
      </w:r>
    </w:p>
    <w:p>
      <w:pPr>
        <w:keepLines w:val="true"/>
        <w:widowControl w:val="true"/>
        <w:spacing w:before="0" w:after="100" w:line="322" w:lineRule="auto"/>
      </w:pPr>
      <w:r>
        <w:rPr>
          <w:rFonts w:ascii="Plus Jakarta Sans" w:hAnsi="Plus Jakarta Sans" w:cs="Segoe UI"/>
          <w:b w:val="0"/>
          <w:i w:val="0"/>
          <w:color w:val="0B0E14"/>
          <w:sz w:val="19"/>
          <w:szCs w:val="19"/>
        </w:rPr>
        <w:t>Year-one revenue is $853k, 1.9% of SAM. That is an output, not a target. It falls out of counted quantities: 56 paid cohorts, which is what the facilitator establishment can physically deliver; 6,000 sponsored seats across two signed programme partnerships; 4 sponsored competitions; and 14 programme seat deals.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37"/>
        <w:gridCol w:w="4637"/>
        <w:gridCol w:w="1636"/>
      </w:tblGrid>
      <w:tr>
        <w:trPr>
          <w:tblHeader w:val="true"/>
        </w:trPr>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46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Year-one basis</w:t>
            </w:r>
          </w:p>
        </w:tc>
        <w:tc>
          <w:tcPr>
            <w:tcW w:type="dxa" w:w="16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 cohorts × $7,500, plus 2 faculty licences</w:t>
            </w:r>
          </w:p>
        </w:tc>
        <w:tc>
          <w:tcPr>
            <w:tcW w:type="dxa" w:w="1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$470k</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 in national initiatives</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6,000 seats × $22, plus 2 train-the-trainer cohorts</w:t>
            </w:r>
          </w:p>
        </w:tc>
        <w:tc>
          <w:tcPr>
            <w:tcW w:type="dxa" w:w="1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$156k</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 competitions × $28,000</w:t>
            </w:r>
          </w:p>
        </w:tc>
        <w:tc>
          <w:tcPr>
            <w:tcW w:type="dxa" w:w="1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$112k</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programme × $45,000</w:t>
            </w:r>
          </w:p>
        </w:tc>
        <w:tc>
          <w:tcPr>
            <w:tcW w:type="dxa" w:w="1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$45k</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 partners × 60 seats × $40</w:t>
            </w:r>
          </w:p>
        </w:tc>
        <w:tc>
          <w:tcPr>
            <w:tcW w:type="dxa" w:w="1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$34k</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808 subscribers, mostly from the engines above</w:t>
            </w:r>
          </w:p>
        </w:tc>
        <w:tc>
          <w:tcPr>
            <w:tcW w:type="dxa" w:w="1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$36k</w:t>
            </w:r>
          </w:p>
        </w:tc>
      </w:tr>
      <w:tr>
        <w:trPr>
          <w:cantSplit w:val="true"/>
        </w:trPr>
        <w:tc>
          <w:tcPr>
            <w:tcW w:type="dxa" w:w="313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4637"/>
            <w:shd w:val="clear" w:fill="CBF24A"/>
            <w:tcMar>
              <w:top w:w="73" w:type="dxa"/>
              <w:start w:w="90" w:type="dxa"/>
              <w:bottom w:w="73" w:type="dxa"/>
              <w:end w:w="79" w:type="dxa"/>
            </w:tcMar>
          </w:tcPr>
          <w:p>
            <w:pPr>
              <w:spacing w:after="0" w:line="288" w:lineRule="auto"/>
            </w:pPr>
          </w:p>
        </w:tc>
        <w:tc>
          <w:tcPr>
            <w:tcW w:type="dxa" w:w="163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$853k</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Market context</w:t>
      </w:r>
    </w:p>
    <w:p>
      <w:pPr>
        <w:keepLines w:val="true"/>
        <w:widowControl w:val="true"/>
        <w:spacing w:before="0" w:after="100" w:line="322" w:lineRule="auto"/>
      </w:pPr>
      <w:r>
        <w:rPr>
          <w:rFonts w:ascii="Plus Jakarta Sans" w:hAnsi="Plus Jakarta Sans" w:cs="Segoe UI"/>
          <w:b w:val="0"/>
          <w:i w:val="0"/>
          <w:color w:val="0B0E14"/>
          <w:sz w:val="19"/>
          <w:szCs w:val="19"/>
        </w:rPr>
        <w:t>MENA startups raised a record $7.5bn across 647 deals in 2025. Saudi Arabia led at $5bn across 211 deals; Egypt was third at $263m across 89 deals, with deal count rising even as value fell after the currency devaluation. Capital is concentrating in the Gulf while the founder population concentrates in Egypt — which is why this plan runs both markets at once rather than sequencing them.</w:t>
      </w: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 platform serving only Egypt would be preparing founders for a market whose funding is shrinking. One serving only the Kingdom would compete for a small, well-served cohort. Serving both, through different doors, is the position.</w:t>
      </w:r>
    </w:p>
    <w:p>
      <w:pPr>
        <w:keepNext/>
        <w:pageBreakBefore w:val="true"/>
        <w:spacing w:before="0" w:after="20"/>
      </w:pPr>
      <w:r>
        <w:rPr>
          <w:rFonts w:ascii="Plus Jakarta Sans" w:hAnsi="Plus Jakarta Sans" w:cs="Segoe UI"/>
          <w:b/>
          <w:i w:val="0"/>
          <w:color w:val="3418E0"/>
          <w:spacing w:val="28"/>
          <w:sz w:val="16"/>
          <w:szCs w:val="16"/>
        </w:rPr>
        <w:t>SECTION 04</w:t>
      </w:r>
    </w:p>
    <w:p>
      <w:pPr>
        <w:keepNext/>
        <w:spacing w:before="40" w:after="120"/>
      </w:pPr>
      <w:r>
        <w:rPr>
          <w:rFonts w:ascii="Plus Jakarta Sans" w:hAnsi="Plus Jakarta Sans" w:cs="Segoe UI"/>
          <w:b/>
          <w:i w:val="0"/>
          <w:color w:val="0B0E14"/>
          <w:sz w:val="42"/>
          <w:szCs w:val="42"/>
        </w:rPr>
        <w:t>The six revenue engines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What each engine sells, who signs, what it is worth and how it scales. The three largest get a chapter each after this one.</w:t>
      </w:r>
    </w:p>
    <w:p>
      <w:pPr>
        <w:keepNext/>
        <w:spacing w:before="160" w:after="60"/>
        <w:jc w:val="center"/>
      </w:pPr>
      <w:r>
        <w:drawing>
          <wp:inline xmlns:a="http://schemas.openxmlformats.org/drawingml/2006/main" xmlns:pic="http://schemas.openxmlformats.org/drawingml/2006/picture">
            <wp:extent cx="5976000" cy="2369430"/>
            <wp:docPr id="8" name="Picture 8"/>
            <wp:cNvGraphicFramePr>
              <a:graphicFrameLocks noChangeAspect="1"/>
            </wp:cNvGraphicFramePr>
            <a:graphic>
              <a:graphicData uri="http://schemas.openxmlformats.org/drawingml/2006/picture">
                <pic:pic>
                  <pic:nvPicPr>
                    <pic:cNvPr id="0" name="engine_mix.png"/>
                    <pic:cNvPicPr/>
                  </pic:nvPicPr>
                  <pic:blipFill>
                    <a:blip r:embed="rId18"/>
                    <a:stretch>
                      <a:fillRect/>
                    </a:stretch>
                  </pic:blipFill>
                  <pic:spPr>
                    <a:xfrm>
                      <a:off x="0" y="0"/>
                      <a:ext cx="5976000" cy="2369430"/>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The mix across three years. Universities lead in year one; sponsored seats become the scale engine by year three; subscriptions stay small in every year.</w:t>
      </w:r>
    </w:p>
    <w:p>
      <w:pPr>
        <w:keepNext/>
        <w:keepLines w:val="true"/>
        <w:widowControl w:val="true"/>
        <w:spacing w:before="300" w:after="100" w:line="288" w:lineRule="auto"/>
      </w:pPr>
      <w:r>
        <w:rPr>
          <w:rFonts w:ascii="Plus Jakarta Sans" w:hAnsi="Plus Jakarta Sans" w:cs="Segoe UI"/>
          <w:b/>
          <w:i w:val="0"/>
          <w:color w:val="0B0E14"/>
          <w:sz w:val="26"/>
          <w:szCs w:val="26"/>
        </w:rPr>
        <w:t>The engines at a glance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75"/>
        <w:gridCol w:w="2440"/>
        <w:gridCol w:w="1510"/>
        <w:gridCol w:w="929"/>
        <w:gridCol w:w="1278"/>
        <w:gridCol w:w="1278"/>
      </w:tblGrid>
      <w:tr>
        <w:trPr>
          <w:tblHeader w:val="true"/>
        </w:trPr>
        <w:tc>
          <w:tcPr>
            <w:tcW w:type="dxa" w:w="19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244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sold</w:t>
            </w:r>
          </w:p>
        </w:tc>
        <w:tc>
          <w:tcPr>
            <w:tcW w:type="dxa" w:w="151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Unit price</w:t>
            </w:r>
          </w:p>
        </w:tc>
        <w:tc>
          <w:tcPr>
            <w:tcW w:type="dxa" w:w="9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Margin</w:t>
            </w:r>
          </w:p>
        </w:tc>
        <w:tc>
          <w:tcPr>
            <w:tcW w:type="dxa" w:w="12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12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r>
      <w:tr>
        <w:trPr>
          <w:cantSplit w:val="true"/>
        </w:trPr>
        <w:tc>
          <w:tcPr>
            <w:tcW w:type="dxa" w:w="197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24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cohort, or a faculty-wide licence</w:t>
            </w:r>
          </w:p>
        </w:tc>
        <w:tc>
          <w:tcPr>
            <w:tcW w:type="dxa" w:w="151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 / $25,000</w:t>
            </w:r>
          </w:p>
        </w:tc>
        <w:tc>
          <w:tcPr>
            <w:tcW w:type="dxa" w:w="9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71%</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$470k</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$3.2m</w:t>
            </w:r>
          </w:p>
        </w:tc>
      </w:tr>
      <w:tr>
        <w:trPr>
          <w:cantSplit w:val="true"/>
        </w:trPr>
        <w:tc>
          <w:tcPr>
            <w:tcW w:type="dxa" w:w="197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 in national initiatives</w:t>
            </w:r>
          </w:p>
        </w:tc>
        <w:tc>
          <w:tcPr>
            <w:tcW w:type="dxa" w:w="24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Seats in bulk, plus trainer certification</w:t>
            </w:r>
          </w:p>
        </w:tc>
        <w:tc>
          <w:tcPr>
            <w:tcW w:type="dxa" w:w="151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 / seat</w:t>
            </w:r>
          </w:p>
        </w:tc>
        <w:tc>
          <w:tcPr>
            <w:tcW w:type="dxa" w:w="9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$156k</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$2.2m</w:t>
            </w:r>
          </w:p>
        </w:tc>
      </w:tr>
      <w:tr>
        <w:trPr>
          <w:cantSplit w:val="true"/>
        </w:trPr>
        <w:tc>
          <w:tcPr>
            <w:tcW w:type="dxa" w:w="197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24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competition, run end to end</w:t>
            </w:r>
          </w:p>
        </w:tc>
        <w:tc>
          <w:tcPr>
            <w:tcW w:type="dxa" w:w="151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$28,000</w:t>
            </w:r>
          </w:p>
        </w:tc>
        <w:tc>
          <w:tcPr>
            <w:tcW w:type="dxa" w:w="9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61%</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$112k</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$1.2m</w:t>
            </w:r>
          </w:p>
        </w:tc>
      </w:tr>
      <w:tr>
        <w:trPr>
          <w:cantSplit w:val="true"/>
        </w:trPr>
        <w:tc>
          <w:tcPr>
            <w:tcW w:type="dxa" w:w="197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24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bespoke youth or innovation programme</w:t>
            </w:r>
          </w:p>
        </w:tc>
        <w:tc>
          <w:tcPr>
            <w:tcW w:type="dxa" w:w="151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$45,000</w:t>
            </w:r>
          </w:p>
        </w:tc>
        <w:tc>
          <w:tcPr>
            <w:tcW w:type="dxa" w:w="9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$45k</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$840k</w:t>
            </w:r>
          </w:p>
        </w:tc>
      </w:tr>
      <w:tr>
        <w:trPr>
          <w:cantSplit w:val="true"/>
        </w:trPr>
        <w:tc>
          <w:tcPr>
            <w:tcW w:type="dxa" w:w="197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24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Platform seats where the partner facilitates</w:t>
            </w:r>
          </w:p>
        </w:tc>
        <w:tc>
          <w:tcPr>
            <w:tcW w:type="dxa" w:w="151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 / seat</w:t>
            </w:r>
          </w:p>
        </w:tc>
        <w:tc>
          <w:tcPr>
            <w:tcW w:type="dxa" w:w="9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92%</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$34k</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$337k</w:t>
            </w:r>
          </w:p>
        </w:tc>
      </w:tr>
      <w:tr>
        <w:trPr>
          <w:cantSplit w:val="true"/>
        </w:trPr>
        <w:tc>
          <w:tcPr>
            <w:tcW w:type="dxa" w:w="197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24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 or Team, bought by the founder</w:t>
            </w:r>
          </w:p>
        </w:tc>
        <w:tc>
          <w:tcPr>
            <w:tcW w:type="dxa" w:w="151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 / $179</w:t>
            </w:r>
          </w:p>
        </w:tc>
        <w:tc>
          <w:tcPr>
            <w:tcW w:type="dxa" w:w="9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$36k</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$541k</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Deal size is the whole argument</w:t>
      </w:r>
    </w:p>
    <w:p>
      <w:pPr>
        <w:keepNext/>
        <w:spacing w:before="160" w:after="60"/>
        <w:jc w:val="center"/>
      </w:pPr>
      <w:r>
        <w:drawing>
          <wp:inline xmlns:a="http://schemas.openxmlformats.org/drawingml/2006/main" xmlns:pic="http://schemas.openxmlformats.org/drawingml/2006/picture">
            <wp:extent cx="5976000" cy="2036328"/>
            <wp:docPr id="9" name="Picture 9"/>
            <wp:cNvGraphicFramePr>
              <a:graphicFrameLocks noChangeAspect="1"/>
            </wp:cNvGraphicFramePr>
            <a:graphic>
              <a:graphicData uri="http://schemas.openxmlformats.org/drawingml/2006/picture">
                <pic:pic>
                  <pic:nvPicPr>
                    <pic:cNvPr id="0" name="deal_sizes.png"/>
                    <pic:cNvPicPr/>
                  </pic:nvPicPr>
                  <pic:blipFill>
                    <a:blip r:embed="rId19"/>
                    <a:stretch>
                      <a:fillRect/>
                    </a:stretch>
                  </pic:blipFill>
                  <pic:spPr>
                    <a:xfrm>
                      <a:off x="0" y="0"/>
                      <a:ext cx="5976000" cy="2036328"/>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What one customer is worth in a year, by engine. A single initiative partnership is worth more than a thousand subscriptions.</w:t>
      </w:r>
    </w:p>
    <w:p>
      <w:pPr>
        <w:keepLines w:val="true"/>
        <w:widowControl w:val="true"/>
        <w:spacing w:before="0" w:after="100" w:line="322" w:lineRule="auto"/>
      </w:pPr>
      <w:r>
        <w:rPr>
          <w:rFonts w:ascii="Plus Jakarta Sans" w:hAnsi="Plus Jakarta Sans" w:cs="Segoe UI"/>
          <w:b w:val="0"/>
          <w:i w:val="0"/>
          <w:color w:val="0B0E14"/>
          <w:sz w:val="19"/>
          <w:szCs w:val="19"/>
        </w:rPr>
        <w:t>A salesperson has a finite number of meetings. The question a revenue plan has to answer is which meeting to take, and the answer here is not close: one meeting with a national programme office is worth more than every subscription the company will sell in year one. This is why the organisation has four institutional sales roles, a competitions manager and no consumer growth function at all.</w:t>
      </w:r>
    </w:p>
    <w:p>
      <w:pPr>
        <w:keepNext/>
        <w:keepLines w:val="true"/>
        <w:widowControl w:val="true"/>
        <w:spacing w:before="300" w:after="100" w:line="288" w:lineRule="auto"/>
      </w:pPr>
      <w:r>
        <w:rPr>
          <w:rFonts w:ascii="Plus Jakarta Sans" w:hAnsi="Plus Jakarta Sans" w:cs="Segoe UI"/>
          <w:b/>
          <w:i w:val="0"/>
          <w:color w:val="0B0E14"/>
          <w:sz w:val="26"/>
          <w:szCs w:val="26"/>
        </w:rPr>
        <w:t>How the engines feed each other</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 free pilot produces a cohort report.</w:t>
      </w:r>
      <w:r>
        <w:rPr>
          <w:rFonts w:ascii="Plus Jakarta Sans" w:hAnsi="Plus Jakarta Sans" w:cs="Segoe UI"/>
          <w:b w:val="0"/>
          <w:i w:val="0"/>
          <w:color w:val="0B0E14"/>
          <w:sz w:val="19"/>
          <w:szCs w:val="19"/>
        </w:rPr>
        <w:t xml:space="preserve"> The report is the sales document for the paid cohort, for the faculty licence, and for every other engine — a ministry and a bank both want to see one before they sign.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A competition opens a university.</w:t>
      </w:r>
      <w:r>
        <w:rPr>
          <w:rFonts w:ascii="Plus Jakarta Sans" w:hAnsi="Plus Jakarta Sans" w:cs="Segoe UI"/>
          <w:b w:val="0"/>
          <w:i w:val="0"/>
          <w:color w:val="0B0E14"/>
          <w:sz w:val="19"/>
          <w:szCs w:val="19"/>
        </w:rPr>
        <w:t xml:space="preserve"> Running a sponsored competition on a campus puts StartPad in front of the entrepreneurship centre with a sponsor already paying. It is the cheapest route into Door 01.</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An initiative partnership opens every university.</w:t>
      </w:r>
      <w:r>
        <w:rPr>
          <w:rFonts w:ascii="Plus Jakarta Sans" w:hAnsi="Plus Jakarta Sans" w:cs="Segoe UI"/>
          <w:b w:val="0"/>
          <w:i w:val="0"/>
          <w:color w:val="0B0E14"/>
          <w:sz w:val="19"/>
          <w:szCs w:val="19"/>
        </w:rPr>
        <w:t xml:space="preserve"> A dean who has not heard of StartPad has heard of Rowad 2030. Named participation in a national programme shortens the first conversation everywhere.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Every engine produces founders, and founders produce stories.</w:t>
      </w:r>
      <w:r>
        <w:rPr>
          <w:rFonts w:ascii="Plus Jakarta Sans" w:hAnsi="Plus Jakarta Sans" w:cs="Segoe UI"/>
          <w:b w:val="0"/>
          <w:i w:val="0"/>
          <w:color w:val="0B0E14"/>
          <w:sz w:val="19"/>
          <w:szCs w:val="19"/>
        </w:rPr>
        <w:t xml:space="preserve"> The stories win the next sponsor. This is the loop, and it is why the demand-generation budget buys content and events rather than advertising.</w:t>
      </w:r>
    </w:p>
    <w:p>
      <w:pPr>
        <w:keepNext/>
        <w:keepLines w:val="true"/>
        <w:widowControl w:val="true"/>
        <w:spacing w:before="300" w:after="100" w:line="288" w:lineRule="auto"/>
      </w:pPr>
      <w:r>
        <w:rPr>
          <w:rFonts w:ascii="Plus Jakarta Sans" w:hAnsi="Plus Jakarta Sans" w:cs="Segoe UI"/>
          <w:b/>
          <w:i w:val="0"/>
          <w:color w:val="0B0E14"/>
          <w:sz w:val="26"/>
          <w:szCs w:val="26"/>
        </w:rPr>
        <w:t>Engine 4 — Corporate and CSR programmes</w:t>
      </w:r>
    </w:p>
    <w:p>
      <w:pPr>
        <w:keepLines w:val="true"/>
        <w:widowControl w:val="true"/>
        <w:spacing w:before="0" w:after="100" w:line="322" w:lineRule="auto"/>
      </w:pPr>
      <w:r>
        <w:rPr>
          <w:rFonts w:ascii="Plus Jakarta Sans" w:hAnsi="Plus Jakarta Sans" w:cs="Segoe UI"/>
          <w:b w:val="0"/>
          <w:i w:val="0"/>
          <w:color w:val="0B0E14"/>
          <w:sz w:val="19"/>
          <w:szCs w:val="19"/>
        </w:rPr>
        <w:t>Banks, telcos and energy companies in both markets run youth, innovation and CSR programmes with real budgets and weak delivery. A corporate deal is bespoke — their theme, their branding, their reporting — and prices at $45,000 rising to $60,000 as the format proves out. One in year one, 14 by year three.</w:t>
      </w:r>
    </w:p>
    <w:p>
      <w:pPr>
        <w:keepLines w:val="true"/>
        <w:widowControl w:val="true"/>
        <w:spacing w:before="0" w:after="100" w:line="322" w:lineRule="auto"/>
      </w:pPr>
      <w:r>
        <w:rPr>
          <w:rFonts w:ascii="Plus Jakarta Sans" w:hAnsi="Plus Jakarta Sans" w:cs="Segoe UI"/>
          <w:b w:val="0"/>
          <w:i w:val="0"/>
          <w:color w:val="0B0E14"/>
          <w:sz w:val="19"/>
          <w:szCs w:val="19"/>
        </w:rPr>
        <w:t>The motion is slow and relationship-led, which is why year one targets a single deal: the purpose of the first one is a reference, not revenue. It is also the engine most exposed to a downturn, because a CSR budget is the first thing a board cuts — which is why it is held to 10% of year-three revenue rather than pursued harder.</w:t>
      </w:r>
    </w:p>
    <w:p>
      <w:pPr>
        <w:keepNext/>
        <w:keepLines w:val="true"/>
        <w:widowControl w:val="true"/>
        <w:spacing w:before="300" w:after="100" w:line="288" w:lineRule="auto"/>
      </w:pPr>
      <w:r>
        <w:rPr>
          <w:rFonts w:ascii="Plus Jakarta Sans" w:hAnsi="Plus Jakarta Sans" w:cs="Segoe UI"/>
          <w:b/>
          <w:i w:val="0"/>
          <w:color w:val="0B0E14"/>
          <w:sz w:val="26"/>
          <w:szCs w:val="26"/>
        </w:rPr>
        <w:t>Engine 5 — Programme and incubator seats</w:t>
      </w:r>
    </w:p>
    <w:p>
      <w:pPr>
        <w:keepLines w:val="true"/>
        <w:widowControl w:val="true"/>
        <w:spacing w:before="0" w:after="100" w:line="322" w:lineRule="auto"/>
      </w:pPr>
      <w:r>
        <w:rPr>
          <w:rFonts w:ascii="Plus Jakarta Sans" w:hAnsi="Plus Jakarta Sans" w:cs="Segoe UI"/>
          <w:b w:val="0"/>
          <w:i w:val="0"/>
          <w:color w:val="0B0E14"/>
          <w:sz w:val="19"/>
          <w:szCs w:val="19"/>
        </w:rPr>
        <w:t>Incubators and accelerators select founders; StartPad prepares them. A platform-only seat at $40 lets a programme run its own facilitation on top of the missions, the review loop and the reporting. It is the smallest institutional engine by revenue (4% in year three) and the most strategically useful: these organisations are the ecosystem's gatekeepers, and a prepared applicant pool is the thing they most want.</w:t>
      </w:r>
    </w:p>
    <w:p>
      <w:pPr>
        <w:keepLines w:val="true"/>
        <w:widowControl w:val="true"/>
        <w:spacing w:before="0" w:after="100" w:line="322" w:lineRule="auto"/>
      </w:pPr>
      <w:r>
        <w:rPr>
          <w:rFonts w:ascii="Plus Jakarta Sans" w:hAnsi="Plus Jakarta Sans" w:cs="Segoe UI"/>
          <w:b w:val="0"/>
          <w:i w:val="0"/>
          <w:color w:val="0B0E14"/>
          <w:sz w:val="19"/>
          <w:szCs w:val="19"/>
        </w:rPr>
        <w:t>Treat this engine as channel as much as revenue. An accelerator that requires StartPad missions as part of its application becomes a permanent source of founders who arrive already using the product.</w:t>
      </w:r>
    </w:p>
    <w:p>
      <w:pPr>
        <w:keepNext/>
        <w:keepLines w:val="true"/>
        <w:widowControl w:val="true"/>
        <w:spacing w:before="300" w:after="100" w:line="288" w:lineRule="auto"/>
      </w:pPr>
      <w:r>
        <w:rPr>
          <w:rFonts w:ascii="Plus Jakarta Sans" w:hAnsi="Plus Jakarta Sans" w:cs="Segoe UI"/>
          <w:b/>
          <w:i w:val="0"/>
          <w:color w:val="0B0E14"/>
          <w:sz w:val="26"/>
          <w:szCs w:val="26"/>
        </w:rPr>
        <w:t>Engine 6 — Founder subscriptions</w:t>
      </w:r>
    </w:p>
    <w:p>
      <w:pPr>
        <w:keepLines w:val="true"/>
        <w:widowControl w:val="true"/>
        <w:spacing w:before="0" w:after="100" w:line="322" w:lineRule="auto"/>
      </w:pPr>
      <w:r>
        <w:rPr>
          <w:rFonts w:ascii="Plus Jakarta Sans" w:hAnsi="Plus Jakarta Sans" w:cs="Segoe UI"/>
          <w:b w:val="0"/>
          <w:i w:val="0"/>
          <w:color w:val="0B0E14"/>
          <w:sz w:val="19"/>
          <w:szCs w:val="19"/>
        </w:rPr>
        <w:t>Free for the first three missions, $59 a year for Pro, $179 for a founding team. 4% of year-one revenue and 7% by year three.</w:t>
      </w:r>
    </w:p>
    <w:p>
      <w:pPr>
        <w:keepNext/>
        <w:spacing w:before="160" w:after="60"/>
        <w:jc w:val="center"/>
      </w:pPr>
      <w:r>
        <w:drawing>
          <wp:inline xmlns:a="http://schemas.openxmlformats.org/drawingml/2006/main" xmlns:pic="http://schemas.openxmlformats.org/drawingml/2006/picture">
            <wp:extent cx="5976000" cy="1829169"/>
            <wp:docPr id="10" name="Picture 10"/>
            <wp:cNvGraphicFramePr>
              <a:graphicFrameLocks noChangeAspect="1"/>
            </wp:cNvGraphicFramePr>
            <a:graphic>
              <a:graphicData uri="http://schemas.openxmlformats.org/drawingml/2006/picture">
                <pic:pic>
                  <pic:nvPicPr>
                    <pic:cNvPr id="0" name="subscription_sources.png"/>
                    <pic:cNvPicPr/>
                  </pic:nvPicPr>
                  <pic:blipFill>
                    <a:blip r:embed="rId20"/>
                    <a:stretch>
                      <a:fillRect/>
                    </a:stretch>
                  </pic:blipFill>
                  <pic:spPr>
                    <a:xfrm>
                      <a:off x="0" y="0"/>
                      <a:ext cx="5976000" cy="1829169"/>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Where paying founders come from in year one. Almost none of them are strangers.</w:t>
      </w:r>
    </w:p>
    <w:p>
      <w:pPr>
        <w:keepLines w:val="true"/>
        <w:widowControl w:val="true"/>
        <w:spacing w:before="0" w:after="100" w:line="322" w:lineRule="auto"/>
      </w:pPr>
      <w:r>
        <w:rPr>
          <w:rFonts w:ascii="Plus Jakarta Sans" w:hAnsi="Plus Jakarta Sans" w:cs="Segoe UI"/>
          <w:b w:val="0"/>
          <w:i w:val="0"/>
          <w:color w:val="0B0E14"/>
          <w:sz w:val="19"/>
          <w:szCs w:val="19"/>
        </w:rPr>
        <w:t>The conversion rates differ by an order of magnitude depending on where the person came from, and the reason is not a marketing insight — it is that a student who completed missions 01–10 inside a camp has already done the work, and the remaining five missions are the ones they actually want. A stranger who taps an advertisement has done nothing and wants nothing specific.</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4706"/>
        <w:gridCol w:w="1747"/>
        <w:gridCol w:w="1479"/>
        <w:gridCol w:w="1479"/>
      </w:tblGrid>
      <w:tr>
        <w:trPr>
          <w:tblHeader w:val="true"/>
        </w:trPr>
        <w:tc>
          <w:tcPr>
            <w:tcW w:type="dxa" w:w="47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Where they came from</w:t>
            </w:r>
          </w:p>
        </w:tc>
        <w:tc>
          <w:tcPr>
            <w:tcW w:type="dxa" w:w="17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Reached</w:t>
            </w:r>
          </w:p>
        </w:tc>
        <w:tc>
          <w:tcPr>
            <w:tcW w:type="dxa" w:w="14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Convert</w:t>
            </w:r>
          </w:p>
        </w:tc>
        <w:tc>
          <w:tcPr>
            <w:tcW w:type="dxa" w:w="14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Paying</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Students from university cohorts</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Entrants in sponsored competitions</w:t>
            </w:r>
          </w:p>
        </w:tc>
        <w:tc>
          <w:tcPr>
            <w:tcW w:type="dxa" w:w="174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w:t>
            </w:r>
          </w:p>
        </w:tc>
        <w:tc>
          <w:tcPr>
            <w:tcW w:type="dxa" w:w="14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4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Participants on sponsored seats</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6,000</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corporate participants</w:t>
            </w:r>
          </w:p>
        </w:tc>
        <w:tc>
          <w:tcPr>
            <w:tcW w:type="dxa" w:w="174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1,340</w:t>
            </w:r>
          </w:p>
        </w:tc>
        <w:tc>
          <w:tcPr>
            <w:tcW w:type="dxa" w:w="14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4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Organic — content, community, word of mouth</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w:t>
            </w:r>
          </w:p>
        </w:tc>
      </w:tr>
      <w:tr>
        <w:trPr>
          <w:cantSplit w:val="true"/>
        </w:trPr>
        <w:tc>
          <w:tcPr>
            <w:tcW w:type="dxa" w:w="4706"/>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74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16,040</w:t>
            </w:r>
          </w:p>
        </w:tc>
        <w:tc>
          <w:tcPr>
            <w:tcW w:type="dxa" w:w="147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w:t>
            </w:r>
          </w:p>
        </w:tc>
        <w:tc>
          <w:tcPr>
            <w:tcW w:type="dxa" w:w="147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808</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There is no paid-acquisition line in this plan. Against a lifetime value of $125, cold paid social in these markets costs more per paying founder than the founder is worth. The budget that would have funded it buys content, events and the ambassador network instead — all of which feed the institutional pipeline as well as the subscription one.</w:t>
      </w:r>
    </w:p>
    <w:p>
      <w:pPr>
        <w:keepNext/>
        <w:pageBreakBefore w:val="true"/>
        <w:spacing w:before="0" w:after="20"/>
      </w:pPr>
      <w:r>
        <w:rPr>
          <w:rFonts w:ascii="Plus Jakarta Sans" w:hAnsi="Plus Jakarta Sans" w:cs="Segoe UI"/>
          <w:b/>
          <w:i w:val="0"/>
          <w:color w:val="3418E0"/>
          <w:spacing w:val="28"/>
          <w:sz w:val="16"/>
          <w:szCs w:val="16"/>
        </w:rPr>
        <w:t>SECTION 05</w:t>
      </w:r>
    </w:p>
    <w:p>
      <w:pPr>
        <w:keepNext/>
        <w:spacing w:before="40" w:after="120"/>
      </w:pPr>
      <w:r>
        <w:rPr>
          <w:rFonts w:ascii="Plus Jakarta Sans" w:hAnsi="Plus Jakarta Sans" w:cs="Segoe UI"/>
          <w:b/>
          <w:i w:val="0"/>
          <w:color w:val="0B0E14"/>
          <w:sz w:val="42"/>
          <w:szCs w:val="42"/>
        </w:rPr>
        <w:t>Engine 1 — University cohorts and licences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55% of year-one revenue and the engine that produces the evidence every other engine sells on. Universities hold the students, the graduation projects and the credibility.</w:t>
      </w:r>
    </w:p>
    <w:p>
      <w:pPr>
        <w:keepNext/>
        <w:keepLines w:val="true"/>
        <w:widowControl w:val="true"/>
        <w:spacing w:before="300" w:after="100" w:line="288" w:lineRule="auto"/>
      </w:pPr>
      <w:r>
        <w:rPr>
          <w:rFonts w:ascii="Plus Jakarta Sans" w:hAnsi="Plus Jakarta Sans" w:cs="Segoe UI"/>
          <w:b/>
          <w:i w:val="0"/>
          <w:color w:val="0B0E14"/>
          <w:sz w:val="26"/>
          <w:szCs w:val="26"/>
        </w:rPr>
        <w:t>The ladder</w:t>
      </w:r>
    </w:p>
    <w:p>
      <w:pPr>
        <w:keepNext/>
        <w:spacing w:before="160" w:after="60"/>
        <w:jc w:val="center"/>
      </w:pPr>
      <w:r>
        <w:drawing>
          <wp:inline xmlns:a="http://schemas.openxmlformats.org/drawingml/2006/main" xmlns:pic="http://schemas.openxmlformats.org/drawingml/2006/picture">
            <wp:extent cx="5976000" cy="2087507"/>
            <wp:docPr id="11" name="Picture 11"/>
            <wp:cNvGraphicFramePr>
              <a:graphicFrameLocks noChangeAspect="1"/>
            </wp:cNvGraphicFramePr>
            <a:graphic>
              <a:graphicData uri="http://schemas.openxmlformats.org/drawingml/2006/picture">
                <pic:pic>
                  <pic:nvPicPr>
                    <pic:cNvPr id="0" name="university_ladder.png"/>
                    <pic:cNvPicPr/>
                  </pic:nvPicPr>
                  <pic:blipFill>
                    <a:blip r:embed="rId21"/>
                    <a:stretch>
                      <a:fillRect/>
                    </a:stretch>
                  </pic:blipFill>
                  <pic:spPr>
                    <a:xfrm>
                      <a:off x="0" y="0"/>
                      <a:ext cx="5976000" cy="2087507"/>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How one campus relationship grows. The free pilot is not a discount — it is how the institution's own report becomes the sales document for everything after it.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55"/>
        <w:gridCol w:w="3579"/>
        <w:gridCol w:w="1458"/>
        <w:gridCol w:w="2518"/>
      </w:tblGrid>
      <w:tr>
        <w:trPr>
          <w:tblHeader w:val="true"/>
        </w:trPr>
        <w:tc>
          <w:tcPr>
            <w:tcW w:type="dxa" w:w="185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35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251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Typical timing</w:t>
            </w:r>
          </w:p>
        </w:tc>
      </w:tr>
      <w:tr>
        <w:trPr>
          <w:cantSplit w:val="true"/>
        </w:trPr>
        <w:tc>
          <w:tcPr>
            <w:tcW w:type="dxa" w:w="185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Free pilot</w:t>
            </w:r>
          </w:p>
        </w:tc>
        <w:tc>
          <w:tcPr>
            <w:tcW w:type="dxa" w:w="35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cohort of 25, no fee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251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First term of the relationship</w:t>
            </w:r>
          </w:p>
        </w:tc>
      </w:tr>
      <w:tr>
        <w:trPr>
          <w:cantSplit w:val="true"/>
        </w:trPr>
        <w:tc>
          <w:tcPr>
            <w:tcW w:type="dxa" w:w="185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paid cohort</w:t>
            </w:r>
          </w:p>
        </w:tc>
        <w:tc>
          <w:tcPr>
            <w:tcW w:type="dxa" w:w="35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days, seats, judging, report</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w:t>
            </w:r>
          </w:p>
        </w:tc>
        <w:tc>
          <w:tcPr>
            <w:tcW w:type="dxa" w:w="251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term after the pilot report lands</w:t>
            </w:r>
          </w:p>
        </w:tc>
      </w:tr>
      <w:tr>
        <w:trPr>
          <w:cantSplit w:val="true"/>
        </w:trPr>
        <w:tc>
          <w:tcPr>
            <w:tcW w:type="dxa" w:w="185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Parallel groups</w:t>
            </w:r>
          </w:p>
        </w:tc>
        <w:tc>
          <w:tcPr>
            <w:tcW w:type="dxa" w:w="35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100-plus students as four cohorts in one term</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c>
          <w:tcPr>
            <w:tcW w:type="dxa" w:w="251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Year two of the relationship</w:t>
            </w:r>
          </w:p>
        </w:tc>
      </w:tr>
      <w:tr>
        <w:trPr>
          <w:cantSplit w:val="true"/>
        </w:trPr>
        <w:tc>
          <w:tcPr>
            <w:tcW w:type="dxa" w:w="185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w:t>
            </w:r>
          </w:p>
        </w:tc>
        <w:tc>
          <w:tcPr>
            <w:tcW w:type="dxa" w:w="35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student in the faculty, one academic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$25,000</w:t>
            </w:r>
          </w:p>
        </w:tc>
        <w:tc>
          <w:tcPr>
            <w:tcW w:type="dxa" w:w="251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Once two cohorts have run</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Four doors, in this order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830"/>
        <w:gridCol w:w="2491"/>
        <w:gridCol w:w="3183"/>
        <w:gridCol w:w="2906"/>
      </w:tblGrid>
      <w:tr>
        <w:trPr>
          <w:tblHeader w:val="true"/>
        </w:trPr>
        <w:tc>
          <w:tcPr>
            <w:tcW w:type="dxa" w:w="83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Door</w:t>
            </w:r>
          </w:p>
        </w:tc>
        <w:tc>
          <w:tcPr>
            <w:tcW w:type="dxa" w:w="24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3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want</w:t>
            </w:r>
          </w:p>
        </w:tc>
        <w:tc>
          <w:tcPr>
            <w:tcW w:type="dxa" w:w="29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offer first</w:t>
            </w:r>
          </w:p>
        </w:tc>
      </w:tr>
      <w:tr>
        <w:trPr>
          <w:cantSplit w:val="true"/>
        </w:trPr>
        <w:tc>
          <w:tcPr>
            <w:tcW w:type="dxa" w:w="83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24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centre</w:t>
            </w:r>
          </w:p>
        </w:tc>
        <w:tc>
          <w:tcPr>
            <w:tcW w:type="dxa" w:w="3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to show</w:t>
            </w:r>
          </w:p>
        </w:tc>
        <w:tc>
          <w:tcPr>
            <w:tcW w:type="dxa" w:w="2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 pilot cohort</w:t>
            </w:r>
          </w:p>
        </w:tc>
      </w:tr>
      <w:tr>
        <w:trPr>
          <w:cantSplit w:val="true"/>
        </w:trPr>
        <w:tc>
          <w:tcPr>
            <w:tcW w:type="dxa" w:w="83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24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Capstone coordinator</w:t>
            </w:r>
          </w:p>
        </w:tc>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method for graduation projects</w:t>
            </w:r>
          </w:p>
        </w:tc>
        <w:tc>
          <w:tcPr>
            <w:tcW w:type="dxa" w:w="2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mapped to the term</w:t>
            </w:r>
          </w:p>
        </w:tc>
      </w:tr>
      <w:tr>
        <w:trPr>
          <w:cantSplit w:val="true"/>
        </w:trPr>
        <w:tc>
          <w:tcPr>
            <w:tcW w:type="dxa" w:w="83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24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 of faculty</w:t>
            </w:r>
          </w:p>
        </w:tc>
        <w:tc>
          <w:tcPr>
            <w:tcW w:type="dxa" w:w="3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Outcomes for accreditation</w:t>
            </w:r>
          </w:p>
        </w:tc>
        <w:tc>
          <w:tcPr>
            <w:tcW w:type="dxa" w:w="2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faculty-wide licence</w:t>
            </w:r>
          </w:p>
        </w:tc>
      </w:tr>
      <w:tr>
        <w:trPr>
          <w:cantSplit w:val="true"/>
        </w:trPr>
        <w:tc>
          <w:tcPr>
            <w:tcW w:type="dxa" w:w="83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04</w:t>
            </w:r>
          </w:p>
        </w:tc>
        <w:tc>
          <w:tcPr>
            <w:tcW w:type="dxa" w:w="24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activities</w:t>
            </w:r>
          </w:p>
        </w:tc>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that fill rooms</w:t>
            </w:r>
          </w:p>
        </w:tc>
        <w:tc>
          <w:tcPr>
            <w:tcW w:type="dxa" w:w="2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sponsored competition</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Door 04 is where Engine 3 enters: a student-activities office has no training budget but can host a competition a bank is paying for. That is the cheapest way into a university that has said no to a pilot, and it arrives with revenue attached rather than as a cost.</w:t>
      </w:r>
    </w:p>
    <w:p>
      <w:pPr>
        <w:keepNext/>
        <w:keepLines w:val="true"/>
        <w:widowControl w:val="true"/>
        <w:spacing w:before="300" w:after="100" w:line="288" w:lineRule="auto"/>
      </w:pPr>
      <w:r>
        <w:rPr>
          <w:rFonts w:ascii="Plus Jakarta Sans" w:hAnsi="Plus Jakarta Sans" w:cs="Segoe UI"/>
          <w:b/>
          <w:i w:val="0"/>
          <w:color w:val="0B0E14"/>
          <w:sz w:val="26"/>
          <w:szCs w:val="26"/>
        </w:rPr>
        <w:t>How a deal happens</w:t>
      </w:r>
    </w:p>
    <w:p>
      <w:pPr>
        <w:keepNext/>
        <w:spacing w:before="160" w:after="60"/>
        <w:jc w:val="center"/>
      </w:pPr>
      <w:r>
        <w:drawing>
          <wp:inline xmlns:a="http://schemas.openxmlformats.org/drawingml/2006/main" xmlns:pic="http://schemas.openxmlformats.org/drawingml/2006/picture">
            <wp:extent cx="5976000" cy="1735496"/>
            <wp:docPr id="12" name="Picture 12"/>
            <wp:cNvGraphicFramePr>
              <a:graphicFrameLocks noChangeAspect="1"/>
            </wp:cNvGraphicFramePr>
            <a:graphic>
              <a:graphicData uri="http://schemas.openxmlformats.org/drawingml/2006/picture">
                <pic:pic>
                  <pic:nvPicPr>
                    <pic:cNvPr id="0" name="institution_workflow.png"/>
                    <pic:cNvPicPr/>
                  </pic:nvPicPr>
                  <pic:blipFill>
                    <a:blip r:embed="rId22"/>
                    <a:stretch>
                      <a:fillRect/>
                    </a:stretch>
                  </pic:blipFill>
                  <pic:spPr>
                    <a:xfrm>
                      <a:off x="0" y="0"/>
                      <a:ext cx="5976000" cy="1735496"/>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From identifying the right person to a cohort report, in six steps over seven weeks.</w:t>
      </w:r>
    </w:p>
    <w:p>
      <w:pPr>
        <w:keepLines w:val="true"/>
        <w:widowControl w:val="true"/>
        <w:spacing w:before="0" w:after="100" w:line="322" w:lineRule="auto"/>
      </w:pPr>
      <w:r>
        <w:rPr>
          <w:rFonts w:ascii="Plus Jakarta Sans" w:hAnsi="Plus Jakarta Sans" w:cs="Segoe UI"/>
          <w:b w:val="0"/>
          <w:i w:val="0"/>
          <w:color w:val="0B0E14"/>
          <w:sz w:val="19"/>
          <w:szCs w:val="19"/>
        </w:rPr>
        <w:t>One contract covers all three layers — the in-person bootcamp, the on-campus workshops and a platform seat for every student under one programme admin account. Selling the layers separately would triple the procurement cycle inside institutions where procurement is already the longest part of the sale.</w:t>
      </w:r>
    </w:p>
    <w:p>
      <w:pPr>
        <w:keepNext/>
        <w:keepLines w:val="true"/>
        <w:widowControl w:val="true"/>
        <w:spacing w:before="300" w:after="100" w:line="288" w:lineRule="auto"/>
      </w:pPr>
      <w:r>
        <w:rPr>
          <w:rFonts w:ascii="Plus Jakarta Sans" w:hAnsi="Plus Jakarta Sans" w:cs="Segoe UI"/>
          <w:b/>
          <w:i w:val="0"/>
          <w:color w:val="0B0E14"/>
          <w:sz w:val="26"/>
          <w:szCs w:val="26"/>
        </w:rPr>
        <w:t>How a cohort runs</w:t>
      </w:r>
    </w:p>
    <w:p>
      <w:pPr>
        <w:keepNext/>
        <w:spacing w:before="160" w:after="60"/>
        <w:jc w:val="center"/>
      </w:pPr>
      <w:r>
        <w:drawing>
          <wp:inline xmlns:a="http://schemas.openxmlformats.org/drawingml/2006/main" xmlns:pic="http://schemas.openxmlformats.org/drawingml/2006/picture">
            <wp:extent cx="5976000" cy="2009415"/>
            <wp:docPr id="13" name="Picture 13"/>
            <wp:cNvGraphicFramePr>
              <a:graphicFrameLocks noChangeAspect="1"/>
            </wp:cNvGraphicFramePr>
            <a:graphic>
              <a:graphicData uri="http://schemas.openxmlformats.org/drawingml/2006/picture">
                <pic:pic>
                  <pic:nvPicPr>
                    <pic:cNvPr id="0" name="bootcamp_map.png"/>
                    <pic:cNvPicPr/>
                  </pic:nvPicPr>
                  <pic:blipFill>
                    <a:blip r:embed="rId23"/>
                    <a:stretch>
                      <a:fillRect/>
                    </a:stretch>
                  </pic:blipFill>
                  <pic:spPr>
                    <a:xfrm>
                      <a:off x="0" y="0"/>
                      <a:ext cx="5976000" cy="2009415"/>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Learn it in the room, build it on StartPad that evening, and the programme sees it the next morning.</w:t>
      </w:r>
    </w:p>
    <w:p>
      <w:pPr>
        <w:keepLines w:val="true"/>
        <w:widowControl w:val="true"/>
        <w:spacing w:before="0" w:after="100" w:line="322" w:lineRule="auto"/>
      </w:pPr>
      <w:r>
        <w:rPr>
          <w:rFonts w:ascii="Plus Jakarta Sans" w:hAnsi="Plus Jakarta Sans" w:cs="Segoe UI"/>
          <w:b w:val="0"/>
          <w:i w:val="0"/>
          <w:color w:val="0B0E14"/>
          <w:sz w:val="19"/>
          <w:szCs w:val="19"/>
        </w:rPr>
        <w:t>Six bootcamp days over two weeks, three days a week, 240 minutes a day, 25 students per group working in teams on one venture each. Never more than fifteen minutes of input before students apply it. Each evening's work goes into StartPad as missions; the AI review runs overnight; scores and fixes are ready before the next day's opener. Larger intakes run as parallel groups, which is how a single university relationship becomes four cohorts rather than one.</w:t>
      </w:r>
    </w:p>
    <w:p>
      <w:pPr>
        <w:keepNext/>
        <w:keepLines w:val="true"/>
        <w:widowControl w:val="true"/>
        <w:spacing w:before="300" w:after="100" w:line="288" w:lineRule="auto"/>
      </w:pPr>
      <w:r>
        <w:rPr>
          <w:rFonts w:ascii="Plus Jakarta Sans" w:hAnsi="Plus Jakarta Sans" w:cs="Segoe UI"/>
          <w:b/>
          <w:i w:val="0"/>
          <w:color w:val="0B0E14"/>
          <w:sz w:val="26"/>
          <w:szCs w:val="26"/>
        </w:rPr>
        <w:t>Unit economics</w:t>
      </w:r>
    </w:p>
    <w:p>
      <w:pPr>
        <w:keepNext/>
        <w:spacing w:before="160" w:after="60"/>
        <w:jc w:val="center"/>
      </w:pPr>
      <w:r>
        <w:drawing>
          <wp:inline xmlns:a="http://schemas.openxmlformats.org/drawingml/2006/main" xmlns:pic="http://schemas.openxmlformats.org/drawingml/2006/picture">
            <wp:extent cx="5976000" cy="1619811"/>
            <wp:docPr id="14" name="Picture 14"/>
            <wp:cNvGraphicFramePr>
              <a:graphicFrameLocks noChangeAspect="1"/>
            </wp:cNvGraphicFramePr>
            <a:graphic>
              <a:graphicData uri="http://schemas.openxmlformats.org/drawingml/2006/picture">
                <pic:pic>
                  <pic:nvPicPr>
                    <pic:cNvPr id="0" name="cohort_economics.png"/>
                    <pic:cNvPicPr/>
                  </pic:nvPicPr>
                  <pic:blipFill>
                    <a:blip r:embed="rId24"/>
                    <a:stretch>
                      <a:fillRect/>
                    </a:stretch>
                  </pic:blipFill>
                  <pic:spPr>
                    <a:xfrm>
                      <a:off x="0" y="0"/>
                      <a:ext cx="5976000" cy="1619811"/>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Where a cohort's $7,500 goes. Facilitation is the only significant variable cost, which holds the margin at 71% as volume grows.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54"/>
        <w:gridCol w:w="1474"/>
        <w:gridCol w:w="5783"/>
      </w:tblGrid>
      <w:tr>
        <w:trPr>
          <w:tblHeader w:val="true"/>
        </w:trPr>
        <w:tc>
          <w:tcPr>
            <w:tcW w:type="dxa" w:w="2154"/>
            <w:shd w:val="clear" w:fill="0B0E14"/>
            <w:tcMar>
              <w:top w:w="79" w:type="dxa"/>
              <w:start w:w="90" w:type="dxa"/>
              <w:bottom w:w="79" w:type="dxa"/>
              <w:end w:w="79" w:type="dxa"/>
            </w:tcMar>
          </w:tcPr>
          <w:p>
            <w:pPr>
              <w:spacing w:after="0" w:line="278" w:lineRule="auto"/>
            </w:pPr>
          </w:p>
        </w:tc>
        <w:tc>
          <w:tcPr>
            <w:tcW w:type="dxa" w:w="14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Per cohort</w:t>
            </w:r>
          </w:p>
        </w:tc>
        <w:tc>
          <w:tcPr>
            <w:tcW w:type="dxa" w:w="57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Note</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Price</w:t>
            </w:r>
          </w:p>
        </w:tc>
        <w:tc>
          <w:tcPr>
            <w:tcW w:type="dxa" w:w="147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w:t>
            </w:r>
          </w:p>
        </w:tc>
        <w:tc>
          <w:tcPr>
            <w:tcW w:type="dxa" w:w="57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 a student — below the per-student cost of one external trainer day that leaves nothing behind</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w:t>
            </w:r>
          </w:p>
        </w:tc>
        <w:tc>
          <w:tcPr>
            <w:tcW w:type="dxa" w:w="147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w:t>
            </w:r>
          </w:p>
        </w:tc>
        <w:tc>
          <w:tcPr>
            <w:tcW w:type="dxa" w:w="57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days × 2 certified facilitators</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Materials and certificates</w:t>
            </w:r>
          </w:p>
        </w:tc>
        <w:tc>
          <w:tcPr>
            <w:tcW w:type="dxa" w:w="147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w:t>
            </w:r>
          </w:p>
        </w:tc>
        <w:tc>
          <w:tcPr>
            <w:tcW w:type="dxa" w:w="57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Printed kits, canvases</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Bazaar</w:t>
            </w:r>
          </w:p>
        </w:tc>
        <w:tc>
          <w:tcPr>
            <w:tcW w:type="dxa" w:w="147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57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Judges, refreshments, venue contribution</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147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$5,310</w:t>
            </w:r>
          </w:p>
        </w:tc>
        <w:tc>
          <w:tcPr>
            <w:tcW w:type="dxa" w:w="57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71% margin</w:t>
            </w:r>
          </w:p>
        </w:tc>
      </w:tr>
      <w:tr>
        <w:trPr>
          <w:cantSplit w:val="true"/>
        </w:trPr>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Lifetime value</w:t>
            </w:r>
          </w:p>
        </w:tc>
        <w:tc>
          <w:tcPr>
            <w:tcW w:type="dxa" w:w="147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$30k</w:t>
            </w:r>
          </w:p>
        </w:tc>
        <w:tc>
          <w:tcPr>
            <w:tcW w:type="dxa" w:w="57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 years at two cohorts a year</w:t>
            </w:r>
          </w:p>
        </w:tc>
      </w:tr>
      <w:tr>
        <w:trPr>
          <w:cantSplit w:val="true"/>
        </w:trPr>
        <w:tc>
          <w:tcPr>
            <w:tcW w:type="dxa" w:w="21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to win</w:t>
            </w:r>
          </w:p>
        </w:tc>
        <w:tc>
          <w:tcPr>
            <w:tcW w:type="dxa" w:w="147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$1,450</w:t>
            </w:r>
          </w:p>
        </w:tc>
        <w:tc>
          <w:tcPr>
            <w:tcW w:type="dxa" w:w="57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Returns 21× — payback inside the first cohort</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volume plan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48"/>
        <w:gridCol w:w="2154"/>
        <w:gridCol w:w="2154"/>
        <w:gridCol w:w="2154"/>
      </w:tblGrid>
      <w:tr>
        <w:trPr>
          <w:tblHeader w:val="true"/>
        </w:trPr>
        <w:tc>
          <w:tcPr>
            <w:tcW w:type="dxa" w:w="2948"/>
            <w:shd w:val="clear" w:fill="0B0E14"/>
            <w:tcMar>
              <w:top w:w="79" w:type="dxa"/>
              <w:start w:w="90" w:type="dxa"/>
              <w:bottom w:w="79" w:type="dxa"/>
              <w:end w:w="79" w:type="dxa"/>
            </w:tcMar>
          </w:tcPr>
          <w:p>
            <w:pPr>
              <w:spacing w:after="0" w:line="278" w:lineRule="auto"/>
            </w:pPr>
          </w:p>
        </w:tc>
        <w:tc>
          <w:tcPr>
            <w:tcW w:type="dxa" w:w="21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21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21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cohorts</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320</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Free pilots</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licences</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Students reached</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3,750</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8,000</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Engine revenue</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$470k</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$1.4m</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$3.2m</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This engine is capped by facilitators, not demand. 320 cohorts in year three needs 36 certified facilitators working at full tilt. That ceiling is why the other engines exist, and why certification is the first operational priority.</w:t>
      </w:r>
    </w:p>
    <w:p>
      <w:pPr>
        <w:keepNext/>
        <w:pageBreakBefore w:val="true"/>
        <w:spacing w:before="0" w:after="20"/>
      </w:pPr>
      <w:r>
        <w:rPr>
          <w:rFonts w:ascii="Plus Jakarta Sans" w:hAnsi="Plus Jakarta Sans" w:cs="Segoe UI"/>
          <w:b/>
          <w:i w:val="0"/>
          <w:color w:val="3418E0"/>
          <w:spacing w:val="28"/>
          <w:sz w:val="16"/>
          <w:szCs w:val="16"/>
        </w:rPr>
        <w:t>SECTION 06</w:t>
      </w:r>
    </w:p>
    <w:p>
      <w:pPr>
        <w:keepNext/>
        <w:spacing w:before="40" w:after="120"/>
      </w:pPr>
      <w:r>
        <w:rPr>
          <w:rFonts w:ascii="Plus Jakarta Sans" w:hAnsi="Plus Jakarta Sans" w:cs="Segoe UI"/>
          <w:b/>
          <w:i w:val="0"/>
          <w:color w:val="0B0E14"/>
          <w:sz w:val="42"/>
          <w:szCs w:val="42"/>
        </w:rPr>
        <w:t>Engine 2 — Sponsored seats in national initiatives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Both governments have committed publicly to qualifying a million entrepreneurs or innovators. None of them has a method, a platform or a reporting line. This is the scale engine, and by year three it is 26% of revenue.</w:t>
      </w:r>
    </w:p>
    <w:p>
      <w:pPr>
        <w:keepNext/>
        <w:keepLines w:val="true"/>
        <w:widowControl w:val="true"/>
        <w:spacing w:before="300" w:after="100" w:line="288" w:lineRule="auto"/>
      </w:pPr>
      <w:r>
        <w:rPr>
          <w:rFonts w:ascii="Plus Jakarta Sans" w:hAnsi="Plus Jakarta Sans" w:cs="Segoe UI"/>
          <w:b/>
          <w:i w:val="0"/>
          <w:color w:val="0B0E14"/>
          <w:sz w:val="26"/>
          <w:szCs w:val="26"/>
        </w:rPr>
        <w:t>The programmes</w:t>
      </w:r>
    </w:p>
    <w:p>
      <w:pPr>
        <w:keepNext/>
        <w:spacing w:before="160" w:after="60"/>
        <w:jc w:val="center"/>
      </w:pPr>
      <w:r>
        <w:drawing>
          <wp:inline xmlns:a="http://schemas.openxmlformats.org/drawingml/2006/main" xmlns:pic="http://schemas.openxmlformats.org/drawingml/2006/picture">
            <wp:extent cx="5976000" cy="1653633"/>
            <wp:docPr id="15" name="Picture 15"/>
            <wp:cNvGraphicFramePr>
              <a:graphicFrameLocks noChangeAspect="1"/>
            </wp:cNvGraphicFramePr>
            <a:graphic>
              <a:graphicData uri="http://schemas.openxmlformats.org/drawingml/2006/picture">
                <pic:pic>
                  <pic:nvPicPr>
                    <pic:cNvPr id="0" name="ngo_initiatives.png"/>
                    <pic:cNvPicPr/>
                  </pic:nvPicPr>
                  <pic:blipFill>
                    <a:blip r:embed="rId25"/>
                    <a:stretch>
                      <a:fillRect/>
                    </a:stretch>
                  </pic:blipFill>
                  <pic:spPr>
                    <a:xfrm>
                      <a:off x="0" y="0"/>
                      <a:ext cx="5976000" cy="1653633"/>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Four named Egyptian programmes with public million-scale targets, each needing delivery capacity it does not have in-house.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88"/>
        <w:gridCol w:w="2518"/>
        <w:gridCol w:w="2121"/>
        <w:gridCol w:w="2783"/>
      </w:tblGrid>
      <w:tr>
        <w:trPr>
          <w:tblHeader w:val="true"/>
        </w:trPr>
        <w:tc>
          <w:tcPr>
            <w:tcW w:type="dxa" w:w="19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Programme</w:t>
            </w:r>
          </w:p>
        </w:tc>
        <w:tc>
          <w:tcPr>
            <w:tcW w:type="dxa" w:w="251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runs it</w:t>
            </w:r>
          </w:p>
        </w:tc>
        <w:tc>
          <w:tcPr>
            <w:tcW w:type="dxa" w:w="212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Their target</w:t>
            </w:r>
          </w:p>
        </w:tc>
        <w:tc>
          <w:tcPr>
            <w:tcW w:type="dxa" w:w="278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StartPad supplies</w:t>
            </w:r>
          </w:p>
        </w:tc>
      </w:tr>
      <w:tr>
        <w:trPr>
          <w:cantSplit w:val="true"/>
        </w:trPr>
        <w:tc>
          <w:tcPr>
            <w:tcW w:type="dxa" w:w="19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Entrepreneurs</w:t>
            </w:r>
          </w:p>
        </w:tc>
        <w:tc>
          <w:tcPr>
            <w:tcW w:type="dxa" w:w="251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Ministry of Planning, through Rowad 2030, with Banque Misr and the National Bank of Egypt</w:t>
            </w:r>
          </w:p>
        </w:tc>
        <w:tc>
          <w:tcPr>
            <w:tcW w:type="dxa" w:w="212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million entrepreneurs qualified by 2030</w:t>
            </w:r>
          </w:p>
        </w:tc>
        <w:tc>
          <w:tcPr>
            <w:tcW w:type="dxa" w:w="278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qualification method itself, plus per-participant evidence a ministry can report</w:t>
            </w:r>
          </w:p>
        </w:tc>
      </w:tr>
      <w:tr>
        <w:trPr>
          <w:cantSplit w:val="true"/>
        </w:trPr>
        <w:tc>
          <w:tcPr>
            <w:tcW w:type="dxa" w:w="19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 Million Qualified Innovators</w:t>
            </w:r>
          </w:p>
        </w:tc>
        <w:tc>
          <w:tcPr>
            <w:tcW w:type="dxa" w:w="251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Ministry of Higher Education with UNDP, MBRF and ICESCO; launched Cairo, April 2025</w:t>
            </w:r>
          </w:p>
        </w:tc>
        <w:tc>
          <w:tcPr>
            <w:tcW w:type="dxa" w:w="212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Future skills for one million young people</w:t>
            </w:r>
          </w:p>
        </w:tc>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university delivery channel the initiative needs, already running on campus</w:t>
            </w:r>
          </w:p>
        </w:tc>
      </w:tr>
      <w:tr>
        <w:trPr>
          <w:cantSplit w:val="true"/>
        </w:trPr>
        <w:tc>
          <w:tcPr>
            <w:tcW w:type="dxa" w:w="19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MSMEDA governorate programme</w:t>
            </w:r>
          </w:p>
        </w:tc>
        <w:tc>
          <w:tcPr>
            <w:tcW w:type="dxa" w:w="251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Qetar El Kheir caravan, across 22 governorates</w:t>
            </w:r>
          </w:p>
        </w:tc>
        <w:tc>
          <w:tcPr>
            <w:tcW w:type="dxa" w:w="212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founders outside the urban technology hubs</w:t>
            </w:r>
          </w:p>
        </w:tc>
        <w:tc>
          <w:tcPr>
            <w:tcW w:type="dxa" w:w="278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Bilingual self-serve missions for governorates no facilitator reaches</w:t>
            </w:r>
          </w:p>
        </w:tc>
      </w:tr>
      <w:tr>
        <w:trPr>
          <w:cantSplit w:val="true"/>
        </w:trPr>
        <w:tc>
          <w:tcPr>
            <w:tcW w:type="dxa" w:w="19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International Licences</w:t>
            </w:r>
          </w:p>
        </w:tc>
        <w:tc>
          <w:tcPr>
            <w:tcW w:type="dxa" w:w="251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Cisco, announced May 2026</w:t>
            </w:r>
          </w:p>
        </w:tc>
        <w:tc>
          <w:tcPr>
            <w:tcW w:type="dxa" w:w="212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Accredited technical and professional certification</w:t>
            </w:r>
          </w:p>
        </w:tc>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venture-building complement to a technical certificate</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Published progress on the One Million Entrepreneurs campaign stood at roughly 18,000 registrations against a target of one million. The gap is not ambition or funding — it is delivery capacity and a method that produces something reportable per participant. That gap is the product.</w:t>
      </w:r>
    </w:p>
    <w:p>
      <w:pPr>
        <w:keepNext/>
        <w:keepLines w:val="true"/>
        <w:widowControl w:val="true"/>
        <w:spacing w:before="300" w:after="100" w:line="288" w:lineRule="auto"/>
      </w:pPr>
      <w:r>
        <w:rPr>
          <w:rFonts w:ascii="Plus Jakarta Sans" w:hAnsi="Plus Jakarta Sans" w:cs="Segoe UI"/>
          <w:b/>
          <w:i w:val="0"/>
          <w:color w:val="0B0E14"/>
          <w:sz w:val="26"/>
          <w:szCs w:val="26"/>
        </w:rPr>
        <w:t>The scale, honestly stated</w:t>
      </w:r>
    </w:p>
    <w:p>
      <w:pPr>
        <w:keepNext/>
        <w:spacing w:before="160" w:after="60"/>
        <w:jc w:val="center"/>
      </w:pPr>
      <w:r>
        <w:drawing>
          <wp:inline xmlns:a="http://schemas.openxmlformats.org/drawingml/2006/main" xmlns:pic="http://schemas.openxmlformats.org/drawingml/2006/picture">
            <wp:extent cx="5976000" cy="1740199"/>
            <wp:docPr id="16" name="Picture 16"/>
            <wp:cNvGraphicFramePr>
              <a:graphicFrameLocks noChangeAspect="1"/>
            </wp:cNvGraphicFramePr>
            <a:graphic>
              <a:graphicData uri="http://schemas.openxmlformats.org/drawingml/2006/picture">
                <pic:pic>
                  <pic:nvPicPr>
                    <pic:cNvPr id="0" name="initiative_scale.png"/>
                    <pic:cNvPicPr/>
                  </pic:nvPicPr>
                  <pic:blipFill>
                    <a:blip r:embed="rId26"/>
                    <a:stretch>
                      <a:fillRect/>
                    </a:stretch>
                  </pic:blipFill>
                  <pic:spPr>
                    <a:xfrm>
                      <a:off x="0" y="0"/>
                      <a:ext cx="5976000" cy="1740199"/>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Stated targets, what is realistically addressable across both markets, and what this plan takes.</w:t>
      </w:r>
    </w:p>
    <w:p>
      <w:pPr>
        <w:keepLines w:val="true"/>
        <w:widowControl w:val="true"/>
        <w:spacing w:before="0" w:after="100" w:line="322" w:lineRule="auto"/>
      </w:pPr>
      <w:r>
        <w:rPr>
          <w:rFonts w:ascii="Plus Jakarta Sans" w:hAnsi="Plus Jakarta Sans" w:cs="Segoe UI"/>
          <w:b w:val="0"/>
          <w:i w:val="0"/>
          <w:color w:val="0B0E14"/>
          <w:sz w:val="19"/>
          <w:szCs w:val="19"/>
        </w:rPr>
        <w:t>The stated targets total several million. The number this plan treats as addressable is 400,000 seats a year across both markets, and the share it assumes one provider could serve is 25%. Year three takes 95,000 seats, which is 24% of addressable — inside the ceiling, deliberately.</w:t>
      </w:r>
    </w:p>
    <w:p>
      <w:pPr>
        <w:keepNext/>
        <w:keepLines w:val="true"/>
        <w:widowControl w:val="true"/>
        <w:spacing w:before="300" w:after="100" w:line="288" w:lineRule="auto"/>
      </w:pPr>
      <w:r>
        <w:rPr>
          <w:rFonts w:ascii="Plus Jakarta Sans" w:hAnsi="Plus Jakarta Sans" w:cs="Segoe UI"/>
          <w:b/>
          <w:i w:val="0"/>
          <w:color w:val="0B0E14"/>
          <w:sz w:val="26"/>
          <w:szCs w:val="26"/>
        </w:rPr>
        <w:t>How a sponsored programme is delivered</w:t>
      </w:r>
    </w:p>
    <w:p>
      <w:pPr>
        <w:keepNext/>
        <w:spacing w:before="160" w:after="60"/>
        <w:jc w:val="center"/>
      </w:pPr>
      <w:r>
        <w:drawing>
          <wp:inline xmlns:a="http://schemas.openxmlformats.org/drawingml/2006/main" xmlns:pic="http://schemas.openxmlformats.org/drawingml/2006/picture">
            <wp:extent cx="5976000" cy="1784614"/>
            <wp:docPr id="17" name="Picture 17"/>
            <wp:cNvGraphicFramePr>
              <a:graphicFrameLocks noChangeAspect="1"/>
            </wp:cNvGraphicFramePr>
            <a:graphic>
              <a:graphicData uri="http://schemas.openxmlformats.org/drawingml/2006/picture">
                <pic:pic>
                  <pic:nvPicPr>
                    <pic:cNvPr id="0" name="initiative_model.png"/>
                    <pic:cNvPicPr/>
                  </pic:nvPicPr>
                  <pic:blipFill>
                    <a:blip r:embed="rId27"/>
                    <a:stretch>
                      <a:fillRect/>
                    </a:stretch>
                  </pic:blipFill>
                  <pic:spPr>
                    <a:xfrm>
                      <a:off x="0" y="0"/>
                      <a:ext cx="5976000" cy="1784614"/>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Four steps. The second one is what makes the other three possible at scale.</w:t>
      </w:r>
    </w:p>
    <w:p>
      <w:pPr>
        <w:keepLines w:val="true"/>
        <w:widowControl w:val="true"/>
        <w:spacing w:before="0" w:after="100" w:line="322" w:lineRule="auto"/>
      </w:pPr>
      <w:r>
        <w:rPr>
          <w:rFonts w:ascii="Plus Jakarta Sans" w:hAnsi="Plus Jakarta Sans" w:cs="Segoe UI"/>
          <w:b/>
          <w:i w:val="0"/>
          <w:color w:val="0B0E14"/>
          <w:sz w:val="19"/>
          <w:szCs w:val="19"/>
        </w:rPr>
        <w:t>Train-the-trainer is the mechanism, not an add-on.</w:t>
      </w:r>
      <w:r>
        <w:rPr>
          <w:rFonts w:ascii="Plus Jakarta Sans" w:hAnsi="Plus Jakarta Sans" w:cs="Segoe UI"/>
          <w:b w:val="0"/>
          <w:i w:val="0"/>
          <w:color w:val="0B0E14"/>
          <w:sz w:val="19"/>
          <w:szCs w:val="19"/>
        </w:rPr>
        <w:t xml:space="preserve"> No facilitator establishment StartPad could hire would reach 95,000 participants. Certifying the programme's own trainers — 2 cohorts in year one rising to 34 — puts delivery in the initiative's hands and sells at $12,000 a cohort while it does so. It is the single most important operational idea in this engine.</w:t>
      </w:r>
    </w:p>
    <w:p>
      <w:pPr>
        <w:keepNext/>
        <w:keepLines w:val="true"/>
        <w:widowControl w:val="true"/>
        <w:spacing w:before="300" w:after="100" w:line="288" w:lineRule="auto"/>
      </w:pPr>
      <w:r>
        <w:rPr>
          <w:rFonts w:ascii="Plus Jakarta Sans" w:hAnsi="Plus Jakarta Sans" w:cs="Segoe UI"/>
          <w:b/>
          <w:i w:val="0"/>
          <w:color w:val="0B0E14"/>
          <w:sz w:val="26"/>
          <w:szCs w:val="26"/>
        </w:rPr>
        <w:t>Pricing and economics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27"/>
        <w:gridCol w:w="1190"/>
        <w:gridCol w:w="1190"/>
        <w:gridCol w:w="1190"/>
        <w:gridCol w:w="3912"/>
      </w:tblGrid>
      <w:tr>
        <w:trPr>
          <w:tblHeader w:val="true"/>
        </w:trPr>
        <w:tc>
          <w:tcPr>
            <w:tcW w:type="dxa" w:w="1928"/>
            <w:shd w:val="clear" w:fill="0B0E14"/>
            <w:tcMar>
              <w:top w:w="79" w:type="dxa"/>
              <w:start w:w="90" w:type="dxa"/>
              <w:bottom w:w="79" w:type="dxa"/>
              <w:end w:w="79" w:type="dxa"/>
            </w:tcMar>
          </w:tcPr>
          <w:p>
            <w:pPr>
              <w:spacing w:after="0" w:line="278" w:lineRule="auto"/>
            </w:pPr>
          </w:p>
        </w:tc>
        <w:tc>
          <w:tcPr>
            <w:tcW w:type="dxa" w:w="11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1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1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391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Note</w:t>
            </w:r>
          </w:p>
        </w:tc>
      </w:tr>
      <w:tr>
        <w:trPr>
          <w:cantSplit w:val="true"/>
        </w:trPr>
        <w:tc>
          <w:tcPr>
            <w:tcW w:type="dxa" w:w="192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Seats</w:t>
            </w:r>
          </w:p>
        </w:tc>
        <w:tc>
          <w:tcPr>
            <w:tcW w:type="dxa" w:w="11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6,000</w:t>
            </w:r>
          </w:p>
        </w:tc>
        <w:tc>
          <w:tcPr>
            <w:tcW w:type="dxa" w:w="11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c>
          <w:tcPr>
            <w:tcW w:type="dxa" w:w="11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95,000</w:t>
            </w:r>
          </w:p>
        </w:tc>
        <w:tc>
          <w:tcPr>
            <w:tcW w:type="dxa" w:w="39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Across signed programme partnerships</w:t>
            </w:r>
          </w:p>
        </w:tc>
      </w:tr>
      <w:tr>
        <w:trPr>
          <w:cantSplit w:val="true"/>
        </w:trPr>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Price per seat</w:t>
            </w:r>
          </w:p>
        </w:tc>
        <w:tc>
          <w:tcPr>
            <w:tcW w:type="dxa" w:w="11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1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1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39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Falls with volume, which is the point</w:t>
            </w:r>
          </w:p>
        </w:tc>
      </w:tr>
      <w:tr>
        <w:trPr>
          <w:cantSplit w:val="true"/>
        </w:trPr>
        <w:tc>
          <w:tcPr>
            <w:tcW w:type="dxa" w:w="192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 cohorts</w:t>
            </w:r>
          </w:p>
        </w:tc>
        <w:tc>
          <w:tcPr>
            <w:tcW w:type="dxa" w:w="11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1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11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w:t>
            </w:r>
          </w:p>
        </w:tc>
        <w:tc>
          <w:tcPr>
            <w:tcW w:type="dxa" w:w="39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 $12,000 each</w:t>
            </w:r>
          </w:p>
        </w:tc>
      </w:tr>
      <w:tr>
        <w:trPr>
          <w:cantSplit w:val="true"/>
        </w:trPr>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Engine revenue</w:t>
            </w:r>
          </w:p>
        </w:tc>
        <w:tc>
          <w:tcPr>
            <w:tcW w:type="dxa" w:w="11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$156k</w:t>
            </w:r>
          </w:p>
        </w:tc>
        <w:tc>
          <w:tcPr>
            <w:tcW w:type="dxa" w:w="11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$738k</w:t>
            </w:r>
          </w:p>
        </w:tc>
        <w:tc>
          <w:tcPr>
            <w:tcW w:type="dxa" w:w="11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$2.2m</w:t>
            </w:r>
          </w:p>
        </w:tc>
        <w:tc>
          <w:tcPr>
            <w:tcW w:type="dxa" w:w="3912"/>
            <w:shd w:val="clear" w:fill="F5F6F8"/>
            <w:tcMar>
              <w:top w:w="73" w:type="dxa"/>
              <w:start w:w="90" w:type="dxa"/>
              <w:bottom w:w="73" w:type="dxa"/>
              <w:end w:w="79" w:type="dxa"/>
            </w:tcMar>
          </w:tcPr>
          <w:p>
            <w:pPr>
              <w:spacing w:after="0" w:line="288" w:lineRule="auto"/>
            </w:pPr>
          </w:p>
        </w:tc>
      </w:tr>
      <w:tr>
        <w:trPr>
          <w:cantSplit w:val="true"/>
        </w:trPr>
        <w:tc>
          <w:tcPr>
            <w:tcW w:type="dxa" w:w="192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Share of total</w:t>
            </w:r>
          </w:p>
        </w:tc>
        <w:tc>
          <w:tcPr>
            <w:tcW w:type="dxa" w:w="11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1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w:t>
            </w:r>
          </w:p>
        </w:tc>
        <w:tc>
          <w:tcPr>
            <w:tcW w:type="dxa" w:w="11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3912"/>
            <w:tcMar>
              <w:top w:w="73" w:type="dxa"/>
              <w:start w:w="90" w:type="dxa"/>
              <w:bottom w:w="73" w:type="dxa"/>
              <w:end w:w="79" w:type="dxa"/>
            </w:tcMar>
          </w:tcPr>
          <w:p>
            <w:pPr>
              <w:spacing w:after="0" w:line="288" w:lineRule="auto"/>
            </w:pP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A single initiative partnership is worth $279k over its life against $22k to win — the longest sales cycle in the plan and the highest return on it. Two partnerships land in year one, deliberately: one is a single point of failure.</w:t>
      </w:r>
    </w:p>
    <w:p>
      <w:pPr>
        <w:keepNext/>
        <w:keepLines w:val="true"/>
        <w:widowControl w:val="true"/>
        <w:spacing w:before="300" w:after="100" w:line="288" w:lineRule="auto"/>
      </w:pPr>
      <w:r>
        <w:rPr>
          <w:rFonts w:ascii="Plus Jakarta Sans" w:hAnsi="Plus Jakarta Sans" w:cs="Segoe UI"/>
          <w:b/>
          <w:i w:val="0"/>
          <w:color w:val="0B0E14"/>
          <w:sz w:val="26"/>
          <w:szCs w:val="26"/>
        </w:rPr>
        <w:t>Why these partnerships matter more than their revenue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Volume without a facilitator.</w:t>
      </w:r>
      <w:r>
        <w:rPr>
          <w:rFonts w:ascii="Plus Jakarta Sans" w:hAnsi="Plus Jakarta Sans" w:cs="Segoe UI"/>
          <w:b w:val="0"/>
          <w:i w:val="0"/>
          <w:color w:val="0B0E14"/>
          <w:sz w:val="19"/>
          <w:szCs w:val="19"/>
        </w:rPr>
        <w:t xml:space="preserve"> Sponsored seats are platform-only, so they scale past the facilitator constraint that caps Engine 1. A governorate programme can place thousands of seats in a quarter no bootcamp schedule could serve.</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Credibility that opens every other door.</w:t>
      </w:r>
      <w:r>
        <w:rPr>
          <w:rFonts w:ascii="Plus Jakarta Sans" w:hAnsi="Plus Jakarta Sans" w:cs="Segoe UI"/>
          <w:b w:val="0"/>
          <w:i w:val="0"/>
          <w:color w:val="0B0E14"/>
          <w:sz w:val="19"/>
          <w:szCs w:val="19"/>
        </w:rPr>
        <w:t xml:space="preserve"> Named participation in a national programme shortens the first conversation with a dean, a bank and an accelerator alike.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Reach outside the cities we can serve.</w:t>
      </w:r>
      <w:r>
        <w:rPr>
          <w:rFonts w:ascii="Plus Jakarta Sans" w:hAnsi="Plus Jakarta Sans" w:cs="Segoe UI"/>
          <w:b w:val="0"/>
          <w:i w:val="0"/>
          <w:color w:val="0B0E14"/>
          <w:sz w:val="19"/>
          <w:szCs w:val="19"/>
        </w:rPr>
        <w:t xml:space="preserve"> The governorate programmes deliberately target Upper Egypt and the border governorates — exactly the population the delivery-reachability filter excludes from Engine 1.</w:t>
      </w:r>
    </w:p>
    <w:p>
      <w:pPr>
        <w:keepNext/>
        <w:keepLines w:val="true"/>
        <w:widowControl w:val="true"/>
        <w:spacing w:before="300" w:after="100" w:line="288" w:lineRule="auto"/>
      </w:pPr>
      <w:r>
        <w:rPr>
          <w:rFonts w:ascii="Plus Jakarta Sans" w:hAnsi="Plus Jakarta Sans" w:cs="Segoe UI"/>
          <w:b/>
          <w:i w:val="0"/>
          <w:color w:val="0B0E14"/>
          <w:sz w:val="26"/>
          <w:szCs w:val="26"/>
        </w:rPr>
        <w:t>The partnership path</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641"/>
        <w:gridCol w:w="1996"/>
        <w:gridCol w:w="3850"/>
        <w:gridCol w:w="2923"/>
      </w:tblGrid>
      <w:tr>
        <w:trPr>
          <w:tblHeader w:val="true"/>
        </w:trPr>
        <w:tc>
          <w:tcPr>
            <w:tcW w:type="dxa" w:w="642"/>
            <w:shd w:val="clear" w:fill="0B0E14"/>
            <w:tcMar>
              <w:top w:w="79" w:type="dxa"/>
              <w:start w:w="90" w:type="dxa"/>
              <w:bottom w:w="79" w:type="dxa"/>
              <w:end w:w="79" w:type="dxa"/>
            </w:tcMar>
          </w:tcPr>
          <w:p>
            <w:pPr>
              <w:spacing w:after="0" w:line="278" w:lineRule="auto"/>
            </w:pPr>
          </w:p>
        </w:tc>
        <w:tc>
          <w:tcPr>
            <w:tcW w:type="dxa" w:w="19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Step</w:t>
            </w:r>
          </w:p>
        </w:tc>
        <w:tc>
          <w:tcPr>
            <w:tcW w:type="dxa" w:w="385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happens</w:t>
            </w:r>
          </w:p>
        </w:tc>
        <w:tc>
          <w:tcPr>
            <w:tcW w:type="dxa" w:w="29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owns it</w:t>
            </w:r>
          </w:p>
        </w:tc>
      </w:tr>
      <w:tr>
        <w:trPr>
          <w:cantSplit w:val="true"/>
        </w:trPr>
        <w:tc>
          <w:tcPr>
            <w:tcW w:type="dxa" w:w="64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w:t>
            </w:r>
          </w:p>
        </w:tc>
        <w:tc>
          <w:tcPr>
            <w:tcW w:type="dxa" w:w="1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Show results</w:t>
            </w:r>
          </w:p>
        </w:tc>
        <w:tc>
          <w:tcPr>
            <w:tcW w:type="dxa" w:w="385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cohort report from a comparable pilot</w:t>
            </w:r>
          </w:p>
        </w:tc>
        <w:tc>
          <w:tcPr>
            <w:tcW w:type="dxa" w:w="29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and Initiatives</w:t>
            </w:r>
          </w:p>
        </w:tc>
      </w:tr>
      <w:tr>
        <w:trPr>
          <w:cantSplit w:val="true"/>
        </w:trPr>
        <w:tc>
          <w:tcPr>
            <w:tcW w:type="dxa" w:w="64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w:t>
            </w:r>
          </w:p>
        </w:tc>
        <w:tc>
          <w:tcPr>
            <w:tcW w:type="dxa" w:w="1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Co-design a cohort</w:t>
            </w:r>
          </w:p>
        </w:tc>
        <w:tc>
          <w:tcPr>
            <w:tcW w:type="dxa" w:w="385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objective, our missions, agreed reporting</w:t>
            </w:r>
          </w:p>
        </w:tc>
        <w:tc>
          <w:tcPr>
            <w:tcW w:type="dxa" w:w="29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Curriculum with the partner</w:t>
            </w:r>
          </w:p>
        </w:tc>
      </w:tr>
      <w:tr>
        <w:trPr>
          <w:cantSplit w:val="true"/>
        </w:trPr>
        <w:tc>
          <w:tcPr>
            <w:tcW w:type="dxa" w:w="64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w:t>
            </w:r>
          </w:p>
        </w:tc>
        <w:tc>
          <w:tcPr>
            <w:tcW w:type="dxa" w:w="1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their trainers</w:t>
            </w:r>
          </w:p>
        </w:tc>
        <w:tc>
          <w:tcPr>
            <w:tcW w:type="dxa" w:w="385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Train-the-trainer cohorts</w:t>
            </w:r>
          </w:p>
        </w:tc>
        <w:tc>
          <w:tcPr>
            <w:tcW w:type="dxa" w:w="29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Facilitator certification lead</w:t>
            </w:r>
          </w:p>
        </w:tc>
      </w:tr>
      <w:tr>
        <w:trPr>
          <w:cantSplit w:val="true"/>
        </w:trPr>
        <w:tc>
          <w:tcPr>
            <w:tcW w:type="dxa" w:w="64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w:t>
            </w:r>
          </w:p>
        </w:tc>
        <w:tc>
          <w:tcPr>
            <w:tcW w:type="dxa" w:w="1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Provision and run</w:t>
            </w:r>
          </w:p>
        </w:tc>
        <w:tc>
          <w:tcPr>
            <w:tcW w:type="dxa" w:w="385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Bulk seats by governorate or region</w:t>
            </w:r>
          </w:p>
        </w:tc>
        <w:tc>
          <w:tcPr>
            <w:tcW w:type="dxa" w:w="29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Delivery Manager</w:t>
            </w:r>
          </w:p>
        </w:tc>
      </w:tr>
      <w:tr>
        <w:trPr>
          <w:cantSplit w:val="true"/>
        </w:trPr>
        <w:tc>
          <w:tcPr>
            <w:tcW w:type="dxa" w:w="64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w:t>
            </w:r>
          </w:p>
        </w:tc>
        <w:tc>
          <w:tcPr>
            <w:tcW w:type="dxa" w:w="1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Report back</w:t>
            </w:r>
          </w:p>
        </w:tc>
        <w:tc>
          <w:tcPr>
            <w:tcW w:type="dxa" w:w="385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Participation, progress, evidence, in their format</w:t>
            </w:r>
          </w:p>
        </w:tc>
        <w:tc>
          <w:tcPr>
            <w:tcW w:type="dxa" w:w="29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and the bid administrator</w:t>
            </w:r>
          </w:p>
        </w:tc>
      </w:tr>
      <w:tr>
        <w:trPr>
          <w:cantSplit w:val="true"/>
        </w:trPr>
        <w:tc>
          <w:tcPr>
            <w:tcW w:type="dxa" w:w="64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w:t>
            </w:r>
          </w:p>
        </w:tc>
        <w:tc>
          <w:tcPr>
            <w:tcW w:type="dxa" w:w="1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 and widen</w:t>
            </w:r>
          </w:p>
        </w:tc>
        <w:tc>
          <w:tcPr>
            <w:tcW w:type="dxa" w:w="385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larger cohort, or a governorate added</w:t>
            </w:r>
          </w:p>
        </w:tc>
        <w:tc>
          <w:tcPr>
            <w:tcW w:type="dxa" w:w="29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and Initiatives</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equivalent motion in Saudi Arabia</w:t>
      </w:r>
    </w:p>
    <w:p>
      <w:pPr>
        <w:keepLines w:val="true"/>
        <w:widowControl w:val="true"/>
        <w:spacing w:before="0" w:after="100" w:line="322" w:lineRule="auto"/>
      </w:pPr>
      <w:r>
        <w:rPr>
          <w:rFonts w:ascii="Plus Jakarta Sans" w:hAnsi="Plus Jakarta Sans" w:cs="Segoe UI"/>
          <w:b w:val="0"/>
          <w:i w:val="0"/>
          <w:color w:val="0B0E14"/>
          <w:sz w:val="19"/>
          <w:szCs w:val="19"/>
        </w:rPr>
        <w:t>The Kingdom's youth and SME institutions — Monsha'at on the SME side, the Misk Foundation on youth development — run programmes with the same structural gap: ambition and budget at national scale, delivery contracted out. The Saudi motion leads with these partners rather than with universities, which is why the Riyadh country manager is a partnerships hire and not a campus hire.</w:t>
      </w: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One caution. Misk cancelled its 2026 Global Forum, and flagship-event cancellations usually signal a programme budget under review. The Saudi plan should not depend on one institution: the Riyadh targets assume several partners, and the first Riyadh competition is the fallback route to founders if partnership budgets move.</w:t>
      </w:r>
    </w:p>
    <w:p>
      <w:pPr>
        <w:keepNext/>
        <w:keepLines w:val="true"/>
        <w:widowControl w:val="true"/>
        <w:spacing w:before="300" w:after="100" w:line="288" w:lineRule="auto"/>
      </w:pPr>
      <w:r>
        <w:rPr>
          <w:rFonts w:ascii="Plus Jakarta Sans" w:hAnsi="Plus Jakarta Sans" w:cs="Segoe UI"/>
          <w:b/>
          <w:i w:val="0"/>
          <w:color w:val="0B0E14"/>
          <w:sz w:val="26"/>
          <w:szCs w:val="26"/>
        </w:rPr>
        <w:t>What we must not promise</w:t>
      </w:r>
    </w:p>
    <w:p>
      <w:pPr>
        <w:keepLines w:val="true"/>
        <w:widowControl w:val="true"/>
        <w:spacing w:before="0" w:after="100" w:line="322" w:lineRule="auto"/>
      </w:pPr>
      <w:r>
        <w:rPr>
          <w:rFonts w:ascii="Plus Jakarta Sans" w:hAnsi="Plus Jakarta Sans" w:cs="Segoe UI"/>
          <w:b w:val="0"/>
          <w:i w:val="0"/>
          <w:color w:val="0B0E14"/>
          <w:sz w:val="19"/>
          <w:szCs w:val="19"/>
        </w:rPr>
        <w:t>A national programme will ask for an outcome number — jobs created, businesses registered, funding raised. StartPad records mission progress, evidence and review scores. Those are honest indicators of recorded work; they do not certify venture success, and the platform says so on the page. Contracting to an outcome the product cannot measure is the fastest way to lose a government relationship, and every agreement should state what is measured and what is not.</w:t>
      </w:r>
    </w:p>
    <w:p>
      <w:pPr>
        <w:keepNext/>
        <w:pageBreakBefore w:val="true"/>
        <w:spacing w:before="0" w:after="20"/>
      </w:pPr>
      <w:r>
        <w:rPr>
          <w:rFonts w:ascii="Plus Jakarta Sans" w:hAnsi="Plus Jakarta Sans" w:cs="Segoe UI"/>
          <w:b/>
          <w:i w:val="0"/>
          <w:color w:val="3418E0"/>
          <w:spacing w:val="28"/>
          <w:sz w:val="16"/>
          <w:szCs w:val="16"/>
        </w:rPr>
        <w:t>SECTION 07</w:t>
      </w:r>
    </w:p>
    <w:p>
      <w:pPr>
        <w:keepNext/>
        <w:spacing w:before="40" w:after="120"/>
      </w:pPr>
      <w:r>
        <w:rPr>
          <w:rFonts w:ascii="Plus Jakarta Sans" w:hAnsi="Plus Jakarta Sans" w:cs="Segoe UI"/>
          <w:b/>
          <w:i w:val="0"/>
          <w:color w:val="0B0E14"/>
          <w:sz w:val="42"/>
          <w:szCs w:val="42"/>
        </w:rPr>
        <w:t>Engine 3 — Sponsored competitions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Most companies treat a student competition as a marketing cost. Run on the platform and paid for by a sponsor, it is a 61%-margin revenue line that also opens universities and produces founders.</w:t>
      </w:r>
    </w:p>
    <w:p>
      <w:pPr>
        <w:keepNext/>
        <w:keepLines w:val="true"/>
        <w:widowControl w:val="true"/>
        <w:spacing w:before="300" w:after="100" w:line="288" w:lineRule="auto"/>
      </w:pPr>
      <w:r>
        <w:rPr>
          <w:rFonts w:ascii="Plus Jakarta Sans" w:hAnsi="Plus Jakarta Sans" w:cs="Segoe UI"/>
          <w:b/>
          <w:i w:val="0"/>
          <w:color w:val="0B0E14"/>
          <w:sz w:val="26"/>
          <w:szCs w:val="26"/>
        </w:rPr>
        <w:t>The model</w:t>
      </w:r>
    </w:p>
    <w:p>
      <w:pPr>
        <w:keepNext/>
        <w:spacing w:before="160" w:after="60"/>
        <w:jc w:val="center"/>
      </w:pPr>
      <w:r>
        <w:drawing>
          <wp:inline xmlns:a="http://schemas.openxmlformats.org/drawingml/2006/main" xmlns:pic="http://schemas.openxmlformats.org/drawingml/2006/picture">
            <wp:extent cx="5976000" cy="2233652"/>
            <wp:docPr id="18" name="Picture 18"/>
            <wp:cNvGraphicFramePr>
              <a:graphicFrameLocks noChangeAspect="1"/>
            </wp:cNvGraphicFramePr>
            <a:graphic>
              <a:graphicData uri="http://schemas.openxmlformats.org/drawingml/2006/picture">
                <pic:pic>
                  <pic:nvPicPr>
                    <pic:cNvPr id="0" name="competition_model.png"/>
                    <pic:cNvPicPr/>
                  </pic:nvPicPr>
                  <pic:blipFill>
                    <a:blip r:embed="rId28"/>
                    <a:stretch>
                      <a:fillRect/>
                    </a:stretch>
                  </pic:blipFill>
                  <pic:spPr>
                    <a:xfrm>
                      <a:off x="0" y="0"/>
                      <a:ext cx="5976000" cy="2233652"/>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Who pays, what they buy, and what the competition leaves behind.</w:t>
      </w:r>
    </w:p>
    <w:p>
      <w:pPr>
        <w:keepLines w:val="true"/>
        <w:widowControl w:val="true"/>
        <w:spacing w:before="0" w:after="100" w:line="322" w:lineRule="auto"/>
      </w:pPr>
      <w:r>
        <w:rPr>
          <w:rFonts w:ascii="Plus Jakarta Sans" w:hAnsi="Plus Jakarta Sans" w:cs="Segoe UI"/>
          <w:b w:val="0"/>
          <w:i w:val="0"/>
          <w:color w:val="0B0E14"/>
          <w:sz w:val="19"/>
          <w:szCs w:val="19"/>
        </w:rPr>
        <w:t xml:space="preserve">Entry is a free StartPad account. The qualifying rounds </w:t>
      </w:r>
      <w:r>
        <w:rPr>
          <w:rFonts w:ascii="Plus Jakarta Sans" w:hAnsi="Plus Jakarta Sans" w:cs="Segoe UI"/>
          <w:b/>
          <w:i w:val="0"/>
          <w:color w:val="0B0E14"/>
          <w:sz w:val="19"/>
          <w:szCs w:val="19"/>
        </w:rPr>
        <w:t>are</w:t>
      </w:r>
      <w:r>
        <w:rPr>
          <w:rFonts w:ascii="Plus Jakarta Sans" w:hAnsi="Plus Jakarta Sans" w:cs="Segoe UI"/>
          <w:b w:val="0"/>
          <w:i w:val="0"/>
          <w:color w:val="0B0E14"/>
          <w:sz w:val="19"/>
          <w:szCs w:val="19"/>
        </w:rPr>
        <w:t xml:space="preserve"> the Discovery missions, scored by the platform rather than by a committee reading PDFs. Judges at the final see reviewed work and evidence rather than slides, and finalists arrive genuinely prepared because they have done ten missions to get there.</w:t>
      </w:r>
    </w:p>
    <w:p>
      <w:pPr>
        <w:keepLines w:val="true"/>
        <w:widowControl w:val="true"/>
        <w:spacing w:before="0" w:after="100" w:line="322" w:lineRule="auto"/>
      </w:pPr>
      <w:r>
        <w:rPr>
          <w:rFonts w:ascii="Plus Jakarta Sans" w:hAnsi="Plus Jakarta Sans" w:cs="Segoe UI"/>
          <w:b w:val="0"/>
          <w:i w:val="0"/>
          <w:color w:val="0B0E14"/>
          <w:sz w:val="19"/>
          <w:szCs w:val="19"/>
        </w:rPr>
        <w:t>That design is what makes the sponsor's money worth spending. A conventional competition sponsor pays for a logo on a banner. Here they pay for a qualification process that produces a defensible shortlist, per-entrant evidence they can report on, and a cohort of founders who continue afterwards.</w:t>
      </w:r>
    </w:p>
    <w:p>
      <w:pPr>
        <w:keepNext/>
        <w:keepLines w:val="true"/>
        <w:widowControl w:val="true"/>
        <w:spacing w:before="300" w:after="100" w:line="288" w:lineRule="auto"/>
      </w:pPr>
      <w:r>
        <w:rPr>
          <w:rFonts w:ascii="Plus Jakarta Sans" w:hAnsi="Plus Jakarta Sans" w:cs="Segoe UI"/>
          <w:b/>
          <w:i w:val="0"/>
          <w:color w:val="0B0E14"/>
          <w:sz w:val="26"/>
          <w:szCs w:val="26"/>
        </w:rPr>
        <w:t>Who sponsors, and why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21"/>
        <w:gridCol w:w="5302"/>
        <w:gridCol w:w="1988"/>
      </w:tblGrid>
      <w:tr>
        <w:trPr>
          <w:tblHeader w:val="true"/>
        </w:trPr>
        <w:tc>
          <w:tcPr>
            <w:tcW w:type="dxa" w:w="212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Sponsor</w:t>
            </w:r>
          </w:p>
        </w:tc>
        <w:tc>
          <w:tcPr>
            <w:tcW w:type="dxa" w:w="53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are buying</w:t>
            </w:r>
          </w:p>
        </w:tc>
        <w:tc>
          <w:tcPr>
            <w:tcW w:type="dxa" w:w="19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Typical scale</w:t>
            </w:r>
          </w:p>
        </w:tc>
      </w:tr>
      <w:tr>
        <w:trPr>
          <w:cantSplit w:val="true"/>
        </w:trPr>
        <w:tc>
          <w:tcPr>
            <w:tcW w:type="dxa" w:w="212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Banks and fintechs</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Youth and SME positioning, plus a pipeline of bankable small businesses</w:t>
            </w:r>
          </w:p>
        </w:tc>
        <w:tc>
          <w:tcPr>
            <w:tcW w:type="dxa" w:w="198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$28,000–$45,000</w:t>
            </w:r>
          </w:p>
        </w:tc>
      </w:tr>
      <w:tr>
        <w:trPr>
          <w:cantSplit w:val="true"/>
        </w:trPr>
        <w:tc>
          <w:tcPr>
            <w:tcW w:type="dxa" w:w="212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Telcos</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Brand presence on campus and a digital-skills story</w:t>
            </w:r>
          </w:p>
        </w:tc>
        <w:tc>
          <w:tcPr>
            <w:tcW w:type="dxa" w:w="198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$25,000–$40,000</w:t>
            </w:r>
          </w:p>
        </w:tc>
      </w:tr>
      <w:tr>
        <w:trPr>
          <w:cantSplit w:val="true"/>
        </w:trPr>
        <w:tc>
          <w:tcPr>
            <w:tcW w:type="dxa" w:w="212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Ministries and agencies</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visible, reportable delivery vehicle for a national target</w:t>
            </w:r>
          </w:p>
        </w:tc>
        <w:tc>
          <w:tcPr>
            <w:tcW w:type="dxa" w:w="198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$30,000–$60,000</w:t>
            </w:r>
          </w:p>
        </w:tc>
      </w:tr>
      <w:tr>
        <w:trPr>
          <w:cantSplit w:val="true"/>
        </w:trPr>
        <w:tc>
          <w:tcPr>
            <w:tcW w:type="dxa" w:w="212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Universities</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flagship event that fills a hall and proves the centre is working</w:t>
            </w:r>
          </w:p>
        </w:tc>
        <w:tc>
          <w:tcPr>
            <w:tcW w:type="dxa" w:w="198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$15,000–$25,000</w:t>
            </w:r>
          </w:p>
        </w:tc>
      </w:tr>
      <w:tr>
        <w:trPr>
          <w:cantSplit w:val="true"/>
        </w:trPr>
        <w:tc>
          <w:tcPr>
            <w:tcW w:type="dxa" w:w="212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Foundations and donors</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Youth outcomes with per-participant evidence</w:t>
            </w:r>
          </w:p>
        </w:tc>
        <w:tc>
          <w:tcPr>
            <w:tcW w:type="dxa" w:w="198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$25,000–$50,000</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Economics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68"/>
        <w:gridCol w:w="1927"/>
        <w:gridCol w:w="5216"/>
      </w:tblGrid>
      <w:tr>
        <w:trPr>
          <w:tblHeader w:val="true"/>
        </w:trPr>
        <w:tc>
          <w:tcPr>
            <w:tcW w:type="dxa" w:w="2268"/>
            <w:shd w:val="clear" w:fill="0B0E14"/>
            <w:tcMar>
              <w:top w:w="79" w:type="dxa"/>
              <w:start w:w="90" w:type="dxa"/>
              <w:bottom w:w="79" w:type="dxa"/>
              <w:end w:w="79" w:type="dxa"/>
            </w:tcMar>
          </w:tcPr>
          <w:p>
            <w:pPr>
              <w:spacing w:after="0" w:line="278" w:lineRule="auto"/>
            </w:pP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Per competition</w:t>
            </w:r>
          </w:p>
        </w:tc>
        <w:tc>
          <w:tcPr>
            <w:tcW w:type="dxa" w:w="521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Note</w:t>
            </w:r>
          </w:p>
        </w:tc>
      </w:tr>
      <w:tr>
        <w:trPr>
          <w:cantSplit w:val="true"/>
        </w:trPr>
        <w:tc>
          <w:tcPr>
            <w:tcW w:type="dxa" w:w="2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 fee</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$28,000</w:t>
            </w:r>
          </w:p>
        </w:tc>
        <w:tc>
          <w:tcPr>
            <w:tcW w:type="dxa" w:w="52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Year one; rises with the format</w:t>
            </w:r>
          </w:p>
        </w:tc>
      </w:tr>
      <w:tr>
        <w:trPr>
          <w:cantSplit w:val="true"/>
        </w:trPr>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cost</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$11,000</w:t>
            </w:r>
          </w:p>
        </w:tc>
        <w:tc>
          <w:tcPr>
            <w:tcW w:type="dxa" w:w="52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Judging, platform setup, event staffing, on-site days</w:t>
            </w:r>
          </w:p>
        </w:tc>
      </w:tr>
      <w:tr>
        <w:trPr>
          <w:cantSplit w:val="true"/>
        </w:trPr>
        <w:tc>
          <w:tcPr>
            <w:tcW w:type="dxa" w:w="2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$17,000</w:t>
            </w:r>
          </w:p>
        </w:tc>
        <w:tc>
          <w:tcPr>
            <w:tcW w:type="dxa" w:w="52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61% margin</w:t>
            </w:r>
          </w:p>
        </w:tc>
      </w:tr>
      <w:tr>
        <w:trPr>
          <w:cantSplit w:val="true"/>
        </w:trPr>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Entrants reached</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~700</w:t>
            </w:r>
          </w:p>
        </w:tc>
        <w:tc>
          <w:tcPr>
            <w:tcW w:type="dxa" w:w="52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one opens a StartPad account</w:t>
            </w:r>
          </w:p>
        </w:tc>
      </w:tr>
      <w:tr>
        <w:trPr>
          <w:cantSplit w:val="true"/>
        </w:trPr>
        <w:tc>
          <w:tcPr>
            <w:tcW w:type="dxa" w:w="2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to win the sponsor</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$4,800</w:t>
            </w:r>
          </w:p>
        </w:tc>
        <w:tc>
          <w:tcPr>
            <w:tcW w:type="dxa" w:w="52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Returns 9× over 2.2 years</w:t>
            </w:r>
          </w:p>
        </w:tc>
      </w:tr>
      <w:tr>
        <w:trPr>
          <w:cantSplit w:val="true"/>
        </w:trPr>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Second-order value</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university and a sponsor relationship</w:t>
            </w:r>
          </w:p>
        </w:tc>
        <w:tc>
          <w:tcPr>
            <w:tcW w:type="dxa" w:w="52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Both of which the other engines sell into</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volume plan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48"/>
        <w:gridCol w:w="2154"/>
        <w:gridCol w:w="2154"/>
        <w:gridCol w:w="2154"/>
      </w:tblGrid>
      <w:tr>
        <w:trPr>
          <w:tblHeader w:val="true"/>
        </w:trPr>
        <w:tc>
          <w:tcPr>
            <w:tcW w:type="dxa" w:w="2948"/>
            <w:shd w:val="clear" w:fill="0B0E14"/>
            <w:tcMar>
              <w:top w:w="79" w:type="dxa"/>
              <w:start w:w="90" w:type="dxa"/>
              <w:bottom w:w="79" w:type="dxa"/>
              <w:end w:w="79" w:type="dxa"/>
            </w:tcMar>
          </w:tcPr>
          <w:p>
            <w:pPr>
              <w:spacing w:after="0" w:line="278" w:lineRule="auto"/>
            </w:pPr>
          </w:p>
        </w:tc>
        <w:tc>
          <w:tcPr>
            <w:tcW w:type="dxa" w:w="21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21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21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run</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Price each</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$28,000</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$32,000</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$36,000</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Entrants reached</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9,800</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23,800</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Engine revenue</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$112k</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$448k</w:t>
            </w:r>
          </w:p>
        </w:tc>
        <w:tc>
          <w:tcPr>
            <w:tcW w:type="dxa" w:w="21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$1.2m</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Share of total</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21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Why this engine is underrated</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It is the cheapest entry to a university</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student-activities office has no training budget but will happily host an event a bank is funding. Door 04 costs nothing to walk through and leads to Doors 01 and 03.</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It scales without facilitators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competition needs event staff for a day or two, not a certified pair for six days. It grows past the constraint that caps Engine 1.</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It produces the stories the whole company runs on</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winner with a real venture is the content that makes the next dean take the meeting and the next sponsor sign. The podcast exists to capture exactly this.</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It converts to subscriptions better than advertising ever will</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Competition entrants convert to paid at 6%, because they have already done the missions to qualify.</w:t>
      </w:r>
    </w:p>
    <w:p>
      <w:pPr>
        <w:keepLines w:val="true"/>
        <w:widowControl w:val="true"/>
        <w:spacing w:before="240" w:after="240" w:line="302" w:lineRule="auto"/>
        <w:ind w:left="227"/>
      </w:pPr>
      <w:r>
        <w:rPr>
          <w:rFonts w:ascii="Plus Jakarta Sans" w:hAnsi="Plus Jakarta Sans" w:cs="Segoe UI"/>
          <w:b/>
          <w:i w:val="0"/>
          <w:color w:val="3418E0"/>
          <w:sz w:val="27"/>
          <w:szCs w:val="27"/>
        </w:rPr>
        <w:t>The competition is not how we market the platform. The competition runs on the platform, and somebody else pays for it.</w:t>
      </w:r>
    </w:p>
    <w:p>
      <w:pPr>
        <w:keepNext/>
        <w:pageBreakBefore w:val="true"/>
        <w:spacing w:before="0" w:after="20"/>
      </w:pPr>
      <w:r>
        <w:rPr>
          <w:rFonts w:ascii="Plus Jakarta Sans" w:hAnsi="Plus Jakarta Sans" w:cs="Segoe UI"/>
          <w:b/>
          <w:i w:val="0"/>
          <w:color w:val="3418E0"/>
          <w:spacing w:val="28"/>
          <w:sz w:val="16"/>
          <w:szCs w:val="16"/>
        </w:rPr>
        <w:t>SECTION 08</w:t>
      </w:r>
    </w:p>
    <w:p>
      <w:pPr>
        <w:keepNext/>
        <w:spacing w:before="40" w:after="120"/>
      </w:pPr>
      <w:r>
        <w:rPr>
          <w:rFonts w:ascii="Plus Jakarta Sans" w:hAnsi="Plus Jakarta Sans" w:cs="Segoe UI"/>
          <w:b/>
          <w:i w:val="0"/>
          <w:color w:val="0B0E14"/>
          <w:sz w:val="42"/>
          <w:szCs w:val="42"/>
        </w:rPr>
        <w:t>Competition and positioning</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What a buyer uses instead of StartPad today, and why none of it closes the gap.</w:t>
      </w:r>
    </w:p>
    <w:p>
      <w:pPr>
        <w:keepNext/>
        <w:keepLines w:val="true"/>
        <w:widowControl w:val="true"/>
        <w:spacing w:before="300" w:after="100" w:line="288" w:lineRule="auto"/>
      </w:pPr>
      <w:r>
        <w:rPr>
          <w:rFonts w:ascii="Plus Jakarta Sans" w:hAnsi="Plus Jakarta Sans" w:cs="Segoe UI"/>
          <w:b/>
          <w:i w:val="0"/>
          <w:color w:val="0B0E14"/>
          <w:sz w:val="26"/>
          <w:szCs w:val="26"/>
        </w:rPr>
        <w:t>The alternatives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091"/>
        <w:gridCol w:w="3660"/>
        <w:gridCol w:w="3660"/>
      </w:tblGrid>
      <w:tr>
        <w:trPr>
          <w:tblHeader w:val="true"/>
        </w:trPr>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Dimension</w:t>
            </w:r>
          </w:p>
        </w:tc>
        <w:tc>
          <w:tcPr>
            <w:tcW w:type="dxa" w:w="36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Generic templates and guides</w:t>
            </w:r>
          </w:p>
        </w:tc>
        <w:tc>
          <w:tcPr>
            <w:tcW w:type="dxa" w:w="36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StartPad</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Structure</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list of things to consider</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or a bolted-on chatbot</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co-founder inside every mission</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Motivation</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built in</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Points, levels, streaks</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Tools</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Scattered across ten-plus sites</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121, mapped to the journey</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Region</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US-built, translated if at all</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MENA-built, bilingual</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Evidence</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is recorded</w:t>
            </w:r>
          </w:p>
        </w:tc>
        <w:tc>
          <w:tcPr>
            <w:tcW w:type="dxa" w:w="36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answer reviewed and scored</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buyer</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visibility at all</w:t>
            </w:r>
          </w:p>
        </w:tc>
        <w:tc>
          <w:tcPr>
            <w:tcW w:type="dxa" w:w="36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workspace and a decision-ready report</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competitive set, honestly</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University entrepreneurship centres running their own programmes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real incumbent, and the one to respect. They have the room, the students and the budget. We beat an in-house programme on method, bilingual content, the evidence trail and the reporting line — and we should enter as the thing that makes their centre look good, never as its replacement.</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Training consultancies and event agencies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direct competitor for the cohort, competition and corporate engines. Comparable or higher day rates, nothing left behind when the trainer goes, and no per-participant record. This is the comparison that makes the cohort price look cheap in front of a dean, and the one to lead with.</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They select founders; we prepare them. In practice they are Engine 5 rather than competition — a better-prepared applicant pool is the thing they most want.</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Online course platforms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Cheaper and broader. They sell completion, not evidence, and no institution can report a cohort outcome from a course certificate. We lose on price and win on what the buyer has to show.</w:t>
      </w:r>
    </w:p>
    <w:p>
      <w:pPr>
        <w:keepLines w:val="true"/>
        <w:widowControl w:val="true"/>
        <w:spacing w:before="240" w:after="240" w:line="302" w:lineRule="auto"/>
        <w:ind w:left="227"/>
      </w:pPr>
      <w:r>
        <w:rPr>
          <w:rFonts w:ascii="Plus Jakarta Sans" w:hAnsi="Plus Jakarta Sans" w:cs="Segoe UI"/>
          <w:b/>
          <w:i w:val="0"/>
          <w:color w:val="3418E0"/>
          <w:sz w:val="27"/>
          <w:szCs w:val="27"/>
        </w:rPr>
        <w:t>We do not win by being the best content. We win by being the only option that leaves the buyer with something they can report.</w:t>
      </w:r>
    </w:p>
    <w:p>
      <w:pPr>
        <w:keepNext/>
        <w:pageBreakBefore w:val="true"/>
        <w:spacing w:before="0" w:after="20"/>
      </w:pPr>
      <w:r>
        <w:rPr>
          <w:rFonts w:ascii="Plus Jakarta Sans" w:hAnsi="Plus Jakarta Sans" w:cs="Segoe UI"/>
          <w:b/>
          <w:i w:val="0"/>
          <w:color w:val="3418E0"/>
          <w:spacing w:val="28"/>
          <w:sz w:val="16"/>
          <w:szCs w:val="16"/>
        </w:rPr>
        <w:t>SECTION 09</w:t>
      </w:r>
    </w:p>
    <w:p>
      <w:pPr>
        <w:keepNext/>
        <w:spacing w:before="40" w:after="120"/>
      </w:pPr>
      <w:r>
        <w:rPr>
          <w:rFonts w:ascii="Plus Jakarta Sans" w:hAnsi="Plus Jakarta Sans" w:cs="Segoe UI"/>
          <w:b/>
          <w:i w:val="0"/>
          <w:color w:val="0B0E14"/>
          <w:sz w:val="42"/>
          <w:szCs w:val="42"/>
        </w:rPr>
        <w:t>Go-to-market plan</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Five moves, each unlocking the next, across two markets from day one. Campus first, proof next, two markets at once.</w:t>
      </w:r>
    </w:p>
    <w:p>
      <w:pPr>
        <w:keepNext/>
        <w:spacing w:before="160" w:after="60"/>
        <w:jc w:val="center"/>
      </w:pPr>
      <w:r>
        <w:drawing>
          <wp:inline xmlns:a="http://schemas.openxmlformats.org/drawingml/2006/main" xmlns:pic="http://schemas.openxmlformats.org/drawingml/2006/picture">
            <wp:extent cx="5976000" cy="1923781"/>
            <wp:docPr id="19" name="Picture 19"/>
            <wp:cNvGraphicFramePr>
              <a:graphicFrameLocks noChangeAspect="1"/>
            </wp:cNvGraphicFramePr>
            <a:graphic>
              <a:graphicData uri="http://schemas.openxmlformats.org/drawingml/2006/picture">
                <pic:pic>
                  <pic:nvPicPr>
                    <pic:cNvPr id="0" name="gtm_moves.png"/>
                    <pic:cNvPicPr/>
                  </pic:nvPicPr>
                  <pic:blipFill>
                    <a:blip r:embed="rId29"/>
                    <a:stretch>
                      <a:fillRect/>
                    </a:stretch>
                  </pic:blipFill>
                  <pic:spPr>
                    <a:xfrm>
                      <a:off x="0" y="0"/>
                      <a:ext cx="5976000" cy="1923781"/>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The five moves and what each unlocks. The order is load-bearing: each move is affordable only because the one before it happened.</w:t>
      </w:r>
    </w:p>
    <w:p>
      <w:pPr>
        <w:keepNext/>
        <w:keepLines w:val="true"/>
        <w:widowControl w:val="true"/>
        <w:spacing w:before="300" w:after="100" w:line="288" w:lineRule="auto"/>
      </w:pPr>
      <w:r>
        <w:rPr>
          <w:rFonts w:ascii="Plus Jakarta Sans" w:hAnsi="Plus Jakarta Sans" w:cs="Segoe UI"/>
          <w:b/>
          <w:i w:val="0"/>
          <w:color w:val="0B0E14"/>
          <w:sz w:val="26"/>
          <w:szCs w:val="26"/>
        </w:rPr>
        <w:t>The four phases of year one</w:t>
      </w:r>
    </w:p>
    <w:p>
      <w:pPr>
        <w:keepNext/>
        <w:spacing w:before="160" w:after="60"/>
        <w:jc w:val="center"/>
      </w:pPr>
      <w:r>
        <w:drawing>
          <wp:inline xmlns:a="http://schemas.openxmlformats.org/drawingml/2006/main" xmlns:pic="http://schemas.openxmlformats.org/drawingml/2006/picture">
            <wp:extent cx="5976000" cy="2660548"/>
            <wp:docPr id="20" name="Picture 20"/>
            <wp:cNvGraphicFramePr>
              <a:graphicFrameLocks noChangeAspect="1"/>
            </wp:cNvGraphicFramePr>
            <a:graphic>
              <a:graphicData uri="http://schemas.openxmlformats.org/drawingml/2006/picture">
                <pic:pic>
                  <pic:nvPicPr>
                    <pic:cNvPr id="0" name="phases.png"/>
                    <pic:cNvPicPr/>
                  </pic:nvPicPr>
                  <pic:blipFill>
                    <a:blip r:embed="rId30"/>
                    <a:stretch>
                      <a:fillRect/>
                    </a:stretch>
                  </pic:blipFill>
                  <pic:spPr>
                    <a:xfrm>
                      <a:off x="0" y="0"/>
                      <a:ext cx="5976000" cy="2660548"/>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Egypt and Saudi Arabia, in parallel, through four phases.</w:t>
      </w:r>
    </w:p>
    <w:p>
      <w:pPr>
        <w:keepNext/>
        <w:keepLines w:val="true"/>
        <w:widowControl w:val="true"/>
        <w:spacing w:before="300" w:after="100" w:line="288" w:lineRule="auto"/>
      </w:pPr>
      <w:r>
        <w:rPr>
          <w:rFonts w:ascii="Plus Jakarta Sans" w:hAnsi="Plus Jakarta Sans" w:cs="Segoe UI"/>
          <w:b/>
          <w:i w:val="0"/>
          <w:color w:val="0B0E14"/>
          <w:sz w:val="26"/>
          <w:szCs w:val="26"/>
        </w:rPr>
        <w:t>Two markets, two different doors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076"/>
        <w:gridCol w:w="3598"/>
        <w:gridCol w:w="3737"/>
      </w:tblGrid>
      <w:tr>
        <w:trPr>
          <w:tblHeader w:val="true"/>
        </w:trPr>
        <w:tc>
          <w:tcPr>
            <w:tcW w:type="dxa" w:w="2076"/>
            <w:shd w:val="clear" w:fill="0B0E14"/>
            <w:tcMar>
              <w:top w:w="79" w:type="dxa"/>
              <w:start w:w="90" w:type="dxa"/>
              <w:bottom w:w="79" w:type="dxa"/>
              <w:end w:w="79" w:type="dxa"/>
            </w:tcMar>
          </w:tcPr>
          <w:p>
            <w:pPr>
              <w:spacing w:after="0" w:line="278" w:lineRule="auto"/>
            </w:pPr>
          </w:p>
        </w:tc>
        <w:tc>
          <w:tcPr>
            <w:tcW w:type="dxa" w:w="35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w:t>
            </w:r>
          </w:p>
        </w:tc>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Saudi Arabia</w:t>
            </w:r>
          </w:p>
        </w:tc>
      </w:tr>
      <w:tr>
        <w:trPr>
          <w:cantSplit w:val="true"/>
        </w:trPr>
        <w:tc>
          <w:tcPr>
            <w:tcW w:type="dxa" w:w="207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Started</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September 2026</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September 2026, in parallel</w:t>
            </w:r>
          </w:p>
        </w:tc>
      </w:tr>
      <w:tr>
        <w:trPr>
          <w:cantSplit w:val="true"/>
        </w:trPr>
        <w:tc>
          <w:tcPr>
            <w:tcW w:type="dxa" w:w="207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door</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campuses</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 and youth initiatives</w:t>
            </w:r>
          </w:p>
        </w:tc>
      </w:tr>
      <w:tr>
        <w:trPr>
          <w:cantSplit w:val="true"/>
        </w:trPr>
        <w:tc>
          <w:tcPr>
            <w:tcW w:type="dxa" w:w="207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 engine</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Sponsored seats, then a Riyadh competition</w:t>
            </w:r>
          </w:p>
        </w:tc>
      </w:tr>
      <w:tr>
        <w:trPr>
          <w:cantSplit w:val="true"/>
        </w:trPr>
        <w:tc>
          <w:tcPr>
            <w:tcW w:type="dxa" w:w="207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Voice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colloquial</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Saudi dialect, composed not translated</w:t>
            </w:r>
          </w:p>
        </w:tc>
      </w:tr>
      <w:tr>
        <w:trPr>
          <w:cantSplit w:val="true"/>
        </w:trPr>
        <w:tc>
          <w:tcPr>
            <w:tcW w:type="dxa" w:w="207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Team</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Core team in Cairo</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country manager, supported from Cairo</w:t>
            </w:r>
          </w:p>
        </w:tc>
      </w:tr>
      <w:tr>
        <w:trPr>
          <w:cantSplit w:val="true"/>
        </w:trPr>
        <w:tc>
          <w:tcPr>
            <w:tcW w:type="dxa" w:w="207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Why this door</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 of the student population and campus access</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Funded programmes move faster than university procurement</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The markets are not sequenced because the doors are different. Waiting for Egypt to work before entering the Kingdom would have meant learning the Saudi programme-partner motion a year late — and the Saudi cohorts are the ones that pay from the first quarter while Egypt is still running free pilots.</w:t>
      </w:r>
    </w:p>
    <w:p>
      <w:pPr>
        <w:keepNext/>
        <w:keepLines w:val="true"/>
        <w:widowControl w:val="true"/>
        <w:spacing w:before="300" w:after="100" w:line="288" w:lineRule="auto"/>
      </w:pPr>
      <w:r>
        <w:rPr>
          <w:rFonts w:ascii="Plus Jakarta Sans" w:hAnsi="Plus Jakarta Sans" w:cs="Segoe UI"/>
          <w:b/>
          <w:i w:val="0"/>
          <w:color w:val="0B0E14"/>
          <w:sz w:val="26"/>
          <w:szCs w:val="26"/>
        </w:rPr>
        <w:t>The institutional pipeline</w:t>
      </w:r>
    </w:p>
    <w:p>
      <w:pPr>
        <w:keepNext/>
        <w:spacing w:before="160" w:after="60"/>
        <w:jc w:val="center"/>
      </w:pPr>
      <w:r>
        <w:drawing>
          <wp:inline xmlns:a="http://schemas.openxmlformats.org/drawingml/2006/main" xmlns:pic="http://schemas.openxmlformats.org/drawingml/2006/picture">
            <wp:extent cx="5976000" cy="2132532"/>
            <wp:docPr id="21" name="Picture 21"/>
            <wp:cNvGraphicFramePr>
              <a:graphicFrameLocks noChangeAspect="1"/>
            </wp:cNvGraphicFramePr>
            <a:graphic>
              <a:graphicData uri="http://schemas.openxmlformats.org/drawingml/2006/picture">
                <pic:pic>
                  <pic:nvPicPr>
                    <pic:cNvPr id="0" name="pipeline.png"/>
                    <pic:cNvPicPr/>
                  </pic:nvPicPr>
                  <pic:blipFill>
                    <a:blip r:embed="rId31"/>
                    <a:stretch>
                      <a:fillRect/>
                    </a:stretch>
                  </pic:blipFill>
                  <pic:spPr>
                    <a:xfrm>
                      <a:off x="0" y="0"/>
                      <a:ext cx="5976000" cy="2132532"/>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The funnel the company actually runs. Every stage is a number a named person owns.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48"/>
        <w:gridCol w:w="1020"/>
        <w:gridCol w:w="1134"/>
        <w:gridCol w:w="4309"/>
      </w:tblGrid>
      <w:tr>
        <w:trPr>
          <w:tblHeader w:val="true"/>
        </w:trPr>
        <w:tc>
          <w:tcPr>
            <w:tcW w:type="dxa" w:w="29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Conversion</w:t>
            </w:r>
          </w:p>
        </w:tc>
        <w:tc>
          <w:tcPr>
            <w:tcW w:type="dxa" w:w="43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owns it</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and sponsors identified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420</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Partnerships associates and the demand-generation team</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meeting held</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Heads of Partnerships, Government and Initiatives</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Pilot, proposal or bid submitted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the relevant engine, with the bid administrator</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Signed in year one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signing head, with the COO on delivery capacity</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41 signed relationships in year one across all engines. That is the number the whole plan rests on, and it is small enough to name every one of them in a pipeline review — which is exactly how it should be managed.</w:t>
      </w:r>
    </w:p>
    <w:p>
      <w:pPr>
        <w:keepNext/>
        <w:pageBreakBefore w:val="true"/>
        <w:spacing w:before="0" w:after="20"/>
      </w:pPr>
      <w:r>
        <w:rPr>
          <w:rFonts w:ascii="Plus Jakarta Sans" w:hAnsi="Plus Jakarta Sans" w:cs="Segoe UI"/>
          <w:b/>
          <w:i w:val="0"/>
          <w:color w:val="3418E0"/>
          <w:spacing w:val="28"/>
          <w:sz w:val="16"/>
          <w:szCs w:val="16"/>
        </w:rPr>
        <w:t>SECTION 10</w:t>
      </w:r>
    </w:p>
    <w:p>
      <w:pPr>
        <w:keepNext/>
        <w:spacing w:before="40" w:after="120"/>
      </w:pPr>
      <w:r>
        <w:rPr>
          <w:rFonts w:ascii="Plus Jakarta Sans" w:hAnsi="Plus Jakarta Sans" w:cs="Segoe UI"/>
          <w:b/>
          <w:i w:val="0"/>
          <w:color w:val="0B0E14"/>
          <w:sz w:val="42"/>
          <w:szCs w:val="42"/>
        </w:rPr>
        <w:t>Demand generation</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Not consumer acquisition. The job is to make a dean take a meeting, a sponsor return a call and a ministry shortlist us — and to know which campuses are ready before we spend a trip on them.</w:t>
      </w:r>
    </w:p>
    <w:p>
      <w:pPr>
        <w:keepNext/>
        <w:keepLines w:val="true"/>
        <w:widowControl w:val="true"/>
        <w:spacing w:before="300" w:after="100" w:line="288" w:lineRule="auto"/>
      </w:pPr>
      <w:r>
        <w:rPr>
          <w:rFonts w:ascii="Plus Jakarta Sans" w:hAnsi="Plus Jakarta Sans" w:cs="Segoe UI"/>
          <w:b/>
          <w:i w:val="0"/>
          <w:color w:val="0B0E14"/>
          <w:sz w:val="26"/>
          <w:szCs w:val="26"/>
        </w:rPr>
        <w:t>What the budget actually buys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44"/>
        <w:gridCol w:w="1222"/>
        <w:gridCol w:w="5745"/>
      </w:tblGrid>
      <w:tr>
        <w:trPr>
          <w:tblHeader w:val="true"/>
        </w:trPr>
        <w:tc>
          <w:tcPr>
            <w:tcW w:type="dxa" w:w="244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574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 for</w:t>
            </w:r>
          </w:p>
        </w:tc>
      </w:tr>
      <w:tr>
        <w:trPr>
          <w:cantSplit w:val="true"/>
        </w:trPr>
        <w:tc>
          <w:tcPr>
            <w:tcW w:type="dxa" w:w="244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podcast and video content</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$24,000</w:t>
            </w:r>
          </w:p>
        </w:tc>
        <w:tc>
          <w:tcPr>
            <w:tcW w:type="dxa" w:w="574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Founder stories in Egyptian Arabic. The asset that makes an institutional pitch credible — a dean responds to a graduate of a university like theirs</w:t>
            </w:r>
          </w:p>
        </w:tc>
      </w:tr>
      <w:tr>
        <w:trPr>
          <w:cantSplit w:val="true"/>
        </w:trPr>
        <w:tc>
          <w:tcPr>
            <w:tcW w:type="dxa" w:w="244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network</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574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 ambassadors across twelve campuses. The cheapest source of founders and the early-warning system for which campuses are ready to buy</w:t>
            </w:r>
          </w:p>
        </w:tc>
      </w:tr>
      <w:tr>
        <w:trPr>
          <w:cantSplit w:val="true"/>
        </w:trPr>
        <w:tc>
          <w:tcPr>
            <w:tcW w:type="dxa" w:w="244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Conferences, events and ecosystem presence</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574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partnership conversations start. The Global Entrepreneurship Festival in Cairo and the Saudi equivalents are pipeline events, not brand events</w:t>
            </w:r>
          </w:p>
        </w:tc>
      </w:tr>
      <w:tr>
        <w:trPr>
          <w:cantSplit w:val="true"/>
        </w:trPr>
        <w:tc>
          <w:tcPr>
            <w:tcW w:type="dxa" w:w="244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Targeted digital — retargeting and event fill</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574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Retargeting, competition entry and event fill only. There is no cold acquisition line</w:t>
            </w:r>
          </w:p>
        </w:tc>
      </w:tr>
      <w:tr>
        <w:trPr>
          <w:cantSplit w:val="true"/>
        </w:trPr>
        <w:tc>
          <w:tcPr>
            <w:tcW w:type="dxa" w:w="244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Collateral, case studies and cohort reports</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$9,000</w:t>
            </w:r>
          </w:p>
        </w:tc>
        <w:tc>
          <w:tcPr>
            <w:tcW w:type="dxa" w:w="574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reports, case studies and the proposal pack. The single most used sales asset in the company</w:t>
            </w:r>
          </w:p>
        </w:tc>
      </w:tr>
      <w:tr>
        <w:trPr>
          <w:cantSplit w:val="true"/>
        </w:trPr>
        <w:tc>
          <w:tcPr>
            <w:tcW w:type="dxa" w:w="244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22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$79,800</w:t>
            </w:r>
          </w:p>
        </w:tc>
        <w:tc>
          <w:tcPr>
            <w:tcW w:type="dxa" w:w="5744"/>
            <w:shd w:val="clear" w:fill="CBF24A"/>
            <w:tcMar>
              <w:top w:w="73" w:type="dxa"/>
              <w:start w:w="90" w:type="dxa"/>
              <w:bottom w:w="73" w:type="dxa"/>
              <w:end w:w="79" w:type="dxa"/>
            </w:tcMar>
          </w:tcPr>
          <w:p>
            <w:pPr>
              <w:spacing w:after="0" w:line="288" w:lineRule="auto"/>
            </w:pP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ambassador programme</w:t>
      </w:r>
    </w:p>
    <w:p>
      <w:pPr>
        <w:keepLines w:val="true"/>
        <w:widowControl w:val="true"/>
        <w:spacing w:before="0" w:after="100" w:line="322" w:lineRule="auto"/>
      </w:pPr>
      <w:r>
        <w:rPr>
          <w:rFonts w:ascii="Plus Jakarta Sans" w:hAnsi="Plus Jakarta Sans" w:cs="Segoe UI"/>
          <w:b w:val="0"/>
          <w:i w:val="0"/>
          <w:color w:val="0B0E14"/>
          <w:sz w:val="19"/>
          <w:szCs w:val="19"/>
        </w:rPr>
        <w:t>A campus team that earns its place — 96 ambassadors across twelve campuses by the Scale quarter, rising to 480 by year three. Status is earned through founders brought in and renewed each term; a title that cannot be lost is a title that stops working.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899"/>
        <w:gridCol w:w="1799"/>
        <w:gridCol w:w="3737"/>
        <w:gridCol w:w="2975"/>
      </w:tblGrid>
      <w:tr>
        <w:trPr>
          <w:tblHeader w:val="true"/>
        </w:trPr>
        <w:tc>
          <w:tcPr>
            <w:tcW w:type="dxa" w:w="90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Level</w:t>
            </w:r>
          </w:p>
        </w:tc>
        <w:tc>
          <w:tcPr>
            <w:tcW w:type="dxa" w:w="17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do</w:t>
            </w:r>
          </w:p>
        </w:tc>
        <w:tc>
          <w:tcPr>
            <w:tcW w:type="dxa" w:w="29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get</w:t>
            </w:r>
          </w:p>
        </w:tc>
      </w:tr>
      <w:tr>
        <w:trPr>
          <w:cantSplit w:val="true"/>
        </w:trPr>
        <w:tc>
          <w:tcPr>
            <w:tcW w:type="dxa" w:w="90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17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Member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Uses StartPad, joins workshops</w:t>
            </w:r>
          </w:p>
        </w:tc>
        <w:tc>
          <w:tcPr>
            <w:tcW w:type="dxa" w:w="2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Community standing</w:t>
            </w:r>
          </w:p>
        </w:tc>
      </w:tr>
      <w:tr>
        <w:trPr>
          <w:cantSplit w:val="true"/>
        </w:trPr>
        <w:tc>
          <w:tcPr>
            <w:tcW w:type="dxa" w:w="90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17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Ambassador</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Runs Mission 01 workshops</w:t>
            </w:r>
          </w:p>
        </w:tc>
        <w:tc>
          <w:tcPr>
            <w:tcW w:type="dxa" w:w="2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Free Pro access, stipend</w:t>
            </w:r>
          </w:p>
        </w:tc>
      </w:tr>
      <w:tr>
        <w:trPr>
          <w:cantSplit w:val="true"/>
        </w:trPr>
        <w:tc>
          <w:tcPr>
            <w:tcW w:type="dxa" w:w="90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17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lead</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Leads the team, owns student activities</w:t>
            </w:r>
          </w:p>
        </w:tc>
        <w:tc>
          <w:tcPr>
            <w:tcW w:type="dxa" w:w="2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Mentor sessions, references</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The network's most valuable output is not sign-ups. It is intelligence: which entrepreneurship centre has budget this term, which dean is under accreditation pressure, which student-activities office is looking for an event. That is what turns a cold institutional list into a warm pipeline.</w:t>
      </w:r>
    </w:p>
    <w:p>
      <w:pPr>
        <w:keepNext/>
        <w:keepLines w:val="true"/>
        <w:widowControl w:val="true"/>
        <w:spacing w:before="300" w:after="100" w:line="288" w:lineRule="auto"/>
      </w:pPr>
      <w:r>
        <w:rPr>
          <w:rFonts w:ascii="Plus Jakarta Sans" w:hAnsi="Plus Jakarta Sans" w:cs="Segoe UI"/>
          <w:b/>
          <w:i w:val="0"/>
          <w:color w:val="0B0E14"/>
          <w:sz w:val="26"/>
          <w:szCs w:val="26"/>
        </w:rPr>
        <w:t>The content engine</w:t>
      </w:r>
    </w:p>
    <w:p>
      <w:pPr>
        <w:keepLines w:val="true"/>
        <w:widowControl w:val="true"/>
        <w:spacing w:before="0" w:after="100" w:line="322" w:lineRule="auto"/>
      </w:pPr>
      <w:r>
        <w:rPr>
          <w:rFonts w:ascii="Plus Jakarta Sans" w:hAnsi="Plus Jakarta Sans" w:cs="Segoe UI"/>
          <w:b w:val="0"/>
          <w:i w:val="0"/>
          <w:color w:val="0B0E14"/>
          <w:sz w:val="19"/>
          <w:szCs w:val="19"/>
        </w:rPr>
        <w:t>One founder story, many pieces. Find founders who built from a graduation project; record a podcast episode in Egyptian Arabic; cut reels and posts; every piece ends at Mission 01. The podcast is not a brand exercise — it is the proof asset the institutional sale runs on, and competitions are where the stories come from.</w:t>
      </w:r>
    </w:p>
    <w:p>
      <w:pPr>
        <w:keepNext/>
        <w:keepLines w:val="true"/>
        <w:widowControl w:val="true"/>
        <w:spacing w:before="300" w:after="100" w:line="288" w:lineRule="auto"/>
      </w:pPr>
      <w:r>
        <w:rPr>
          <w:rFonts w:ascii="Plus Jakarta Sans" w:hAnsi="Plus Jakarta Sans" w:cs="Segoe UI"/>
          <w:b/>
          <w:i w:val="0"/>
          <w:color w:val="0B0E14"/>
          <w:sz w:val="26"/>
          <w:szCs w:val="26"/>
        </w:rPr>
        <w:t>What we deliberately do not do</w:t>
      </w: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There is no cold paid-acquisition line. Against a subscriber lifetime value of $125, buying strangers in these markets costs more per paying founder than the founder is worth. Targeted digital spend exists only to retarget people the engines already reached and to fill competition and event seats. If a future test shows paid acquisition clearing its cost, it should be reported as a marketing cost of the institutional business, not as consumer CAC.</w:t>
      </w:r>
    </w:p>
    <w:p>
      <w:pPr>
        <w:keepNext/>
        <w:pageBreakBefore w:val="true"/>
        <w:spacing w:before="0" w:after="20"/>
      </w:pPr>
      <w:r>
        <w:rPr>
          <w:rFonts w:ascii="Plus Jakarta Sans" w:hAnsi="Plus Jakarta Sans" w:cs="Segoe UI"/>
          <w:b/>
          <w:i w:val="0"/>
          <w:color w:val="3418E0"/>
          <w:spacing w:val="28"/>
          <w:sz w:val="16"/>
          <w:szCs w:val="16"/>
        </w:rPr>
        <w:t>SECTION 11</w:t>
      </w:r>
    </w:p>
    <w:p>
      <w:pPr>
        <w:keepNext/>
        <w:spacing w:before="40" w:after="120"/>
      </w:pPr>
      <w:r>
        <w:rPr>
          <w:rFonts w:ascii="Plus Jakarta Sans" w:hAnsi="Plus Jakarta Sans" w:cs="Segoe UI"/>
          <w:b/>
          <w:i w:val="0"/>
          <w:color w:val="0B0E14"/>
          <w:sz w:val="42"/>
          <w:szCs w:val="42"/>
        </w:rPr>
        <w:t>Organisation and HR plan</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32 employees in year one, growing to 118 by year three, plus two non-employee layers that carry most of the delivery load. The shape follows the engines: four institutional sales roles and no consumer growth function.</w:t>
      </w:r>
    </w:p>
    <w:p>
      <w:pPr>
        <w:keepNext/>
        <w:spacing w:before="160" w:after="60"/>
        <w:jc w:val="center"/>
      </w:pPr>
      <w:r>
        <w:drawing>
          <wp:inline xmlns:a="http://schemas.openxmlformats.org/drawingml/2006/main" xmlns:pic="http://schemas.openxmlformats.org/drawingml/2006/picture">
            <wp:extent cx="5976000" cy="2805061"/>
            <wp:docPr id="22" name="Picture 22"/>
            <wp:cNvGraphicFramePr>
              <a:graphicFrameLocks noChangeAspect="1"/>
            </wp:cNvGraphicFramePr>
            <a:graphic>
              <a:graphicData uri="http://schemas.openxmlformats.org/drawingml/2006/picture">
                <pic:pic>
                  <pic:nvPicPr>
                    <pic:cNvPr id="0" name="org_chart.png"/>
                    <pic:cNvPicPr/>
                  </pic:nvPicPr>
                  <pic:blipFill>
                    <a:blip r:embed="rId32"/>
                    <a:stretch>
                      <a:fillRect/>
                    </a:stretch>
                  </pic:blipFill>
                  <pic:spPr>
                    <a:xfrm>
                      <a:off x="0" y="0"/>
                      <a:ext cx="5976000" cy="2805061"/>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The year-one organisation. Four reporting lines under the CEO, who also personally runs the Day 01 platform onboarding in every cohort.</w:t>
      </w:r>
    </w:p>
    <w:p>
      <w:pPr>
        <w:keepNext/>
        <w:keepLines w:val="true"/>
        <w:widowControl w:val="true"/>
        <w:spacing w:before="300" w:after="100" w:line="288" w:lineRule="auto"/>
      </w:pPr>
      <w:r>
        <w:rPr>
          <w:rFonts w:ascii="Plus Jakarta Sans" w:hAnsi="Plus Jakarta Sans" w:cs="Segoe UI"/>
          <w:b/>
          <w:i w:val="0"/>
          <w:color w:val="0B0E14"/>
          <w:sz w:val="26"/>
          <w:szCs w:val="26"/>
        </w:rPr>
        <w:t>The full establishment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016"/>
        <w:gridCol w:w="3630"/>
        <w:gridCol w:w="739"/>
        <w:gridCol w:w="739"/>
        <w:gridCol w:w="739"/>
        <w:gridCol w:w="1546"/>
      </w:tblGrid>
      <w:tr>
        <w:trPr>
          <w:tblHeader w:val="true"/>
        </w:trPr>
        <w:tc>
          <w:tcPr>
            <w:tcW w:type="dxa" w:w="201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363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15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Monthly cost</w:t>
            </w:r>
          </w:p>
        </w:tc>
      </w:tr>
      <w:tr>
        <w:trPr>
          <w:cantSplit w:val="true"/>
        </w:trPr>
        <w:tc>
          <w:tcPr>
            <w:tcW w:type="dxa" w:w="20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Leadership</w:t>
            </w: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Executive Officer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Operating Officer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Technology Officer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w:t>
            </w:r>
          </w:p>
        </w:tc>
      </w:tr>
      <w:tr>
        <w:trPr>
          <w:cantSplit w:val="true"/>
        </w:trPr>
        <w:tc>
          <w:tcPr>
            <w:tcW w:type="dxa" w:w="201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 and Engineering</w:t>
            </w: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Senior full-stack engineer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AI engineer (Co-Founder, review scoring)</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Product designer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QA and platform reliability</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$1,300</w:t>
            </w:r>
          </w:p>
        </w:tc>
      </w:tr>
      <w:tr>
        <w:trPr>
          <w:cantSplit w:val="true"/>
        </w:trPr>
        <w:tc>
          <w:tcPr>
            <w:tcW w:type="dxa" w:w="201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Curriculum and Content</w:t>
            </w: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Curriculum</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Curriculum producer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Localisation lead (EG / KSA dialect)</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r>
      <w:tr>
        <w:trPr>
          <w:cantSplit w:val="true"/>
        </w:trPr>
        <w:tc>
          <w:tcPr>
            <w:tcW w:type="dxa" w:w="20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w:t>
            </w: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Delivery Manager — Egypt</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Delivery Manager — KSA</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facilitator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Facilitator certification lead</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Mentor network manager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$1,300</w:t>
            </w:r>
          </w:p>
        </w:tc>
      </w:tr>
      <w:tr>
        <w:trPr>
          <w:cantSplit w:val="true"/>
        </w:trPr>
        <w:tc>
          <w:tcPr>
            <w:tcW w:type="dxa" w:w="201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Sales</w:t>
            </w: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Institutional Partnerships — Egypt</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Country Manager — KSA (Riyadh)</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and Initiatives</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and events manager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partnerships associate</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Corporate partnerships associate</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Account manager — renewals and expansion</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$1,600</w:t>
            </w:r>
          </w:p>
        </w:tc>
      </w:tr>
      <w:tr>
        <w:trPr>
          <w:cantSplit w:val="true"/>
        </w:trPr>
        <w:tc>
          <w:tcPr>
            <w:tcW w:type="dxa" w:w="201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Demand Generation</w:t>
            </w: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Demand Generation</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Ambassador programme manager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Video and podcast producer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$1,300</w:t>
            </w:r>
          </w:p>
        </w:tc>
      </w:tr>
      <w:tr>
        <w:trPr>
          <w:cantSplit w:val="true"/>
        </w:trPr>
        <w:tc>
          <w:tcPr>
            <w:tcW w:type="dxa" w:w="201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Operations and Finance</w:t>
            </w: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Finance and administration manager</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w:t>
            </w:r>
          </w:p>
        </w:tc>
      </w:tr>
      <w:tr>
        <w:trPr>
          <w:cantSplit w:val="true"/>
        </w:trPr>
        <w:tc>
          <w:tcPr>
            <w:tcW w:type="dxa" w:w="2017"/>
            <w:tcMar>
              <w:top w:w="73" w:type="dxa"/>
              <w:start w:w="90" w:type="dxa"/>
              <w:bottom w:w="73" w:type="dxa"/>
              <w:end w:w="79" w:type="dxa"/>
            </w:tcMar>
          </w:tcPr>
          <w:p>
            <w:pPr>
              <w:spacing w:after="0" w:line="288" w:lineRule="auto"/>
            </w:pPr>
          </w:p>
        </w:tc>
        <w:tc>
          <w:tcPr>
            <w:tcW w:type="dxa" w:w="363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Bid and contract administrator</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$1,300</w:t>
            </w:r>
          </w:p>
        </w:tc>
      </w:tr>
      <w:tr>
        <w:trPr>
          <w:cantSplit w:val="true"/>
        </w:trPr>
        <w:tc>
          <w:tcPr>
            <w:tcW w:type="dxa" w:w="2017"/>
            <w:shd w:val="clear" w:fill="F5F6F8"/>
            <w:tcMar>
              <w:top w:w="73" w:type="dxa"/>
              <w:start w:w="90" w:type="dxa"/>
              <w:bottom w:w="73" w:type="dxa"/>
              <w:end w:w="79" w:type="dxa"/>
            </w:tcMar>
          </w:tcPr>
          <w:p>
            <w:pPr>
              <w:spacing w:after="0" w:line="288" w:lineRule="auto"/>
            </w:pPr>
          </w:p>
        </w:tc>
        <w:tc>
          <w:tcPr>
            <w:tcW w:type="dxa" w:w="363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success (bilingual)</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5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r>
      <w:tr>
        <w:trPr>
          <w:cantSplit w:val="true"/>
        </w:trPr>
        <w:tc>
          <w:tcPr>
            <w:tcW w:type="dxa" w:w="201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3630"/>
            <w:shd w:val="clear" w:fill="CBF24A"/>
            <w:tcMar>
              <w:top w:w="73" w:type="dxa"/>
              <w:start w:w="90" w:type="dxa"/>
              <w:bottom w:w="73" w:type="dxa"/>
              <w:end w:w="79" w:type="dxa"/>
            </w:tcMar>
          </w:tcPr>
          <w:p>
            <w:pPr>
              <w:spacing w:after="0" w:line="288" w:lineRule="auto"/>
            </w:pPr>
          </w:p>
        </w:tc>
        <w:tc>
          <w:tcPr>
            <w:tcW w:type="dxa" w:w="73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32</w:t>
            </w:r>
          </w:p>
        </w:tc>
        <w:tc>
          <w:tcPr>
            <w:tcW w:type="dxa" w:w="73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66</w:t>
            </w:r>
          </w:p>
        </w:tc>
        <w:tc>
          <w:tcPr>
            <w:tcW w:type="dxa" w:w="73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118</w:t>
            </w:r>
          </w:p>
        </w:tc>
        <w:tc>
          <w:tcPr>
            <w:tcW w:type="dxa" w:w="1546"/>
            <w:shd w:val="clear" w:fill="CBF24A"/>
            <w:tcMar>
              <w:top w:w="73" w:type="dxa"/>
              <w:start w:w="90" w:type="dxa"/>
              <w:bottom w:w="73" w:type="dxa"/>
              <w:end w:w="79" w:type="dxa"/>
            </w:tcMar>
          </w:tcPr>
          <w:p>
            <w:pPr>
              <w:spacing w:after="0" w:line="288" w:lineRule="auto"/>
            </w:pPr>
          </w:p>
        </w:tc>
      </w:tr>
    </w:tbl>
    <w:p>
      <w:pPr>
        <w:keepLines w:val="true"/>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771826"/>
            <wp:docPr id="23" name="Picture 23"/>
            <wp:cNvGraphicFramePr>
              <a:graphicFrameLocks noChangeAspect="1"/>
            </wp:cNvGraphicFramePr>
            <a:graphic>
              <a:graphicData uri="http://schemas.openxmlformats.org/drawingml/2006/picture">
                <pic:pic>
                  <pic:nvPicPr>
                    <pic:cNvPr id="0" name="headcount.png"/>
                    <pic:cNvPicPr/>
                  </pic:nvPicPr>
                  <pic:blipFill>
                    <a:blip r:embed="rId33"/>
                    <a:stretch>
                      <a:fillRect/>
                    </a:stretch>
                  </pic:blipFill>
                  <pic:spPr>
                    <a:xfrm>
                      <a:off x="0" y="0"/>
                      <a:ext cx="5976000" cy="2771826"/>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Headcount by function. Delivery and institutional sales grow fastest, because they are what the revenue is made of.</w:t>
      </w:r>
    </w:p>
    <w:p>
      <w:pPr>
        <w:keepNext/>
        <w:keepLines w:val="true"/>
        <w:widowControl w:val="true"/>
        <w:spacing w:before="300" w:after="100" w:line="288" w:lineRule="auto"/>
      </w:pPr>
      <w:r>
        <w:rPr>
          <w:rFonts w:ascii="Plus Jakarta Sans" w:hAnsi="Plus Jakarta Sans" w:cs="Segoe UI"/>
          <w:b/>
          <w:i w:val="0"/>
          <w:color w:val="0B0E14"/>
          <w:sz w:val="26"/>
          <w:szCs w:val="26"/>
        </w:rPr>
        <w:t>Two layers that are not on the payroll</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Certified freelance facilitators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Engine 1 runs on them. Four lead facilitators are employed; everything above 36 cohorts a year is delivered by a certified pool paid $120 a day. This keeps the largest variable cost variable, which protects the business in a quarter when a university postpones.</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96 campus ambassadors</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stipend, free Pro access and standing — not a salary. Their most valuable output is knowing which campus is ready to buy.</w:t>
      </w:r>
    </w:p>
    <w:p>
      <w:pPr>
        <w:keepNext/>
        <w:keepLines w:val="true"/>
        <w:widowControl w:val="true"/>
        <w:spacing w:before="300" w:after="100" w:line="288" w:lineRule="auto"/>
      </w:pPr>
      <w:r>
        <w:rPr>
          <w:rFonts w:ascii="Plus Jakarta Sans" w:hAnsi="Plus Jakarta Sans" w:cs="Segoe UI"/>
          <w:b/>
          <w:i w:val="0"/>
          <w:color w:val="0B0E14"/>
          <w:sz w:val="26"/>
          <w:szCs w:val="26"/>
        </w:rPr>
        <w:t>The hiring sequence, and why this order</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Before anything — the KSA country manager.</w:t>
      </w:r>
      <w:r>
        <w:rPr>
          <w:rFonts w:ascii="Plus Jakarta Sans" w:hAnsi="Plus Jakarta Sans" w:cs="Segoe UI"/>
          <w:b w:val="0"/>
          <w:i w:val="0"/>
          <w:color w:val="0B0E14"/>
          <w:sz w:val="19"/>
          <w:szCs w:val="19"/>
        </w:rPr>
        <w:t xml:space="preserve"> The most expensive single hire and the first one, because the Saudi motion is partnership-led and a partnership cycle is long. Hiring late pushes Saudi revenue out of year one entirely.</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Land quarter — delivery and curriculum.</w:t>
      </w:r>
      <w:r>
        <w:rPr>
          <w:rFonts w:ascii="Plus Jakarta Sans" w:hAnsi="Plus Jakarta Sans" w:cs="Segoe UI"/>
          <w:b w:val="0"/>
          <w:i w:val="0"/>
          <w:color w:val="0B0E14"/>
          <w:sz w:val="19"/>
          <w:szCs w:val="19"/>
        </w:rPr>
        <w:t xml:space="preserve"> Four lead facilitators, the certification lead and the Head of Curriculum, before any sales capacity. The free pilots have to run flawlessly because they are the only collateral the Prove quarter will have.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Land quarter — Head of Government and Initiatives.</w:t>
      </w:r>
      <w:r>
        <w:rPr>
          <w:rFonts w:ascii="Plus Jakarta Sans" w:hAnsi="Plus Jakarta Sans" w:cs="Segoe UI"/>
          <w:b w:val="0"/>
          <w:i w:val="0"/>
          <w:color w:val="0B0E14"/>
          <w:sz w:val="19"/>
          <w:szCs w:val="19"/>
        </w:rPr>
        <w:t xml:space="preserve"> Engine 2 has the longest cycle of any engine. Starting those conversations in the first quarter is what makes year-two seat volume possible.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Prove quarter — competitions manager and partnerships associates.</w:t>
      </w:r>
      <w:r>
        <w:rPr>
          <w:rFonts w:ascii="Plus Jakarta Sans" w:hAnsi="Plus Jakarta Sans" w:cs="Segoe UI"/>
          <w:b w:val="0"/>
          <w:i w:val="0"/>
          <w:color w:val="0B0E14"/>
          <w:sz w:val="19"/>
          <w:szCs w:val="19"/>
        </w:rPr>
        <w:t xml:space="preserve"> Now that cohort reports exist, the competition and university motions can both convert them.</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Expand quarter — engineering, bid administration and student success.</w:t>
      </w:r>
      <w:r>
        <w:rPr>
          <w:rFonts w:ascii="Plus Jakarta Sans" w:hAnsi="Plus Jakarta Sans" w:cs="Segoe UI"/>
          <w:b w:val="0"/>
          <w:i w:val="0"/>
          <w:color w:val="0B0E14"/>
          <w:sz w:val="19"/>
          <w:szCs w:val="19"/>
        </w:rPr>
        <w:t xml:space="preserve"> Volume triples; bulk provisioning, partner reporting and support all need to hold at a scale they have not seen.</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Scale quarter — second delivery manager and the full facilitator pool.</w:t>
      </w:r>
      <w:r>
        <w:rPr>
          <w:rFonts w:ascii="Plus Jakarta Sans" w:hAnsi="Plus Jakarta Sans" w:cs="Segoe UI"/>
          <w:b w:val="0"/>
          <w:i w:val="0"/>
          <w:color w:val="0B0E14"/>
          <w:sz w:val="19"/>
          <w:szCs w:val="19"/>
        </w:rPr>
        <w:t xml:space="preserve"> The quarter peaks at 11 facilitators, certified before it opens rather than during it.</w:t>
      </w:r>
    </w:p>
    <w:p>
      <w:pPr>
        <w:keepNext/>
        <w:keepLines w:val="true"/>
        <w:widowControl w:val="true"/>
        <w:spacing w:before="300" w:after="100" w:line="288" w:lineRule="auto"/>
      </w:pPr>
      <w:r>
        <w:rPr>
          <w:rFonts w:ascii="Plus Jakarta Sans" w:hAnsi="Plus Jakarta Sans" w:cs="Segoe UI"/>
          <w:b/>
          <w:i w:val="0"/>
          <w:color w:val="0B0E14"/>
          <w:sz w:val="26"/>
          <w:szCs w:val="26"/>
        </w:rPr>
        <w:t>Compensation and retention</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Cairo base, Riyadh exception</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Most roles are priced at Cairo. Two are priced at Riyadh — the country manager and the Saudi delivery manager — and together they are 23% of year-one payroll across two of 32 people. Under-pricing them is the most common way this plan fails quietly.</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Founders below market</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three leadership roles are at $3,000 a month, below what any of them could earn elsewhere. A deliberate runway decision, to be corrected at the year-two raise rather than left as a permanent feature.</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Facilitators are a career, not a gig</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certified pool is the operational asset. Certification, a rising day rate by tier, first refusal on employed lead roles and visible cohort outcomes are what stop the pool leaking to the consultancies competing for exactly these people.</w:t>
      </w:r>
    </w:p>
    <w:p>
      <w:pPr>
        <w:keepNext/>
        <w:keepLines w:val="true"/>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Institutional sales is paid on signing and on renewal</w:t>
      </w:r>
    </w:p>
    <w:p>
      <w:pPr>
        <w:keepLines w:val="true"/>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Commission runs at 6% of institutional revenue. Renewal is where this business lives, so the account manager role added from year two is compensated on retained and expanded revenue rather than on new logos.</w:t>
      </w:r>
    </w:p>
    <w:p>
      <w:pPr>
        <w:keepNext/>
        <w:pageBreakBefore w:val="true"/>
        <w:spacing w:before="0" w:after="20"/>
      </w:pPr>
      <w:r>
        <w:rPr>
          <w:rFonts w:ascii="Plus Jakarta Sans" w:hAnsi="Plus Jakarta Sans" w:cs="Segoe UI"/>
          <w:b/>
          <w:i w:val="0"/>
          <w:color w:val="3418E0"/>
          <w:spacing w:val="28"/>
          <w:sz w:val="16"/>
          <w:szCs w:val="16"/>
        </w:rPr>
        <w:t>SECTION 12</w:t>
      </w:r>
    </w:p>
    <w:p>
      <w:pPr>
        <w:keepNext/>
        <w:spacing w:before="40" w:after="120"/>
      </w:pPr>
      <w:r>
        <w:rPr>
          <w:rFonts w:ascii="Plus Jakarta Sans" w:hAnsi="Plus Jakarta Sans" w:cs="Segoe UI"/>
          <w:b/>
          <w:i w:val="0"/>
          <w:color w:val="0B0E14"/>
          <w:sz w:val="42"/>
          <w:szCs w:val="42"/>
        </w:rPr>
        <w:t>Operational plan</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What has to be true, and in what order, for the go-to-market plan to be deliverable rather than aspirational.</w:t>
      </w:r>
    </w:p>
    <w:p>
      <w:pPr>
        <w:keepNext/>
        <w:keepLines w:val="true"/>
        <w:widowControl w:val="true"/>
        <w:spacing w:before="300" w:after="100" w:line="288" w:lineRule="auto"/>
      </w:pPr>
      <w:r>
        <w:rPr>
          <w:rFonts w:ascii="Plus Jakarta Sans" w:hAnsi="Plus Jakarta Sans" w:cs="Segoe UI"/>
          <w:b/>
          <w:i w:val="0"/>
          <w:color w:val="0B0E14"/>
          <w:sz w:val="26"/>
          <w:szCs w:val="26"/>
        </w:rPr>
        <w:t>The binding constraint</w:t>
      </w:r>
    </w:p>
    <w:p>
      <w:pPr>
        <w:keepLines w:val="true"/>
        <w:widowControl w:val="true"/>
        <w:spacing w:before="0" w:after="100" w:line="322" w:lineRule="auto"/>
      </w:pPr>
      <w:r>
        <w:rPr>
          <w:rFonts w:ascii="Plus Jakarta Sans" w:hAnsi="Plus Jakarta Sans" w:cs="Segoe UI"/>
          <w:b w:val="0"/>
          <w:i w:val="0"/>
          <w:color w:val="0B0E14"/>
          <w:sz w:val="19"/>
          <w:szCs w:val="19"/>
        </w:rPr>
        <w:t>Demand is not the constraint in year one. Delivery capacity is. A facilitator pair runs one cohort per two weeks and needs slack for travel, preparation and campus holidays — 18 cohorts a pair a year. The quarterly plan converts directly into a facilitator headcount, and that number is the operating plan's primary schedule.</w:t>
      </w:r>
    </w:p>
    <w:p>
      <w:pPr>
        <w:keepNext/>
        <w:spacing w:before="160" w:after="60"/>
        <w:jc w:val="center"/>
      </w:pPr>
      <w:r>
        <w:drawing>
          <wp:inline xmlns:a="http://schemas.openxmlformats.org/drawingml/2006/main" xmlns:pic="http://schemas.openxmlformats.org/drawingml/2006/picture">
            <wp:extent cx="5976000" cy="2706803"/>
            <wp:docPr id="24" name="Picture 24"/>
            <wp:cNvGraphicFramePr>
              <a:graphicFrameLocks noChangeAspect="1"/>
            </wp:cNvGraphicFramePr>
            <a:graphic>
              <a:graphicData uri="http://schemas.openxmlformats.org/drawingml/2006/picture">
                <pic:pic>
                  <pic:nvPicPr>
                    <pic:cNvPr id="0" name="cohort_ramp.png"/>
                    <pic:cNvPicPr/>
                  </pic:nvPicPr>
                  <pic:blipFill>
                    <a:blip r:embed="rId34"/>
                    <a:stretch>
                      <a:fillRect/>
                    </a:stretch>
                  </pic:blipFill>
                  <pic:spPr>
                    <a:xfrm>
                      <a:off x="0" y="0"/>
                      <a:ext cx="5976000" cy="2706803"/>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Cohorts by quarter against the facilitators required. The Scale quarter needs roughly four times the capacity of the Land quarter.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05"/>
        <w:gridCol w:w="1386"/>
        <w:gridCol w:w="1386"/>
        <w:gridCol w:w="1240"/>
        <w:gridCol w:w="1313"/>
        <w:gridCol w:w="1021"/>
        <w:gridCol w:w="1459"/>
      </w:tblGrid>
      <w:tr>
        <w:trPr>
          <w:tblHeader w:val="true"/>
        </w:trPr>
        <w:tc>
          <w:tcPr>
            <w:tcW w:type="dxa" w:w="160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13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3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 paid</w:t>
            </w:r>
          </w:p>
        </w:tc>
        <w:tc>
          <w:tcPr>
            <w:tcW w:type="dxa" w:w="124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KSA paid</w:t>
            </w:r>
          </w:p>
        </w:tc>
        <w:tc>
          <w:tcPr>
            <w:tcW w:type="dxa" w:w="13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pilots</w:t>
            </w:r>
          </w:p>
        </w:tc>
        <w:tc>
          <w:tcPr>
            <w:tcW w:type="dxa" w:w="102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Total</w:t>
            </w:r>
          </w:p>
        </w:tc>
        <w:tc>
          <w:tcPr>
            <w:tcW w:type="dxa" w:w="14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Facilitators</w:t>
            </w:r>
          </w:p>
        </w:tc>
      </w:tr>
      <w:tr>
        <w:trPr>
          <w:cantSplit w:val="true"/>
        </w:trPr>
        <w:tc>
          <w:tcPr>
            <w:tcW w:type="dxa" w:w="160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w:t>
            </w:r>
          </w:p>
        </w:tc>
        <w:tc>
          <w:tcPr>
            <w:tcW w:type="dxa" w:w="13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w:t>
            </w:r>
          </w:p>
        </w:tc>
        <w:tc>
          <w:tcPr>
            <w:tcW w:type="dxa" w:w="13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3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02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4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r>
      <w:tr>
        <w:trPr>
          <w:cantSplit w:val="true"/>
        </w:trPr>
        <w:tc>
          <w:tcPr>
            <w:tcW w:type="dxa" w:w="160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w:t>
            </w:r>
          </w:p>
        </w:tc>
        <w:tc>
          <w:tcPr>
            <w:tcW w:type="dxa" w:w="13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Prove</w:t>
            </w:r>
          </w:p>
        </w:tc>
        <w:tc>
          <w:tcPr>
            <w:tcW w:type="dxa" w:w="13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3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02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4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r>
      <w:tr>
        <w:trPr>
          <w:cantSplit w:val="true"/>
        </w:trPr>
        <w:tc>
          <w:tcPr>
            <w:tcW w:type="dxa" w:w="160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w:t>
            </w:r>
          </w:p>
        </w:tc>
        <w:tc>
          <w:tcPr>
            <w:tcW w:type="dxa" w:w="13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Expand</w:t>
            </w:r>
          </w:p>
        </w:tc>
        <w:tc>
          <w:tcPr>
            <w:tcW w:type="dxa" w:w="13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3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02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w:t>
            </w:r>
          </w:p>
        </w:tc>
        <w:tc>
          <w:tcPr>
            <w:tcW w:type="dxa" w:w="14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r>
      <w:tr>
        <w:trPr>
          <w:cantSplit w:val="true"/>
        </w:trPr>
        <w:tc>
          <w:tcPr>
            <w:tcW w:type="dxa" w:w="160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w:t>
            </w:r>
          </w:p>
        </w:tc>
        <w:tc>
          <w:tcPr>
            <w:tcW w:type="dxa" w:w="13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13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2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3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02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4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r>
      <w:tr>
        <w:trPr>
          <w:cantSplit w:val="true"/>
        </w:trPr>
        <w:tc>
          <w:tcPr>
            <w:tcW w:type="dxa" w:w="160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one</w:t>
            </w:r>
          </w:p>
        </w:tc>
        <w:tc>
          <w:tcPr>
            <w:tcW w:type="dxa" w:w="1386"/>
            <w:shd w:val="clear" w:fill="CBF24A"/>
            <w:tcMar>
              <w:top w:w="73" w:type="dxa"/>
              <w:start w:w="90" w:type="dxa"/>
              <w:bottom w:w="73" w:type="dxa"/>
              <w:end w:w="79" w:type="dxa"/>
            </w:tcMar>
          </w:tcPr>
          <w:p>
            <w:pPr>
              <w:spacing w:after="0" w:line="288" w:lineRule="auto"/>
            </w:pPr>
          </w:p>
        </w:tc>
        <w:tc>
          <w:tcPr>
            <w:tcW w:type="dxa" w:w="1386"/>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34</w:t>
            </w:r>
          </w:p>
        </w:tc>
        <w:tc>
          <w:tcPr>
            <w:tcW w:type="dxa" w:w="124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22</w:t>
            </w:r>
          </w:p>
        </w:tc>
        <w:tc>
          <w:tcPr>
            <w:tcW w:type="dxa" w:w="131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w:t>
            </w:r>
          </w:p>
        </w:tc>
        <w:tc>
          <w:tcPr>
            <w:tcW w:type="dxa" w:w="102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60</w:t>
            </w:r>
          </w:p>
        </w:tc>
        <w:tc>
          <w:tcPr>
            <w:tcW w:type="dxa" w:w="145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peak 11</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 xml:space="preserve">Engines 2, 3 and 5 all scale </w:t>
      </w:r>
      <w:r>
        <w:rPr>
          <w:rFonts w:ascii="Plus Jakarta Sans" w:hAnsi="Plus Jakarta Sans" w:cs="Segoe UI"/>
          <w:b/>
          <w:i w:val="0"/>
          <w:color w:val="3A4050"/>
          <w:sz w:val="18"/>
          <w:szCs w:val="18"/>
        </w:rPr>
        <w:t>past</w:t>
      </w:r>
      <w:r>
        <w:rPr>
          <w:rFonts w:ascii="Plus Jakarta Sans" w:hAnsi="Plus Jakarta Sans" w:cs="Segoe UI"/>
          <w:b w:val="0"/>
          <w:i w:val="0"/>
          <w:color w:val="3A4050"/>
          <w:sz w:val="18"/>
          <w:szCs w:val="18"/>
        </w:rPr>
        <w:t xml:space="preserve"> this constraint — sponsored seats need no facilitator, a competition needs event staff for two days, and a programme partner facilitates for itself. That is a strategic property of the revenue mix, not a coincidence.</w:t>
      </w:r>
    </w:p>
    <w:p>
      <w:pPr>
        <w:keepNext/>
        <w:keepLines w:val="true"/>
        <w:widowControl w:val="true"/>
        <w:spacing w:before="300" w:after="100" w:line="288" w:lineRule="auto"/>
      </w:pPr>
      <w:r>
        <w:rPr>
          <w:rFonts w:ascii="Plus Jakarta Sans" w:hAnsi="Plus Jakarta Sans" w:cs="Segoe UI"/>
          <w:b/>
          <w:i w:val="0"/>
          <w:color w:val="0B0E14"/>
          <w:sz w:val="26"/>
          <w:szCs w:val="26"/>
        </w:rPr>
        <w:t>Readiness — what must exist before each phase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09"/>
        <w:gridCol w:w="5729"/>
        <w:gridCol w:w="1773"/>
      </w:tblGrid>
      <w:tr>
        <w:trPr>
          <w:tblHeader w:val="true"/>
        </w:trPr>
        <w:tc>
          <w:tcPr>
            <w:tcW w:type="dxa" w:w="19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By the start of</w:t>
            </w:r>
          </w:p>
        </w:tc>
        <w:tc>
          <w:tcPr>
            <w:tcW w:type="dxa" w:w="57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must be ready</w:t>
            </w:r>
          </w:p>
        </w:tc>
        <w:tc>
          <w:tcPr>
            <w:tcW w:type="dxa" w:w="177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Owner</w:t>
            </w:r>
          </w:p>
        </w:tc>
      </w:tr>
      <w:tr>
        <w:trPr>
          <w:cantSplit w:val="true"/>
        </w:trPr>
        <w:tc>
          <w:tcPr>
            <w:tcW w:type="dxa" w:w="190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 · Land</w:t>
            </w:r>
          </w:p>
        </w:tc>
        <w:tc>
          <w:tcPr>
            <w:tcW w:type="dxa" w:w="57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Four certified facilitators · the six-day curriculum and all materials in both languages · the admin workspace with cohort creation and invitations · a signed pilot agreement template · the Riyadh country manager in post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COO</w:t>
            </w:r>
          </w:p>
        </w:tc>
      </w:tr>
      <w:tr>
        <w:trPr>
          <w:cantSplit w:val="true"/>
        </w:trPr>
        <w:tc>
          <w:tcPr>
            <w:tcW w:type="dxa" w:w="190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 · Prove</w:t>
            </w:r>
          </w:p>
        </w:tc>
        <w:tc>
          <w:tcPr>
            <w:tcW w:type="dxa" w:w="57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cohort report, generated without manual editing · judging rubric and certificates · four completed pilot reports · the competition entry and qualification flow on the platform</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COO and Head of Curriculum</w:t>
            </w:r>
          </w:p>
        </w:tc>
      </w:tr>
      <w:tr>
        <w:trPr>
          <w:cantSplit w:val="true"/>
        </w:trPr>
        <w:tc>
          <w:tcPr>
            <w:tcW w:type="dxa" w:w="190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 · Expand</w:t>
            </w:r>
          </w:p>
        </w:tc>
        <w:tc>
          <w:tcPr>
            <w:tcW w:type="dxa" w:w="57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Eight more certified facilitators · bulk seat provisioning and partner-level reporting for sponsored programmes · the train-the-trainer curriculum · support cover in both languages at volume</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Managers</w:t>
            </w:r>
          </w:p>
        </w:tc>
      </w:tr>
      <w:tr>
        <w:trPr>
          <w:cantSplit w:val="true"/>
        </w:trPr>
        <w:tc>
          <w:tcPr>
            <w:tcW w:type="dxa" w:w="190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 · Scale</w:t>
            </w:r>
          </w:p>
        </w:tc>
        <w:tc>
          <w:tcPr>
            <w:tcW w:type="dxa" w:w="57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full facilitator pool certified before the quarter opens · renewal pack and second-term pricing · parallel-group scheduling for 100-plus intakes · Riyadh competition logistics</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COO and Heads of Sales</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The cohort delivery machine</w:t>
      </w:r>
    </w:p>
    <w:p>
      <w:pPr>
        <w:keepLines w:val="true"/>
        <w:widowControl w:val="true"/>
        <w:spacing w:before="0" w:after="100" w:line="322" w:lineRule="auto"/>
      </w:pPr>
      <w:r>
        <w:rPr>
          <w:rFonts w:ascii="Plus Jakarta Sans" w:hAnsi="Plus Jakarta Sans" w:cs="Segoe UI"/>
          <w:b w:val="0"/>
          <w:i w:val="0"/>
          <w:color w:val="0B0E14"/>
          <w:sz w:val="19"/>
          <w:szCs w:val="19"/>
        </w:rPr>
        <w:t>Every cohort runs the same way, and the sameness is the point: it lets a freelance facilitator deliver a cohort the company has never seen, and makes the cohort report comparable across institutions.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Scheduling.</w:t>
      </w:r>
      <w:r>
        <w:rPr>
          <w:rFonts w:ascii="Plus Jakarta Sans" w:hAnsi="Plus Jakarta Sans" w:cs="Segoe UI"/>
          <w:b w:val="0"/>
          <w:i w:val="0"/>
          <w:color w:val="0B0E14"/>
          <w:sz w:val="19"/>
          <w:szCs w:val="19"/>
        </w:rPr>
        <w:t xml:space="preserve"> Cohort dates are fixed against the institution's academic calendar, not ours. Egyptian and Saudi terms differ and Ramadan moves. The delivery calendar is built a term ahead and is the constraint sales sells against — never the other way round.</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Facilitator assignment.</w:t>
      </w:r>
      <w:r>
        <w:rPr>
          <w:rFonts w:ascii="Plus Jakarta Sans" w:hAnsi="Plus Jakarta Sans" w:cs="Segoe UI"/>
          <w:b w:val="0"/>
          <w:i w:val="0"/>
          <w:color w:val="0B0E14"/>
          <w:sz w:val="19"/>
          <w:szCs w:val="19"/>
        </w:rPr>
        <w:t xml:space="preserve"> A certified pair per group, with an employed lead facilitator on the first cohort at any new institution. The freelance pool covers repeat institutions, where the format is proven.</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Materials.</w:t>
      </w:r>
      <w:r>
        <w:rPr>
          <w:rFonts w:ascii="Plus Jakarta Sans" w:hAnsi="Plus Jakarta Sans" w:cs="Segoe UI"/>
          <w:b w:val="0"/>
          <w:i w:val="0"/>
          <w:color w:val="0B0E14"/>
          <w:sz w:val="19"/>
          <w:szCs w:val="19"/>
        </w:rPr>
        <w:t xml:space="preserve"> Printed kits, problem cards, canvases and certificates shipped to the venue a week ahead; digital copies in the admin workspace.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daily loop.</w:t>
      </w:r>
      <w:r>
        <w:rPr>
          <w:rFonts w:ascii="Plus Jakarta Sans" w:hAnsi="Plus Jakarta Sans" w:cs="Segoe UI"/>
          <w:b w:val="0"/>
          <w:i w:val="0"/>
          <w:color w:val="0B0E14"/>
          <w:sz w:val="19"/>
          <w:szCs w:val="19"/>
        </w:rPr>
        <w:t xml:space="preserve"> Opener on last night's StartPad progress; short input, then apply it; checkpoint marked Meets, Partly or Not yet; the team splits that night's missions and submits; AI feedback lands before the next opener. Days one to five.</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Bazaar.</w:t>
      </w:r>
      <w:r>
        <w:rPr>
          <w:rFonts w:ascii="Plus Jakarta Sans" w:hAnsi="Plus Jakarta Sans" w:cs="Segoe UI"/>
          <w:b w:val="0"/>
          <w:i w:val="0"/>
          <w:color w:val="0B0E14"/>
          <w:sz w:val="19"/>
          <w:szCs w:val="19"/>
        </w:rPr>
        <w:t xml:space="preserve"> Day six is public — faculty, families, partners and judges. Certificates, photographs and the cohort report issue the same week, because a report that arrives a month later renews nothing.</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Handover.</w:t>
      </w:r>
      <w:r>
        <w:rPr>
          <w:rFonts w:ascii="Plus Jakarta Sans" w:hAnsi="Plus Jakarta Sans" w:cs="Segoe UI"/>
          <w:b w:val="0"/>
          <w:i w:val="0"/>
          <w:color w:val="0B0E14"/>
          <w:sz w:val="19"/>
          <w:szCs w:val="19"/>
        </w:rPr>
        <w:t xml:space="preserve"> Missions 11–15 stay open to the student afterwards and the institution keeps visibility. This turns a two-week engagement into a year-long relationship, and it is where subscription revenue comes from.</w:t>
      </w:r>
    </w:p>
    <w:p>
      <w:pPr>
        <w:keepNext/>
        <w:keepLines w:val="true"/>
        <w:widowControl w:val="true"/>
        <w:spacing w:before="300" w:after="100" w:line="288" w:lineRule="auto"/>
      </w:pPr>
      <w:r>
        <w:rPr>
          <w:rFonts w:ascii="Plus Jakarta Sans" w:hAnsi="Plus Jakarta Sans" w:cs="Segoe UI"/>
          <w:b/>
          <w:i w:val="0"/>
          <w:color w:val="0B0E14"/>
          <w:sz w:val="26"/>
          <w:szCs w:val="26"/>
        </w:rPr>
        <w:t>Facilitator certification</w:t>
      </w:r>
    </w:p>
    <w:p>
      <w:pPr>
        <w:keepLines w:val="true"/>
        <w:widowControl w:val="true"/>
        <w:spacing w:before="0" w:after="100" w:line="322" w:lineRule="auto"/>
      </w:pPr>
      <w:r>
        <w:rPr>
          <w:rFonts w:ascii="Plus Jakarta Sans" w:hAnsi="Plus Jakarta Sans" w:cs="Segoe UI"/>
          <w:b w:val="0"/>
          <w:i w:val="0"/>
          <w:color w:val="0B0E14"/>
          <w:sz w:val="19"/>
          <w:szCs w:val="19"/>
        </w:rPr>
        <w:t>The pool is the operational asset and the main single point of failure. Four steps, run by the certification lead: observe a full cohort; co-deliver two days under a lead; deliver a full cohort observed and scored against the rubric; recertify each term against cohort outcomes and student feedback. Nobody facilitates unobserved before step three is passed, including under schedule pressure — which is precisely when the temptation arrives.</w:t>
      </w:r>
    </w:p>
    <w:p>
      <w:pPr>
        <w:keepLines w:val="true"/>
        <w:widowControl w:val="true"/>
        <w:spacing w:before="0" w:after="100" w:line="322" w:lineRule="auto"/>
      </w:pPr>
      <w:r>
        <w:rPr>
          <w:rFonts w:ascii="Plus Jakarta Sans" w:hAnsi="Plus Jakarta Sans" w:cs="Segoe UI"/>
          <w:b w:val="0"/>
          <w:i w:val="0"/>
          <w:color w:val="0B0E14"/>
          <w:sz w:val="19"/>
          <w:szCs w:val="19"/>
        </w:rPr>
        <w:t>The same machinery certifies a partner's own trainers under Engine 2. 34 train-the-trainer cohorts in year three is a revenue line and a scaling mechanism at once, and it runs on the certification process built for internal use.</w:t>
      </w:r>
    </w:p>
    <w:p>
      <w:pPr>
        <w:keepNext/>
        <w:keepLines w:val="true"/>
        <w:widowControl w:val="true"/>
        <w:spacing w:before="300" w:after="100" w:line="288" w:lineRule="auto"/>
      </w:pPr>
      <w:r>
        <w:rPr>
          <w:rFonts w:ascii="Plus Jakarta Sans" w:hAnsi="Plus Jakarta Sans" w:cs="Segoe UI"/>
          <w:b/>
          <w:i w:val="0"/>
          <w:color w:val="0B0E14"/>
          <w:sz w:val="26"/>
          <w:szCs w:val="26"/>
        </w:rPr>
        <w:t>What the platform must do to support the plan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4637"/>
        <w:gridCol w:w="1773"/>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Capability</w:t>
            </w:r>
          </w:p>
        </w:tc>
        <w:tc>
          <w:tcPr>
            <w:tcW w:type="dxa" w:w="46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Which engine needs it</w:t>
            </w:r>
          </w:p>
        </w:tc>
        <w:tc>
          <w:tcPr>
            <w:tcW w:type="dxa" w:w="177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Needed by</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account: cohort creation, bulk invitation, educator assignment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2, 5 — without it there is no institutional product at all</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 with scoped programme data</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The trust position that makes a university sign and keeps the company clear of student-data problems</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review at cohort volume, overnight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1. The daily loop breaks if feedback is not ready before the next opener; 25 students submitting the same evening is a load spike</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Full Arabic parity, right-to-left, including exported PDFs</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A ministry cannot circulate a report it cannot read</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entry, qualification and judging flow</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Entry as an account, rounds as missions, a judges' pack generated from reviewed work</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4. The renewal document and the collateral every other engine sells on</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Bulk seat provisioning and partner-level reporting by region</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Programmes place thousands of seats at once and report to their own donors</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Quality gates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Mission completion.</w:t>
      </w:r>
      <w:r>
        <w:rPr>
          <w:rFonts w:ascii="Plus Jakarta Sans" w:hAnsi="Plus Jakarta Sans" w:cs="Segoe UI"/>
          <w:b w:val="0"/>
          <w:i w:val="0"/>
          <w:color w:val="0B0E14"/>
          <w:sz w:val="19"/>
          <w:szCs w:val="19"/>
        </w:rPr>
        <w:t xml:space="preserve"> At least 80% of students complete missions 01–10 by the Bazaar. Below that, the evening loop is not working and the facilitator pairing is examined first.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Review turnaround.</w:t>
      </w:r>
      <w:r>
        <w:rPr>
          <w:rFonts w:ascii="Plus Jakarta Sans" w:hAnsi="Plus Jakarta Sans" w:cs="Segoe UI"/>
          <w:b w:val="0"/>
          <w:i w:val="0"/>
          <w:color w:val="0B0E14"/>
          <w:sz w:val="19"/>
          <w:szCs w:val="19"/>
        </w:rPr>
        <w:t xml:space="preserve"> AI feedback available before the next day's opener, every night. This is a platform SLA, not a target.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Bazaar delivery.</w:t>
      </w:r>
      <w:r>
        <w:rPr>
          <w:rFonts w:ascii="Plus Jakarta Sans" w:hAnsi="Plus Jakarta Sans" w:cs="Segoe UI"/>
          <w:b w:val="0"/>
          <w:i w:val="0"/>
          <w:color w:val="0B0E14"/>
          <w:sz w:val="19"/>
          <w:szCs w:val="19"/>
        </w:rPr>
        <w:t xml:space="preserve"> Every team pitches and every member speaks. A team that cannot is a facilitation failure that showed up two days earlier and was not caught.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Report issued inside five working days</w:t>
      </w:r>
      <w:r>
        <w:rPr>
          <w:rFonts w:ascii="Plus Jakarta Sans" w:hAnsi="Plus Jakarta Sans" w:cs="Segoe UI"/>
          <w:b w:val="0"/>
          <w:i w:val="0"/>
          <w:color w:val="0B0E14"/>
          <w:sz w:val="19"/>
          <w:szCs w:val="19"/>
        </w:rPr>
        <w:t xml:space="preserve"> of the Bazaar, to the person who signed.</w:t>
      </w:r>
    </w:p>
    <w:p>
      <w:pPr>
        <w:keepNext/>
        <w:keepLines w:val="true"/>
        <w:widowControl w:val="true"/>
        <w:spacing w:before="300" w:after="100" w:line="288" w:lineRule="auto"/>
      </w:pPr>
      <w:r>
        <w:rPr>
          <w:rFonts w:ascii="Plus Jakarta Sans" w:hAnsi="Plus Jakarta Sans" w:cs="Segoe UI"/>
          <w:b/>
          <w:i w:val="0"/>
          <w:color w:val="0B0E14"/>
          <w:sz w:val="26"/>
          <w:szCs w:val="26"/>
        </w:rPr>
        <w:t>Data protection and the student relationship</w:t>
      </w:r>
    </w:p>
    <w:p>
      <w:pPr>
        <w:keepLines w:val="true"/>
        <w:widowControl w:val="true"/>
        <w:spacing w:before="0" w:after="100" w:line="322" w:lineRule="auto"/>
      </w:pPr>
      <w:r>
        <w:rPr>
          <w:rFonts w:ascii="Plus Jakarta Sans" w:hAnsi="Plus Jakarta Sans" w:cs="Segoe UI"/>
          <w:b w:val="0"/>
          <w:i w:val="0"/>
          <w:color w:val="0B0E14"/>
          <w:sz w:val="19"/>
          <w:szCs w:val="19"/>
        </w:rPr>
        <w:t>Students own their account and their idea. The programme sees mission progress, activity, the evidence the student chooses to share, review scores and educator approvals. It never sees AI Co-Founder chats, private profile data or unsubmitted drafts, and staff can never edit student work. Sharing is switched on by the student and can be switched off; only students with active consent appear in cohort metrics.</w:t>
      </w: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This is a commercial position as much as an ethical one. Every buyer in this plan is buying a reporting line, and the credibility of that line depends on the student having had a real choice. A cohort metric built on compelled consent is one a dean cannot defend, and the first time it is challenged the relationship ends.</w:t>
      </w:r>
    </w:p>
    <w:p>
      <w:pPr>
        <w:keepNext/>
        <w:pageBreakBefore w:val="true"/>
        <w:spacing w:before="0" w:after="20"/>
      </w:pPr>
      <w:r>
        <w:rPr>
          <w:rFonts w:ascii="Plus Jakarta Sans" w:hAnsi="Plus Jakarta Sans" w:cs="Segoe UI"/>
          <w:b/>
          <w:i w:val="0"/>
          <w:color w:val="3418E0"/>
          <w:spacing w:val="28"/>
          <w:sz w:val="16"/>
          <w:szCs w:val="16"/>
        </w:rPr>
        <w:t>SECTION 13</w:t>
      </w:r>
    </w:p>
    <w:p>
      <w:pPr>
        <w:keepNext/>
        <w:spacing w:before="40" w:after="120"/>
      </w:pPr>
      <w:r>
        <w:rPr>
          <w:rFonts w:ascii="Plus Jakarta Sans" w:hAnsi="Plus Jakarta Sans" w:cs="Segoe UI"/>
          <w:b/>
          <w:i w:val="0"/>
          <w:color w:val="0B0E14"/>
          <w:sz w:val="42"/>
          <w:szCs w:val="42"/>
        </w:rPr>
        <w:t>Financial plan</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Three years of revenue, cost and cash, built from the engine volumes rather than from a growth rate.</w:t>
      </w:r>
    </w:p>
    <w:p>
      <w:pPr>
        <w:keepNext/>
        <w:keepLines w:val="true"/>
        <w:widowControl w:val="true"/>
        <w:spacing w:before="300" w:after="100" w:line="288" w:lineRule="auto"/>
      </w:pPr>
      <w:r>
        <w:rPr>
          <w:rFonts w:ascii="Plus Jakarta Sans" w:hAnsi="Plus Jakarta Sans" w:cs="Segoe UI"/>
          <w:b/>
          <w:i w:val="0"/>
          <w:color w:val="0B0E14"/>
          <w:sz w:val="26"/>
          <w:szCs w:val="26"/>
        </w:rPr>
        <w:t>Revenue by engine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481"/>
        <w:gridCol w:w="1611"/>
        <w:gridCol w:w="1611"/>
        <w:gridCol w:w="1611"/>
        <w:gridCol w:w="1095"/>
      </w:tblGrid>
      <w:tr>
        <w:trPr>
          <w:tblHeader w:val="true"/>
        </w:trPr>
        <w:tc>
          <w:tcPr>
            <w:tcW w:type="dxa" w:w="348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161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61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61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0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 share</w:t>
            </w:r>
          </w:p>
        </w:tc>
      </w:tr>
      <w:tr>
        <w:trPr>
          <w:cantSplit w:val="true"/>
        </w:trPr>
        <w:tc>
          <w:tcPr>
            <w:tcW w:type="dxa" w:w="34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16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$470k</w:t>
            </w:r>
          </w:p>
        </w:tc>
        <w:tc>
          <w:tcPr>
            <w:tcW w:type="dxa" w:w="16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$1.4m</w:t>
            </w:r>
          </w:p>
        </w:tc>
        <w:tc>
          <w:tcPr>
            <w:tcW w:type="dxa" w:w="16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$3.2m</w:t>
            </w:r>
          </w:p>
        </w:tc>
        <w:tc>
          <w:tcPr>
            <w:tcW w:type="dxa" w:w="10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w:t>
            </w:r>
          </w:p>
        </w:tc>
      </w:tr>
      <w:tr>
        <w:trPr>
          <w:cantSplit w:val="true"/>
        </w:trPr>
        <w:tc>
          <w:tcPr>
            <w:tcW w:type="dxa" w:w="34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 in national initiatives</w:t>
            </w:r>
          </w:p>
        </w:tc>
        <w:tc>
          <w:tcPr>
            <w:tcW w:type="dxa" w:w="16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$156k</w:t>
            </w:r>
          </w:p>
        </w:tc>
        <w:tc>
          <w:tcPr>
            <w:tcW w:type="dxa" w:w="16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$738k</w:t>
            </w:r>
          </w:p>
        </w:tc>
        <w:tc>
          <w:tcPr>
            <w:tcW w:type="dxa" w:w="16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$2.2m</w:t>
            </w:r>
          </w:p>
        </w:tc>
        <w:tc>
          <w:tcPr>
            <w:tcW w:type="dxa" w:w="10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r>
      <w:tr>
        <w:trPr>
          <w:cantSplit w:val="true"/>
        </w:trPr>
        <w:tc>
          <w:tcPr>
            <w:tcW w:type="dxa" w:w="34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16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$112k</w:t>
            </w:r>
          </w:p>
        </w:tc>
        <w:tc>
          <w:tcPr>
            <w:tcW w:type="dxa" w:w="16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$448k</w:t>
            </w:r>
          </w:p>
        </w:tc>
        <w:tc>
          <w:tcPr>
            <w:tcW w:type="dxa" w:w="16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$1.2m</w:t>
            </w:r>
          </w:p>
        </w:tc>
        <w:tc>
          <w:tcPr>
            <w:tcW w:type="dxa" w:w="10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r>
      <w:tr>
        <w:trPr>
          <w:cantSplit w:val="true"/>
        </w:trPr>
        <w:tc>
          <w:tcPr>
            <w:tcW w:type="dxa" w:w="34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16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$45k</w:t>
            </w:r>
          </w:p>
        </w:tc>
        <w:tc>
          <w:tcPr>
            <w:tcW w:type="dxa" w:w="16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$275k</w:t>
            </w:r>
          </w:p>
        </w:tc>
        <w:tc>
          <w:tcPr>
            <w:tcW w:type="dxa" w:w="16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$840k</w:t>
            </w:r>
          </w:p>
        </w:tc>
        <w:tc>
          <w:tcPr>
            <w:tcW w:type="dxa" w:w="10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348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16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$34k</w:t>
            </w:r>
          </w:p>
        </w:tc>
        <w:tc>
          <w:tcPr>
            <w:tcW w:type="dxa" w:w="16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$126k</w:t>
            </w:r>
          </w:p>
        </w:tc>
        <w:tc>
          <w:tcPr>
            <w:tcW w:type="dxa" w:w="16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$337k</w:t>
            </w:r>
          </w:p>
        </w:tc>
        <w:tc>
          <w:tcPr>
            <w:tcW w:type="dxa" w:w="10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r>
      <w:tr>
        <w:trPr>
          <w:cantSplit w:val="true"/>
        </w:trPr>
        <w:tc>
          <w:tcPr>
            <w:tcW w:type="dxa" w:w="348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16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$36k</w:t>
            </w:r>
          </w:p>
        </w:tc>
        <w:tc>
          <w:tcPr>
            <w:tcW w:type="dxa" w:w="16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$197k</w:t>
            </w:r>
          </w:p>
        </w:tc>
        <w:tc>
          <w:tcPr>
            <w:tcW w:type="dxa" w:w="16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$541k</w:t>
            </w:r>
          </w:p>
        </w:tc>
        <w:tc>
          <w:tcPr>
            <w:tcW w:type="dxa" w:w="10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r>
      <w:tr>
        <w:trPr>
          <w:cantSplit w:val="true"/>
        </w:trPr>
        <w:tc>
          <w:tcPr>
            <w:tcW w:type="dxa" w:w="348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revenue</w:t>
            </w:r>
          </w:p>
        </w:tc>
        <w:tc>
          <w:tcPr>
            <w:tcW w:type="dxa" w:w="161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$853k</w:t>
            </w:r>
          </w:p>
        </w:tc>
        <w:tc>
          <w:tcPr>
            <w:tcW w:type="dxa" w:w="161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$3.2m</w:t>
            </w:r>
          </w:p>
        </w:tc>
        <w:tc>
          <w:tcPr>
            <w:tcW w:type="dxa" w:w="161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$8.3m</w:t>
            </w:r>
          </w:p>
        </w:tc>
        <w:tc>
          <w:tcPr>
            <w:tcW w:type="dxa" w:w="1096"/>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100%</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Year-one cost base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83"/>
        <w:gridCol w:w="1660"/>
        <w:gridCol w:w="4567"/>
      </w:tblGrid>
      <w:tr>
        <w:trPr>
          <w:tblHeader w:val="true"/>
        </w:trPr>
        <w:tc>
          <w:tcPr>
            <w:tcW w:type="dxa" w:w="3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line</w:t>
            </w:r>
          </w:p>
        </w:tc>
        <w:tc>
          <w:tcPr>
            <w:tcW w:type="dxa" w:w="16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c>
          <w:tcPr>
            <w:tcW w:type="dxa" w:w="4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Note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Payroll</w:t>
            </w:r>
          </w:p>
        </w:tc>
        <w:tc>
          <w:tcPr>
            <w:tcW w:type="dxa" w:w="16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$493,740</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 people, averaging 65% of the establishment across the year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 all engines</w:t>
            </w:r>
          </w:p>
        </w:tc>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$222,371</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 pilots, train-the-trainer, competitions, corporate programmes and seat provisioning</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Demand generation</w:t>
            </w:r>
          </w:p>
        </w:tc>
        <w:tc>
          <w:tcPr>
            <w:tcW w:type="dxa" w:w="16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$79,800</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Content, ambassadors, events and collateral — no cold acquisition</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Sales commission</w:t>
            </w:r>
          </w:p>
        </w:tc>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$48,996</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of institutional revenue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AI inference and third-party APIs</w:t>
            </w:r>
          </w:p>
        </w:tc>
        <w:tc>
          <w:tcPr>
            <w:tcW w:type="dxa" w:w="16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$26,000</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Scales with active founders and AI review volume</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Software and tooling</w:t>
            </w:r>
          </w:p>
        </w:tc>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Platform tooling and internal systems</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Travel — Cairo, Riyadh and campuses</w:t>
            </w:r>
          </w:p>
        </w:tc>
        <w:tc>
          <w:tcPr>
            <w:tcW w:type="dxa" w:w="16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$34,000</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Cairo to Riyadh, and campuses in both markets</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Legal, audit and the KSA entity</w:t>
            </w:r>
          </w:p>
        </w:tc>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$38,000</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Including the cost of establishing the Saudi entity</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Office — Cairo, plus a Riyadh desk</w:t>
            </w:r>
          </w:p>
        </w:tc>
        <w:tc>
          <w:tcPr>
            <w:tcW w:type="dxa" w:w="16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Cairo office and a Riyadh desk</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Contingency</w:t>
            </w:r>
          </w:p>
        </w:tc>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$79,273</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 of the above</w:t>
            </w:r>
          </w:p>
        </w:tc>
      </w:tr>
      <w:tr>
        <w:trPr>
          <w:cantSplit w:val="true"/>
        </w:trPr>
        <w:tc>
          <w:tcPr>
            <w:tcW w:type="dxa" w:w="318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operating cost</w:t>
            </w:r>
          </w:p>
        </w:tc>
        <w:tc>
          <w:tcPr>
            <w:tcW w:type="dxa" w:w="1661"/>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$1,070,179</w:t>
            </w:r>
          </w:p>
        </w:tc>
        <w:tc>
          <w:tcPr>
            <w:tcW w:type="dxa" w:w="4567"/>
            <w:shd w:val="clear" w:fill="CBF24A"/>
            <w:tcMar>
              <w:top w:w="73" w:type="dxa"/>
              <w:start w:w="90" w:type="dxa"/>
              <w:bottom w:w="73" w:type="dxa"/>
              <w:end w:w="79" w:type="dxa"/>
            </w:tcMar>
          </w:tcPr>
          <w:p>
            <w:pPr>
              <w:spacing w:after="0" w:line="288" w:lineRule="auto"/>
            </w:pP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Three-year profit and loss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45"/>
        <w:gridCol w:w="2222"/>
        <w:gridCol w:w="2222"/>
        <w:gridCol w:w="2222"/>
      </w:tblGrid>
      <w:tr>
        <w:trPr>
          <w:tblHeader w:val="true"/>
        </w:trPr>
        <w:tc>
          <w:tcPr>
            <w:tcW w:type="dxa" w:w="2745"/>
            <w:shd w:val="clear" w:fill="0B0E14"/>
            <w:tcMar>
              <w:top w:w="79" w:type="dxa"/>
              <w:start w:w="90" w:type="dxa"/>
              <w:bottom w:w="79" w:type="dxa"/>
              <w:end w:w="79" w:type="dxa"/>
            </w:tcMar>
          </w:tcPr>
          <w:p>
            <w:pPr>
              <w:spacing w:after="0" w:line="278" w:lineRule="auto"/>
            </w:pPr>
          </w:p>
        </w:tc>
        <w:tc>
          <w:tcPr>
            <w:tcW w:type="dxa" w:w="2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 · 2026/27</w:t>
            </w:r>
          </w:p>
        </w:tc>
        <w:tc>
          <w:tcPr>
            <w:tcW w:type="dxa" w:w="2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 · 2027/28</w:t>
            </w:r>
          </w:p>
        </w:tc>
        <w:tc>
          <w:tcPr>
            <w:tcW w:type="dxa" w:w="2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 · 2028/29</w:t>
            </w:r>
          </w:p>
        </w:tc>
      </w:tr>
      <w:tr>
        <w:trPr>
          <w:cantSplit w:val="true"/>
        </w:trPr>
        <w:tc>
          <w:tcPr>
            <w:tcW w:type="dxa" w:w="27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$853k</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$3.2m</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$8.3m</w:t>
            </w:r>
          </w:p>
        </w:tc>
      </w:tr>
      <w:tr>
        <w:trPr>
          <w:cantSplit w:val="true"/>
        </w:trPr>
        <w:tc>
          <w:tcPr>
            <w:tcW w:type="dxa" w:w="274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revenue</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$817k</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$3.0m</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$7.8m</w:t>
            </w:r>
          </w:p>
        </w:tc>
      </w:tr>
      <w:tr>
        <w:trPr>
          <w:cantSplit w:val="true"/>
        </w:trPr>
        <w:tc>
          <w:tcPr>
            <w:tcW w:type="dxa" w:w="27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cost</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$1.1m</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$2.8m</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$5.7m</w:t>
            </w:r>
          </w:p>
        </w:tc>
      </w:tr>
      <w:tr>
        <w:trPr>
          <w:cantSplit w:val="true"/>
        </w:trPr>
        <w:tc>
          <w:tcPr>
            <w:tcW w:type="dxa" w:w="274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result</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−$218k</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+$409k</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+$2.6m</w:t>
            </w:r>
          </w:p>
        </w:tc>
      </w:tr>
      <w:tr>
        <w:trPr>
          <w:cantSplit w:val="true"/>
        </w:trPr>
        <w:tc>
          <w:tcPr>
            <w:tcW w:type="dxa" w:w="27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margin</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w:t>
            </w:r>
          </w:p>
        </w:tc>
      </w:tr>
      <w:tr>
        <w:trPr>
          <w:cantSplit w:val="true"/>
        </w:trPr>
        <w:tc>
          <w:tcPr>
            <w:tcW w:type="dxa" w:w="274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per employee</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$27k</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$48k</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$70k</w:t>
            </w:r>
          </w:p>
        </w:tc>
      </w:tr>
      <w:tr>
        <w:trPr>
          <w:cantSplit w:val="true"/>
        </w:trPr>
        <w:tc>
          <w:tcPr>
            <w:tcW w:type="dxa" w:w="27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cohorts</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320</w:t>
            </w:r>
          </w:p>
        </w:tc>
      </w:tr>
      <w:tr>
        <w:trPr>
          <w:cantSplit w:val="true"/>
        </w:trPr>
        <w:tc>
          <w:tcPr>
            <w:tcW w:type="dxa" w:w="274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6,000</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c>
          <w:tcPr>
            <w:tcW w:type="dxa" w:w="2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95,000</w:t>
            </w:r>
          </w:p>
        </w:tc>
      </w:tr>
      <w:tr>
        <w:trPr>
          <w:cantSplit w:val="true"/>
        </w:trPr>
        <w:tc>
          <w:tcPr>
            <w:tcW w:type="dxa" w:w="27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2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Cash, and the raise</w:t>
      </w:r>
    </w:p>
    <w:p>
      <w:pPr>
        <w:keepNext/>
        <w:spacing w:before="160" w:after="60"/>
        <w:jc w:val="center"/>
      </w:pPr>
      <w:r>
        <w:drawing>
          <wp:inline xmlns:a="http://schemas.openxmlformats.org/drawingml/2006/main" xmlns:pic="http://schemas.openxmlformats.org/drawingml/2006/picture">
            <wp:extent cx="5976000" cy="2511000"/>
            <wp:docPr id="25" name="Picture 25"/>
            <wp:cNvGraphicFramePr>
              <a:graphicFrameLocks noChangeAspect="1"/>
            </wp:cNvGraphicFramePr>
            <a:graphic>
              <a:graphicData uri="http://schemas.openxmlformats.org/drawingml/2006/picture">
                <pic:pic>
                  <pic:nvPicPr>
                    <pic:cNvPr id="0" name="cash_curve.png"/>
                    <pic:cNvPicPr/>
                  </pic:nvPicPr>
                  <pic:blipFill>
                    <a:blip r:embed="rId35"/>
                    <a:stretch>
                      <a:fillRect/>
                    </a:stretch>
                  </pic:blipFill>
                  <pic:spPr>
                    <a:xfrm>
                      <a:off x="0" y="0"/>
                      <a:ext cx="5976000" cy="2511000"/>
                    </a:xfrm>
                    <a:prstGeom prst="rect"/>
                  </pic:spPr>
                </pic:pic>
              </a:graphicData>
            </a:graphic>
          </wp:inline>
        </w:drawing>
      </w:r>
    </w:p>
    <w:p>
      <w:pPr>
        <w:keepLines w:val="true"/>
        <w:widowControl w:val="true"/>
        <w:spacing w:before="0" w:after="220" w:line="312" w:lineRule="auto"/>
        <w:jc w:val="left"/>
      </w:pPr>
      <w:r>
        <w:rPr>
          <w:rFonts w:ascii="Plus Jakarta Sans" w:hAnsi="Plus Jakarta Sans" w:cs="Segoe UI"/>
          <w:b w:val="0"/>
          <w:i w:val="0"/>
          <w:color w:val="6B7285"/>
          <w:sz w:val="16"/>
          <w:szCs w:val="16"/>
        </w:rPr>
        <w:t>Cash on hand across three years. The trough is shallow because every institutional engine invoices before it delivers.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5"/>
        <w:gridCol w:w="1799"/>
        <w:gridCol w:w="4567"/>
      </w:tblGrid>
      <w:tr>
        <w:trPr>
          <w:tblHeader w:val="true"/>
        </w:trPr>
        <w:tc>
          <w:tcPr>
            <w:tcW w:type="dxa" w:w="3045"/>
            <w:shd w:val="clear" w:fill="0B0E14"/>
            <w:tcMar>
              <w:top w:w="79" w:type="dxa"/>
              <w:start w:w="90" w:type="dxa"/>
              <w:bottom w:w="79" w:type="dxa"/>
              <w:end w:w="79" w:type="dxa"/>
            </w:tcMar>
          </w:tcPr>
          <w:p>
            <w:pPr>
              <w:spacing w:after="0" w:line="278" w:lineRule="auto"/>
            </w:pPr>
          </w:p>
        </w:tc>
        <w:tc>
          <w:tcPr>
            <w:tcW w:type="dxa" w:w="17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Amount</w:t>
            </w:r>
          </w:p>
        </w:tc>
        <w:tc>
          <w:tcPr>
            <w:tcW w:type="dxa" w:w="4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covers</w:t>
            </w:r>
          </w:p>
        </w:tc>
      </w:tr>
      <w:tr>
        <w:trPr>
          <w:cantSplit w:val="true"/>
        </w:trPr>
        <w:tc>
          <w:tcPr>
            <w:tcW w:type="dxa" w:w="30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Year-one deficit</w:t>
            </w:r>
          </w:p>
        </w:tc>
        <w:tc>
          <w:tcPr>
            <w:tcW w:type="dxa" w:w="17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$218k</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gap while free pilots and hiring run ahead of engine revenue</w:t>
            </w:r>
          </w:p>
        </w:tc>
      </w:tr>
      <w:tr>
        <w:trPr>
          <w:cantSplit w:val="true"/>
        </w:trPr>
        <w:tc>
          <w:tcPr>
            <w:tcW w:type="dxa" w:w="304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Year-two deficit</w:t>
            </w:r>
          </w:p>
        </w:tc>
        <w:tc>
          <w:tcPr>
            <w:tcW w:type="dxa" w:w="17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45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 the business reaches breakeven in year two</w:t>
            </w:r>
          </w:p>
        </w:tc>
      </w:tr>
      <w:tr>
        <w:trPr>
          <w:cantSplit w:val="true"/>
        </w:trPr>
        <w:tc>
          <w:tcPr>
            <w:tcW w:type="dxa" w:w="304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Six-month operating reserve</w:t>
            </w:r>
          </w:p>
        </w:tc>
        <w:tc>
          <w:tcPr>
            <w:tcW w:type="dxa" w:w="17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$535k</w:t>
            </w:r>
          </w:p>
        </w:tc>
        <w:tc>
          <w:tcPr>
            <w:tcW w:type="dxa" w:w="45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months of the year-one cost base, against a delayed term or a postponed partnership</w:t>
            </w:r>
          </w:p>
        </w:tc>
      </w:tr>
      <w:tr>
        <w:trPr>
          <w:cantSplit w:val="true"/>
        </w:trPr>
        <w:tc>
          <w:tcPr>
            <w:tcW w:type="dxa" w:w="304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raise</w:t>
            </w:r>
          </w:p>
        </w:tc>
        <w:tc>
          <w:tcPr>
            <w:tcW w:type="dxa" w:w="1799"/>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$750k</w:t>
            </w:r>
          </w:p>
        </w:tc>
        <w:tc>
          <w:tcPr>
            <w:tcW w:type="dxa" w:w="456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Sized to the deficit and a genuine reserve, not to a round number</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 xml:space="preserve">$750k is small for a business reaching $8.3m in year three, and the reason is structural rather than optimistic. A cohort is invoiced before the bootcamp runs; a sponsored-seat programme pays on provisioning; a competition sponsor pays before the event. Working capital is </w:t>
      </w:r>
      <w:r>
        <w:rPr>
          <w:rFonts w:ascii="Plus Jakarta Sans" w:hAnsi="Plus Jakarta Sans" w:cs="Segoe UI"/>
          <w:b/>
          <w:i w:val="0"/>
          <w:color w:val="0B0E14"/>
          <w:sz w:val="19"/>
          <w:szCs w:val="19"/>
        </w:rPr>
        <w:t>negative</w:t>
      </w:r>
      <w:r>
        <w:rPr>
          <w:rFonts w:ascii="Plus Jakarta Sans" w:hAnsi="Plus Jakarta Sans" w:cs="Segoe UI"/>
          <w:b w:val="0"/>
          <w:i w:val="0"/>
          <w:color w:val="0B0E14"/>
          <w:sz w:val="19"/>
          <w:szCs w:val="19"/>
        </w:rPr>
        <w:t xml:space="preserve"> across every institutional engine, so growth releases cash rather than consuming it. A subscription-led version of this company would need several times the capital to reach the same revenue.</w:t>
      </w:r>
    </w:p>
    <w:p>
      <w:pPr>
        <w:keepNext/>
        <w:keepLines w:val="true"/>
        <w:widowControl w:val="true"/>
        <w:spacing w:before="300" w:after="100" w:line="288" w:lineRule="auto"/>
      </w:pPr>
      <w:r>
        <w:rPr>
          <w:rFonts w:ascii="Plus Jakarta Sans" w:hAnsi="Plus Jakarta Sans" w:cs="Segoe UI"/>
          <w:b/>
          <w:i w:val="0"/>
          <w:color w:val="0B0E14"/>
          <w:sz w:val="26"/>
          <w:szCs w:val="26"/>
        </w:rPr>
        <w:t>Use of funds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737"/>
        <w:gridCol w:w="1245"/>
        <w:gridCol w:w="4429"/>
      </w:tblGrid>
      <w:tr>
        <w:trPr>
          <w:tblHeader w:val="true"/>
        </w:trPr>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Use</w:t>
            </w:r>
          </w:p>
        </w:tc>
        <w:tc>
          <w:tcPr>
            <w:tcW w:type="dxa" w:w="12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w:t>
            </w:r>
          </w:p>
        </w:tc>
        <w:tc>
          <w:tcPr>
            <w:tcW w:type="dxa" w:w="44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w:t>
            </w:r>
          </w:p>
        </w:tc>
      </w:tr>
      <w:tr>
        <w:trPr>
          <w:cantSplit w:val="true"/>
        </w:trPr>
        <w:tc>
          <w:tcPr>
            <w:tcW w:type="dxa" w:w="37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capacity — facilitators, certification, materials</w:t>
            </w:r>
          </w:p>
        </w:tc>
        <w:tc>
          <w:tcPr>
            <w:tcW w:type="dxa" w:w="12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w:t>
            </w:r>
          </w:p>
        </w:tc>
        <w:tc>
          <w:tcPr>
            <w:tcW w:type="dxa" w:w="44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binding constraint on Engine 1 and the mechanism behind Engine 2</w:t>
            </w:r>
          </w:p>
        </w:tc>
      </w:tr>
      <w:tr>
        <w:trPr>
          <w:cantSplit w:val="true"/>
        </w:trPr>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 and engineering</w:t>
            </w:r>
          </w:p>
        </w:tc>
        <w:tc>
          <w:tcPr>
            <w:tcW w:type="dxa" w:w="12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44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admin workspace, competition flow, bulk provisioning and partner reporting</w:t>
            </w:r>
          </w:p>
        </w:tc>
      </w:tr>
      <w:tr>
        <w:trPr>
          <w:cantSplit w:val="true"/>
        </w:trPr>
        <w:tc>
          <w:tcPr>
            <w:tcW w:type="dxa" w:w="37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sales and Saudi market entry</w:t>
            </w:r>
          </w:p>
        </w:tc>
        <w:tc>
          <w:tcPr>
            <w:tcW w:type="dxa" w:w="12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w:t>
            </w:r>
          </w:p>
        </w:tc>
        <w:tc>
          <w:tcPr>
            <w:tcW w:type="dxa" w:w="44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Country manager, government and initiatives lead, competitions manager, entity and travel</w:t>
            </w:r>
          </w:p>
        </w:tc>
      </w:tr>
      <w:tr>
        <w:trPr>
          <w:cantSplit w:val="true"/>
        </w:trPr>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Demand generation — content, ambassadors, events</w:t>
            </w:r>
          </w:p>
        </w:tc>
        <w:tc>
          <w:tcPr>
            <w:tcW w:type="dxa" w:w="12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44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makes a dean take the meeting</w:t>
            </w:r>
          </w:p>
        </w:tc>
      </w:tr>
      <w:tr>
        <w:trPr>
          <w:cantSplit w:val="true"/>
        </w:trPr>
        <w:tc>
          <w:tcPr>
            <w:tcW w:type="dxa" w:w="37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reserve held unspent</w:t>
            </w:r>
          </w:p>
        </w:tc>
        <w:tc>
          <w:tcPr>
            <w:tcW w:type="dxa" w:w="12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44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postponed term or a delayed partnership should not be existential</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Sensitivity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231"/>
        <w:gridCol w:w="1826"/>
        <w:gridCol w:w="1826"/>
        <w:gridCol w:w="2528"/>
      </w:tblGrid>
      <w:tr>
        <w:trPr>
          <w:tblHeader w:val="true"/>
        </w:trPr>
        <w:tc>
          <w:tcPr>
            <w:tcW w:type="dxa" w:w="323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If this is a third worse</w:t>
            </w:r>
          </w:p>
        </w:tc>
        <w:tc>
          <w:tcPr>
            <w:tcW w:type="dxa" w:w="182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Plan</w:t>
            </w:r>
          </w:p>
        </w:tc>
        <w:tc>
          <w:tcPr>
            <w:tcW w:type="dxa" w:w="182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Downside</w:t>
            </w:r>
          </w:p>
        </w:tc>
        <w:tc>
          <w:tcPr>
            <w:tcW w:type="dxa" w:w="25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Effect on Y1 revenue</w:t>
            </w:r>
          </w:p>
        </w:tc>
      </w:tr>
      <w:tr>
        <w:trPr>
          <w:cantSplit w:val="true"/>
        </w:trPr>
        <w:tc>
          <w:tcPr>
            <w:tcW w:type="dxa" w:w="323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w:t>
            </w:r>
          </w:p>
        </w:tc>
        <w:tc>
          <w:tcPr>
            <w:tcW w:type="dxa" w:w="18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18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w:t>
            </w:r>
          </w:p>
        </w:tc>
        <w:tc>
          <w:tcPr>
            <w:tcW w:type="dxa" w:w="25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−$139k</w:t>
            </w:r>
          </w:p>
        </w:tc>
      </w:tr>
      <w:tr>
        <w:trPr>
          <w:cantSplit w:val="true"/>
        </w:trPr>
        <w:tc>
          <w:tcPr>
            <w:tcW w:type="dxa" w:w="323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seats signed</w:t>
            </w:r>
          </w:p>
        </w:tc>
        <w:tc>
          <w:tcPr>
            <w:tcW w:type="dxa" w:w="18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6,000</w:t>
            </w:r>
          </w:p>
        </w:tc>
        <w:tc>
          <w:tcPr>
            <w:tcW w:type="dxa" w:w="18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4,020</w:t>
            </w:r>
          </w:p>
        </w:tc>
        <w:tc>
          <w:tcPr>
            <w:tcW w:type="dxa" w:w="25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−$44k</w:t>
            </w:r>
          </w:p>
        </w:tc>
      </w:tr>
      <w:tr>
        <w:trPr>
          <w:cantSplit w:val="true"/>
        </w:trPr>
        <w:tc>
          <w:tcPr>
            <w:tcW w:type="dxa" w:w="323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sponsored</w:t>
            </w:r>
          </w:p>
        </w:tc>
        <w:tc>
          <w:tcPr>
            <w:tcW w:type="dxa" w:w="18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8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25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−$37k</w:t>
            </w:r>
          </w:p>
        </w:tc>
      </w:tr>
      <w:tr>
        <w:trPr>
          <w:cantSplit w:val="true"/>
        </w:trPr>
        <w:tc>
          <w:tcPr>
            <w:tcW w:type="dxa" w:w="323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Subscription conversion</w:t>
            </w:r>
          </w:p>
        </w:tc>
        <w:tc>
          <w:tcPr>
            <w:tcW w:type="dxa" w:w="18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808 paying</w:t>
            </w:r>
          </w:p>
        </w:tc>
        <w:tc>
          <w:tcPr>
            <w:tcW w:type="dxa" w:w="18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541 paying</w:t>
            </w:r>
          </w:p>
        </w:tc>
        <w:tc>
          <w:tcPr>
            <w:tcW w:type="dxa" w:w="25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r>
    </w:tbl>
    <w:p>
      <w:pPr>
        <w:keepLines w:val="true"/>
        <w:widowControl w:val="true"/>
        <w:spacing w:before="0" w:after="140" w:line="322" w:lineRule="auto"/>
      </w:pPr>
    </w:p>
    <w:p>
      <w:pPr>
        <w:keepLines w:val="true"/>
        <w:widowControl w:val="true"/>
        <w:spacing w:before="0" w:after="100" w:line="322" w:lineRule="auto"/>
      </w:pPr>
      <w:r>
        <w:rPr>
          <w:rFonts w:ascii="Plus Jakarta Sans" w:hAnsi="Plus Jakarta Sans" w:cs="Segoe UI"/>
          <w:b w:val="0"/>
          <w:i w:val="0"/>
          <w:color w:val="0B0E14"/>
          <w:sz w:val="19"/>
          <w:szCs w:val="19"/>
        </w:rPr>
        <w:t>The three that matter are all institutional, and the fourth barely registers. The company's risk is concentrated in whether universities, programmes and sponsors sign and renew — which is the right risk to carry, because it is the one the operating plan can act on.</w:t>
      </w:r>
    </w:p>
    <w:p>
      <w:pPr>
        <w:keepNext/>
        <w:pageBreakBefore w:val="true"/>
        <w:spacing w:before="0" w:after="20"/>
      </w:pPr>
      <w:r>
        <w:rPr>
          <w:rFonts w:ascii="Plus Jakarta Sans" w:hAnsi="Plus Jakarta Sans" w:cs="Segoe UI"/>
          <w:b/>
          <w:i w:val="0"/>
          <w:color w:val="3418E0"/>
          <w:spacing w:val="28"/>
          <w:sz w:val="16"/>
          <w:szCs w:val="16"/>
        </w:rPr>
        <w:t>SECTION 14</w:t>
      </w:r>
    </w:p>
    <w:p>
      <w:pPr>
        <w:keepNext/>
        <w:spacing w:before="40" w:after="120"/>
      </w:pPr>
      <w:r>
        <w:rPr>
          <w:rFonts w:ascii="Plus Jakarta Sans" w:hAnsi="Plus Jakarta Sans" w:cs="Segoe UI"/>
          <w:b/>
          <w:i w:val="0"/>
          <w:color w:val="0B0E14"/>
          <w:sz w:val="42"/>
          <w:szCs w:val="42"/>
        </w:rPr>
        <w:t>Risks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The risks most likely to break this plan, what each looks like early, and what has already been built to absorb it.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53"/>
        <w:gridCol w:w="3460"/>
        <w:gridCol w:w="3598"/>
      </w:tblGrid>
      <w:tr>
        <w:trPr>
          <w:tblHeader w:val="true"/>
        </w:trPr>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4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looks like early</w:t>
            </w:r>
          </w:p>
        </w:tc>
        <w:tc>
          <w:tcPr>
            <w:tcW w:type="dxa" w:w="35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235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capacity does not materialise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slips, or the pool leaks to consultancies paying more a day</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starts in the Land quarter, a term ahead of need; the pool is a tiered career with a rising day rate; the quarterly plan is cut to facilitator capacity rather than the reverse</w:t>
            </w:r>
          </w:p>
        </w:tc>
      </w:tr>
      <w:tr>
        <w:trPr>
          <w:cantSplit w:val="true"/>
        </w:trPr>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procurement is slower than planned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Pilots run but contracts sit unsigned through the Prove quarter</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contract covering all three layers; free pilots that make the cohort report the sales document; competitions enter through Door 04 with a sponsor already paying; Saudi partnership revenue lands from Q4</w:t>
            </w:r>
          </w:p>
        </w:tc>
      </w:tr>
      <w:tr>
        <w:trPr>
          <w:cantSplit w:val="true"/>
        </w:trPr>
        <w:tc>
          <w:tcPr>
            <w:tcW w:type="dxa" w:w="235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national initiative partnership does not land</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Enthusiastic meetings, no budget line, repeated deferral</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is 18% of year-one revenue, so year one survives without it; two partnerships are pursued so neither is a single point of failure; year three sits inside 25% of addressable seats</w:t>
            </w:r>
          </w:p>
        </w:tc>
      </w:tr>
      <w:tr>
        <w:trPr>
          <w:cantSplit w:val="true"/>
        </w:trPr>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 budgets move</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 and corporate conversations stall at the same time, usually a macro signal</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and corporate together are 18% of year one; universities and initiatives carry the plan without them</w:t>
            </w:r>
          </w:p>
        </w:tc>
      </w:tr>
      <w:tr>
        <w:trPr>
          <w:cantSplit w:val="true"/>
        </w:trPr>
        <w:tc>
          <w:tcPr>
            <w:tcW w:type="dxa" w:w="235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Currency and macro</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devaluation repricing a USD plan against EGP costs</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Most costs are EGP and institutional pricing can be set in EGP with a USD reference; devaluation lowers the cost base faster than local willingness to pay</w:t>
            </w:r>
          </w:p>
        </w:tc>
      </w:tr>
      <w:tr>
        <w:trPr>
          <w:cantSplit w:val="true"/>
        </w:trPr>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concentration</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CEO personally runs Day 01 onboarding in every cohort</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does not scale past roughly 20 cohorts a year and is a known year-two problem; the Day 01 session must be delivered by certified facilitators before the Expand quarter</w:t>
            </w:r>
          </w:p>
        </w:tc>
      </w:tr>
    </w:tbl>
    <w:p>
      <w:pPr>
        <w:keepLines w:val="true"/>
        <w:widowControl w:val="true"/>
        <w:spacing w:before="0" w:after="140" w:line="322" w:lineRule="auto"/>
      </w:pPr>
    </w:p>
    <w:p>
      <w:pPr>
        <w:keepLines w:val="true"/>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last row is the one to watch. It is written into the strategy as a feature — the founder personally opens every cohort — and it is genuinely good for the first twenty. It becomes the hardest constraint in year two, when there are 150 cohorts and one founder, and the handover has to be designed well before it is needed.</w:t>
      </w:r>
    </w:p>
    <w:p>
      <w:pPr>
        <w:keepNext/>
        <w:pageBreakBefore w:val="true"/>
        <w:spacing w:before="0" w:after="20"/>
      </w:pPr>
      <w:r>
        <w:rPr>
          <w:rFonts w:ascii="Plus Jakarta Sans" w:hAnsi="Plus Jakarta Sans" w:cs="Segoe UI"/>
          <w:b/>
          <w:i w:val="0"/>
          <w:color w:val="3418E0"/>
          <w:spacing w:val="28"/>
          <w:sz w:val="16"/>
          <w:szCs w:val="16"/>
        </w:rPr>
        <w:t>SECTION 15</w:t>
      </w:r>
    </w:p>
    <w:p>
      <w:pPr>
        <w:keepNext/>
        <w:spacing w:before="40" w:after="120"/>
      </w:pPr>
      <w:r>
        <w:rPr>
          <w:rFonts w:ascii="Plus Jakarta Sans" w:hAnsi="Plus Jakarta Sans" w:cs="Segoe UI"/>
          <w:b/>
          <w:i w:val="0"/>
          <w:color w:val="0B0E14"/>
          <w:sz w:val="42"/>
          <w:szCs w:val="42"/>
        </w:rPr>
        <w:t>Milestones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What has to be true at the end of each quarter for the next one to be deliverable.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60"/>
        <w:gridCol w:w="2699"/>
        <w:gridCol w:w="2699"/>
        <w:gridCol w:w="2353"/>
      </w:tblGrid>
      <w:tr>
        <w:trPr>
          <w:tblHeader w:val="true"/>
        </w:trPr>
        <w:tc>
          <w:tcPr>
            <w:tcW w:type="dxa" w:w="16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2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Commercial</w:t>
            </w:r>
          </w:p>
        </w:tc>
        <w:tc>
          <w:tcPr>
            <w:tcW w:type="dxa" w:w="2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Operational</w:t>
            </w:r>
          </w:p>
        </w:tc>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Product</w:t>
            </w:r>
          </w:p>
        </w:tc>
      </w:tr>
      <w:tr>
        <w:trPr>
          <w:cantSplit w:val="true"/>
        </w:trPr>
        <w:tc>
          <w:tcPr>
            <w:tcW w:type="dxa" w:w="16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 · Land</w:t>
            </w:r>
          </w:p>
        </w:tc>
        <w:tc>
          <w:tcPr>
            <w:tcW w:type="dxa" w:w="2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paid KSA cohorts, 4 Egyptian free pilots, first initiative and sponsor conversations open</w:t>
            </w:r>
          </w:p>
        </w:tc>
        <w:tc>
          <w:tcPr>
            <w:tcW w:type="dxa" w:w="2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 facilitators certified, Riyadh country manager in post, curriculum complete in both languages</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Admin workspace live, student-controlled sharing, overnight AI review at cohort volume</w:t>
            </w:r>
          </w:p>
        </w:tc>
      </w:tr>
      <w:tr>
        <w:trPr>
          <w:cantSplit w:val="true"/>
        </w:trPr>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 · Prove</w:t>
            </w:r>
          </w:p>
        </w:tc>
        <w:tc>
          <w:tcPr>
            <w:tcW w:type="dxa" w:w="2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 paid cohorts, first licence signed off a pilot report, first sponsored competition run</w:t>
            </w:r>
          </w:p>
        </w:tc>
        <w:tc>
          <w:tcPr>
            <w:tcW w:type="dxa" w:w="2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 generated without manual editing, 8 facilitators certified</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 entry, qualification and judging flow; certificates</w:t>
            </w:r>
          </w:p>
        </w:tc>
      </w:tr>
      <w:tr>
        <w:trPr>
          <w:cantSplit w:val="true"/>
        </w:trPr>
        <w:tc>
          <w:tcPr>
            <w:tcW w:type="dxa" w:w="16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 · Expand</w:t>
            </w:r>
          </w:p>
        </w:tc>
        <w:tc>
          <w:tcPr>
            <w:tcW w:type="dxa" w:w="2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 paid cohorts, first sponsored-seat programme signed, first corporate programme</w:t>
            </w:r>
          </w:p>
        </w:tc>
        <w:tc>
          <w:tcPr>
            <w:tcW w:type="dxa" w:w="269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facilitators certified, train-the-trainer curriculum ready, bilingual support at volume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Bulk seat provisioning, partner-level reporting by region</w:t>
            </w:r>
          </w:p>
        </w:tc>
      </w:tr>
      <w:tr>
        <w:trPr>
          <w:cantSplit w:val="true"/>
        </w:trPr>
        <w:tc>
          <w:tcPr>
            <w:tcW w:type="dxa" w:w="16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 · Scale</w:t>
            </w:r>
          </w:p>
        </w:tc>
        <w:tc>
          <w:tcPr>
            <w:tcW w:type="dxa" w:w="2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paid cohorts, first renewals, first Riyadh competition</w:t>
            </w:r>
          </w:p>
        </w:tc>
        <w:tc>
          <w:tcPr>
            <w:tcW w:type="dxa" w:w="269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Full pool certified before the quarter opens, parallel-group scheduling for 100-plus intakes</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Renewal and second-term licence flows; Day 01 onboarding delivered by facilitators rather than the founder</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What year one has to prove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That the cohort report renews a licence.</w:t>
      </w:r>
      <w:r>
        <w:rPr>
          <w:rFonts w:ascii="Plus Jakarta Sans" w:hAnsi="Plus Jakarta Sans" w:cs="Segoe UI"/>
          <w:b w:val="0"/>
          <w:i w:val="0"/>
          <w:color w:val="0B0E14"/>
          <w:sz w:val="19"/>
          <w:szCs w:val="19"/>
        </w:rPr>
        <w:t xml:space="preserve"> Everything else depends on an institution buying a second time off the strength of the first report. One renewal in the Scale quarter is worth more than ten new pilots.</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That a sponsor will pay for a competition run on a platform.</w:t>
      </w:r>
      <w:r>
        <w:rPr>
          <w:rFonts w:ascii="Plus Jakarta Sans" w:hAnsi="Plus Jakarta Sans" w:cs="Segoe UI"/>
          <w:b w:val="0"/>
          <w:i w:val="0"/>
          <w:color w:val="0B0E14"/>
          <w:sz w:val="19"/>
          <w:szCs w:val="19"/>
        </w:rPr>
        <w:t xml:space="preserve"> If sponsors fund the format, Engine 3 scales without facilitators and opens universities for free. Four competitions in year one is enough to know.</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That a national programme will contract a private platform.</w:t>
      </w:r>
      <w:r>
        <w:rPr>
          <w:rFonts w:ascii="Plus Jakarta Sans" w:hAnsi="Plus Jakarta Sans" w:cs="Segoe UI"/>
          <w:b w:val="0"/>
          <w:i w:val="0"/>
          <w:color w:val="0B0E14"/>
          <w:sz w:val="19"/>
          <w:szCs w:val="19"/>
        </w:rPr>
        <w:t xml:space="preserve"> This is unproven and year one deliberately does not depend on it. If it works, year three is conservative; if it does not, year three still stands on cohorts, competitions and licences.</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That a freelance facilitator delivers the same cohort as an employed one.</w:t>
      </w:r>
      <w:r>
        <w:rPr>
          <w:rFonts w:ascii="Plus Jakarta Sans" w:hAnsi="Plus Jakarta Sans" w:cs="Segoe UI"/>
          <w:b w:val="0"/>
          <w:i w:val="0"/>
          <w:color w:val="0B0E14"/>
          <w:sz w:val="19"/>
          <w:szCs w:val="19"/>
        </w:rPr>
        <w:t xml:space="preserve"> If the format does not survive delegation, Engine 1 has a ceiling of about twenty cohorts a year and the whole mix changes shape.</w:t>
      </w:r>
    </w:p>
    <w:p>
      <w:pPr>
        <w:keepNext/>
        <w:pageBreakBefore w:val="true"/>
        <w:spacing w:before="0" w:after="20"/>
      </w:pPr>
      <w:r>
        <w:rPr>
          <w:rFonts w:ascii="Plus Jakarta Sans" w:hAnsi="Plus Jakarta Sans" w:cs="Segoe UI"/>
          <w:b/>
          <w:i w:val="0"/>
          <w:color w:val="3418E0"/>
          <w:spacing w:val="28"/>
          <w:sz w:val="16"/>
          <w:szCs w:val="16"/>
        </w:rPr>
        <w:t>SECTION 16</w:t>
      </w:r>
    </w:p>
    <w:p>
      <w:pPr>
        <w:keepNext/>
        <w:spacing w:before="40" w:after="120"/>
      </w:pPr>
      <w:r>
        <w:rPr>
          <w:rFonts w:ascii="Plus Jakarta Sans" w:hAnsi="Plus Jakarta Sans" w:cs="Segoe UI"/>
          <w:b/>
          <w:i w:val="0"/>
          <w:color w:val="0B0E14"/>
          <w:sz w:val="42"/>
          <w:szCs w:val="42"/>
        </w:rPr>
        <w:t>Appendix — assumptions and sources</w:t>
      </w:r>
    </w:p>
    <w:p>
      <w:pPr>
        <w:pBdr>
          <w:bottom w:val="single" w:sz="10" w:color="3418E0"/>
        </w:pBdr>
        <w:spacing w:before="0" w:after="200"/>
      </w:pPr>
    </w:p>
    <w:p>
      <w:pPr>
        <w:keepLines w:val="true"/>
        <w:widowControl w:val="true"/>
        <w:spacing w:before="0" w:after="240" w:line="336" w:lineRule="auto"/>
      </w:pPr>
      <w:r>
        <w:rPr>
          <w:rFonts w:ascii="Plus Jakarta Sans" w:hAnsi="Plus Jakarta Sans" w:cs="Segoe UI"/>
          <w:b w:val="0"/>
          <w:i w:val="0"/>
          <w:color w:val="3A4050"/>
          <w:sz w:val="23"/>
          <w:szCs w:val="23"/>
        </w:rPr>
        <w:t>Every assumption behind the numbers, so a reader can argue with the inputs rather than the conclusions.</w:t>
      </w:r>
    </w:p>
    <w:p>
      <w:pPr>
        <w:keepNext/>
        <w:keepLines w:val="true"/>
        <w:widowControl w:val="true"/>
        <w:spacing w:before="300" w:after="100" w:line="288" w:lineRule="auto"/>
      </w:pPr>
      <w:r>
        <w:rPr>
          <w:rFonts w:ascii="Plus Jakarta Sans" w:hAnsi="Plus Jakarta Sans" w:cs="Segoe UI"/>
          <w:b/>
          <w:i w:val="0"/>
          <w:color w:val="0B0E14"/>
          <w:sz w:val="26"/>
          <w:szCs w:val="26"/>
        </w:rPr>
        <w:t>External figures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268"/>
        <w:gridCol w:w="1960"/>
        <w:gridCol w:w="4183"/>
      </w:tblGrid>
      <w:tr>
        <w:trPr>
          <w:tblHeader w:val="true"/>
        </w:trPr>
        <w:tc>
          <w:tcPr>
            <w:tcW w:type="dxa" w:w="3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Figure</w:t>
            </w:r>
          </w:p>
        </w:tc>
        <w:tc>
          <w:tcPr>
            <w:tcW w:type="dxa" w:w="19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4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r>
      <w:tr>
        <w:trPr>
          <w:cantSplit w:val="true"/>
        </w:trPr>
        <w:tc>
          <w:tcPr>
            <w:tcW w:type="dxa" w:w="3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higher-education enrolment, 2024/25</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3,900,000</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annual bulletin</w:t>
            </w:r>
          </w:p>
        </w:tc>
      </w:tr>
      <w:tr>
        <w:trPr>
          <w:cantSplit w:val="true"/>
        </w:trPr>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tertiary enrolment, 2022</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1,600,000</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UNESCO UIS. The 84% gross enrolment ratio reported for 2024 implies growth; the lower figure is held</w:t>
            </w:r>
          </w:p>
        </w:tc>
      </w:tr>
      <w:tr>
        <w:trPr>
          <w:cantSplit w:val="true"/>
        </w:trPr>
        <w:tc>
          <w:tcPr>
            <w:tcW w:type="dxa" w:w="3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graduates, 2023</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547,200</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reported via Ahram Online</w:t>
            </w:r>
          </w:p>
        </w:tc>
      </w:tr>
      <w:tr>
        <w:trPr>
          <w:cantSplit w:val="true"/>
        </w:trPr>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graduates each year</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300,000</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Derived: enrolment over a four-year degree, discounted 25%</w:t>
            </w:r>
          </w:p>
        </w:tc>
      </w:tr>
      <w:tr>
        <w:trPr>
          <w:cantSplit w:val="true"/>
        </w:trPr>
        <w:tc>
          <w:tcPr>
            <w:tcW w:type="dxa" w:w="3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public colleges</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 28 universities, 551 colleges</w:t>
            </w:r>
          </w:p>
        </w:tc>
      </w:tr>
      <w:tr>
        <w:trPr>
          <w:cantSplit w:val="true"/>
        </w:trPr>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MENA startup funding, 2025</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$7.5bn across 647 deals</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 full-year</w:t>
            </w:r>
          </w:p>
        </w:tc>
      </w:tr>
      <w:tr>
        <w:trPr>
          <w:cantSplit w:val="true"/>
        </w:trPr>
        <w:tc>
          <w:tcPr>
            <w:tcW w:type="dxa" w:w="3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startup funding, 2025</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$263m across 89 deals</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startup funding, 2025</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$5.0bn across 211 deals</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26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Entrepreneurs registrations</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Ministry of Planning</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Counted universes — our estimates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14"/>
        <w:gridCol w:w="1437"/>
        <w:gridCol w:w="5359"/>
      </w:tblGrid>
      <w:tr>
        <w:trPr>
          <w:tblHeader w:val="true"/>
        </w:trPr>
        <w:tc>
          <w:tcPr>
            <w:tcW w:type="dxa" w:w="26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Universe</w:t>
            </w:r>
          </w:p>
        </w:tc>
        <w:tc>
          <w:tcPr>
            <w:tcW w:type="dxa" w:w="1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3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Reasoning</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buying units</w:t>
            </w:r>
          </w:p>
        </w:tc>
        <w:tc>
          <w:tcPr>
            <w:tcW w:type="dxa" w:w="143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3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 CAPMAS public colleges plus ~400 Egyptian private faculties; ~45 Saudi universities at ~12 colleges each plus 24 private colleges</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seats a year</w:t>
            </w:r>
          </w:p>
        </w:tc>
        <w:tc>
          <w:tcPr>
            <w:tcW w:type="dxa" w:w="143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400,000</w:t>
            </w:r>
          </w:p>
        </w:tc>
        <w:tc>
          <w:tcPr>
            <w:tcW w:type="dxa" w:w="53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across both markets at steady state. Far below the stated targets, which total several million</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a year</w:t>
            </w:r>
          </w:p>
        </w:tc>
        <w:tc>
          <w:tcPr>
            <w:tcW w:type="dxa" w:w="143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53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banks, telcos, ministries and foundations across both markets</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43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53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Incubators and programmes</w:t>
            </w:r>
          </w:p>
        </w:tc>
        <w:tc>
          <w:tcPr>
            <w:tcW w:type="dxa" w:w="143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w:t>
            </w:r>
          </w:p>
        </w:tc>
        <w:tc>
          <w:tcPr>
            <w:tcW w:type="dxa" w:w="53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select applicants and would benefit from a prepared pool</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Pricing assumptions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53"/>
        <w:gridCol w:w="1960"/>
        <w:gridCol w:w="5098"/>
      </w:tblGrid>
      <w:tr>
        <w:trPr>
          <w:tblHeader w:val="true"/>
        </w:trPr>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Assumption</w:t>
            </w:r>
          </w:p>
        </w:tc>
        <w:tc>
          <w:tcPr>
            <w:tcW w:type="dxa" w:w="19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0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Reasoning</w:t>
            </w:r>
          </w:p>
        </w:tc>
      </w:tr>
      <w:tr>
        <w:trPr>
          <w:cantSplit w:val="true"/>
        </w:trPr>
        <w:tc>
          <w:tcPr>
            <w:tcW w:type="dxa" w:w="235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price</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w:t>
            </w:r>
          </w:p>
        </w:tc>
        <w:tc>
          <w:tcPr>
            <w:tcW w:type="dxa" w:w="50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 per student — below the per-student cost of one external trainer day that leaves nothing behind</w:t>
            </w:r>
          </w:p>
        </w:tc>
      </w:tr>
      <w:tr>
        <w:trPr>
          <w:cantSplit w:val="true"/>
        </w:trPr>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$25,000</w:t>
            </w:r>
          </w:p>
        </w:tc>
        <w:tc>
          <w:tcPr>
            <w:tcW w:type="dxa" w:w="50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student in a faculty for an academic year; sold only after two cohorts have run</w:t>
            </w:r>
          </w:p>
        </w:tc>
      </w:tr>
      <w:tr>
        <w:trPr>
          <w:cantSplit w:val="true"/>
        </w:trPr>
        <w:tc>
          <w:tcPr>
            <w:tcW w:type="dxa" w:w="235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seat</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 falling to $18</w:t>
            </w:r>
          </w:p>
        </w:tc>
        <w:tc>
          <w:tcPr>
            <w:tcW w:type="dxa" w:w="50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Discounted hard against list because volume is the point</w:t>
            </w:r>
          </w:p>
        </w:tc>
      </w:tr>
      <w:tr>
        <w:trPr>
          <w:cantSplit w:val="true"/>
        </w:trPr>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 cohort</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50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Certifying a partner's own facilitators; the mechanism behind seat volume</w:t>
            </w:r>
          </w:p>
        </w:tc>
      </w:tr>
      <w:tr>
        <w:trPr>
          <w:cantSplit w:val="true"/>
        </w:trPr>
        <w:tc>
          <w:tcPr>
            <w:tcW w:type="dxa" w:w="235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$28,000 rising to $36,000</w:t>
            </w:r>
          </w:p>
        </w:tc>
        <w:tc>
          <w:tcPr>
            <w:tcW w:type="dxa" w:w="50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Benchmarked against what a sponsor pays an event agency for a comparable activation with no platform and no evidence</w:t>
            </w:r>
          </w:p>
        </w:tc>
      </w:tr>
      <w:tr>
        <w:trPr>
          <w:cantSplit w:val="true"/>
        </w:trPr>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$45,000</w:t>
            </w:r>
          </w:p>
        </w:tc>
        <w:tc>
          <w:tcPr>
            <w:tcW w:type="dxa" w:w="50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Bespoke design and delivery against a CSR or innovation budget</w:t>
            </w:r>
          </w:p>
        </w:tc>
      </w:tr>
      <w:tr>
        <w:trPr>
          <w:cantSplit w:val="true"/>
        </w:trPr>
        <w:tc>
          <w:tcPr>
            <w:tcW w:type="dxa" w:w="235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seat</w:t>
            </w:r>
          </w:p>
        </w:tc>
        <w:tc>
          <w:tcPr>
            <w:tcW w:type="dxa" w:w="19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50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Platform-only, where the partner facilitates</w:t>
            </w:r>
          </w:p>
        </w:tc>
      </w:tr>
      <w:tr>
        <w:trPr>
          <w:cantSplit w:val="true"/>
        </w:trPr>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 / Team subscription</w:t>
            </w:r>
          </w:p>
        </w:tc>
        <w:tc>
          <w:tcPr>
            <w:tcW w:type="dxa" w:w="19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 / $179</w:t>
            </w:r>
          </w:p>
        </w:tc>
        <w:tc>
          <w:tcPr>
            <w:tcW w:type="dxa" w:w="50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Priced for a student in Cairo, not a founder in London</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Operating assumptions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14"/>
        <w:gridCol w:w="1568"/>
        <w:gridCol w:w="5229"/>
      </w:tblGrid>
      <w:tr>
        <w:trPr>
          <w:tblHeader w:val="true"/>
        </w:trPr>
        <w:tc>
          <w:tcPr>
            <w:tcW w:type="dxa" w:w="26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Assumption</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2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Reasoning</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fit filter</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5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engineering, computing, design and applied science carry capstones that map to the missions</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reachability</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w:t>
            </w:r>
          </w:p>
        </w:tc>
        <w:tc>
          <w:tcPr>
            <w:tcW w:type="dxa" w:w="5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Greater Cairo, Alexandria, the Delta, Upper Egypt hubs; Riyadh, Jeddah, Dammam</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share one provider could serve</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Year three sits at 24% of addressable, inside this ceiling</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per facilitator pair per year</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5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two weeks, with slack for travel, preparation and campus holidays</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day rate</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w:t>
            </w:r>
          </w:p>
        </w:tc>
        <w:tc>
          <w:tcPr>
            <w:tcW w:type="dxa" w:w="5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freelance rate, Egypt</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delivery cost</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$11,000</w:t>
            </w:r>
          </w:p>
        </w:tc>
        <w:tc>
          <w:tcPr>
            <w:tcW w:type="dxa" w:w="5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Judging, platform setup, event staffing and on-site days</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B2C subscriber life</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years</w:t>
            </w:r>
          </w:p>
        </w:tc>
        <w:tc>
          <w:tcPr>
            <w:tcW w:type="dxa" w:w="5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founder who finishes has no reason to renew a third year; one who stalls churns inside the first</w:t>
            </w:r>
          </w:p>
        </w:tc>
      </w:tr>
      <w:tr>
        <w:trPr>
          <w:cantSplit w:val="true"/>
        </w:trPr>
        <w:tc>
          <w:tcPr>
            <w:tcW w:type="dxa" w:w="26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Year-one hiring ramp</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w:t>
            </w:r>
          </w:p>
        </w:tc>
        <w:tc>
          <w:tcPr>
            <w:tcW w:type="dxa" w:w="5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Average establishment across the year; nobody but the founders is on the payroll from month one</w:t>
            </w:r>
          </w:p>
        </w:tc>
      </w:tr>
      <w:tr>
        <w:trPr>
          <w:cantSplit w:val="true"/>
        </w:trPr>
        <w:tc>
          <w:tcPr>
            <w:tcW w:type="dxa" w:w="26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commission</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Institutional business is sold by people, and people on a number are paid on it</w:t>
            </w:r>
          </w:p>
        </w:tc>
      </w:tr>
    </w:tbl>
    <w:p>
      <w:pPr>
        <w:keepLines w:val="true"/>
        <w:widowControl w:val="true"/>
        <w:spacing w:before="0" w:after="140" w:line="322" w:lineRule="auto"/>
      </w:pPr>
    </w:p>
    <w:p>
      <w:pPr>
        <w:keepNext/>
        <w:keepLines w:val="true"/>
        <w:widowControl w:val="true"/>
        <w:spacing w:before="300" w:after="100" w:line="288" w:lineRule="auto"/>
      </w:pPr>
      <w:r>
        <w:rPr>
          <w:rFonts w:ascii="Plus Jakarta Sans" w:hAnsi="Plus Jakarta Sans" w:cs="Segoe UI"/>
          <w:b/>
          <w:i w:val="0"/>
          <w:color w:val="0B0E14"/>
          <w:sz w:val="26"/>
          <w:szCs w:val="26"/>
        </w:rPr>
        <w:t>What this plan does not claim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does not claim an outcome number. StartPad records mission progress, evidence and review scores. It does not certify that a venture will succeed, and no partnership should be contracted against a metric the product cannot measure.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does not assume a second raise. Years two and three are funded from operations on these numbers.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subscription conversion rates are modelled, not measured, and so are the pipeline conversion rates. Both will be replaced with observed figures after the first cohort quarter.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Competition and corporate pricing is benchmarked against comparable sponsorship spend rather than against signed StartPad deals, because there are none yet. These are the prices most likely to move after the first four competitions.</w:t>
      </w:r>
    </w:p>
    <w:sectPr w:rsidR="00FC693F" w:rsidRPr="0006063C" w:rsidSect="00034616">
      <w:headerReference w:type="default" r:id="rId9"/>
      <w:footerReference w:type="default" r:id="rId10"/>
      <w:pgSz w:w="11906" w:h="16838"/>
      <w:pgMar w:top="1134" w:right="1247" w:bottom="1077" w:left="1247"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Plus Jakarta Sans" w:hAnsi="Plus Jakarta Sans" w:cs="Segoe UI"/>
        <w:b w:val="0"/>
        <w:i w:val="0"/>
        <w:color w:val="9AA0AF"/>
        <w:sz w:val="14"/>
        <w:szCs w:val="14"/>
      </w:rPr>
      <w:t xml:space="preserve">October 2026 – September 2029          </w:t>
    </w:r>
    <w:r>
      <w:rPr>
        <w:rFonts w:ascii="Plus Jakarta Sans" w:hAnsi="Plus Jakarta Sans" w:cs="Segoe UI"/>
        <w:color w:val="6B7285"/>
        <w:sz w:val="16"/>
        <w:szCs w:val="16"/>
      </w:rPr>
      <w:fldChar w:fldCharType="begin"/>
    </w:r>
    <w:r>
      <w:rPr>
        <w:rFonts w:ascii="Plus Jakarta Sans" w:hAnsi="Plus Jakarta Sans" w:cs="Segoe UI"/>
        <w:color w:val="6B7285"/>
        <w:sz w:val="16"/>
        <w:szCs w:val="16"/>
      </w:rPr>
      <w:instrText xml:space="preserve"> PAGE </w:instrText>
    </w:r>
    <w:r>
      <w:rPr>
        <w:rFonts w:ascii="Plus Jakarta Sans" w:hAnsi="Plus Jakarta Sans" w:cs="Segoe UI"/>
        <w:color w:val="6B7285"/>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E2E4EA"/>
      </w:pBdr>
      <w:spacing w:after="0"/>
    </w:pPr>
    <w:r>
      <w:rPr>
        <w:rFonts w:ascii="Plus Jakarta Sans" w:hAnsi="Plus Jakarta Sans" w:cs="Segoe UI"/>
        <w:b/>
        <w:i w:val="0"/>
        <w:color w:val="9AA0AF"/>
        <w:spacing w:val="24"/>
        <w:sz w:val="14"/>
        <w:szCs w:val="14"/>
      </w:rPr>
      <w:t>STARTPAD  ·  BUSINESS PLAN  ·  EGYPT AND SAUDI ARABIA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0B0E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