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24" w:space="2" w:color="3418E0"/>
        </w:pBdr>
        <w:spacing w:after="20"/>
      </w:pPr>
      <w:r>
        <w:drawing>
          <wp:inline xmlns:a="http://schemas.openxmlformats.org/drawingml/2006/main" xmlns:pic="http://schemas.openxmlformats.org/drawingml/2006/picture">
            <wp:extent cx="1080000" cy="273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tpad_horizontal_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273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right"/>
      </w:pPr>
      <w:r>
        <w:rPr>
          <w:rFonts w:ascii="Satoshi" w:hAnsi="Satoshi" w:cs="Segoe UI"/>
          <w:b/>
          <w:i w:val="0"/>
          <w:color w:val="9AA0AF"/>
          <w:sz w:val="14"/>
          <w:szCs w:val="14"/>
        </w:rPr>
        <w:t>STARTPAD PROGRAMME REVIEW · NO. 01</w:t>
        <w:br/>
        <w:t>FOR GROWTHLABS, COGNIFY ACADEMY AND THE UNIVERSITY</w:t>
      </w:r>
    </w:p>
    <w:p>
      <w:pPr>
        <w:spacing w:after="60"/>
      </w:pPr>
      <w:r>
        <w:rPr>
          <w:rFonts w:ascii="Satoshi" w:hAnsi="Satoshi" w:cs="Segoe UI"/>
          <w:b/>
          <w:i w:val="0"/>
          <w:color w:val="0B0E14"/>
          <w:sz w:val="40"/>
          <w:szCs w:val="40"/>
        </w:rPr>
        <w:t>Half the Rubric Has No Mission</w:t>
      </w:r>
    </w:p>
    <w:p>
      <w:pPr>
        <w:spacing w:after="227" w:before="0" w:line="360" w:lineRule="auto"/>
      </w:pPr>
      <w:r>
        <w:rPr>
          <w:rFonts w:ascii="Satoshi" w:hAnsi="Satoshi" w:cs="Segoe UI"/>
          <w:b w:val="0"/>
          <w:i w:val="0"/>
          <w:color w:val="3A4050"/>
          <w:sz w:val="19"/>
          <w:szCs w:val="19"/>
        </w:rPr>
        <w:t>Where the camp's content and the platform's journey part company — and the three changes that close it.</w:t>
      </w:r>
    </w:p>
    <w:p>
      <w:pPr>
        <w:spacing w:after="136" w:before="0" w:line="360" w:lineRule="auto"/>
      </w:pPr>
      <w:r>
        <w:rPr>
          <w:rFonts w:ascii="Satoshi" w:hAnsi="Satoshi" w:cs="Segoe UI"/>
          <w:b w:val="0"/>
          <w:i w:val="0"/>
          <w:color w:val="0B0E14"/>
          <w:sz w:val="18"/>
          <w:szCs w:val="18"/>
        </w:rPr>
        <w:t xml:space="preserve">The sequencing is right — teaching order was bent so missions unlock in order. The problem is content, not order. Four of the seven Bazaar criteria, </w:t>
      </w:r>
      <w:r>
        <w:rPr>
          <w:rFonts w:ascii="Satoshi" w:hAnsi="Satoshi" w:cs="Segoe UI"/>
          <w:b/>
          <w:i w:val="0"/>
          <w:color w:val="0B0E14"/>
          <w:sz w:val="18"/>
          <w:szCs w:val="18"/>
        </w:rPr>
        <w:t>50% of the score</w:t>
      </w:r>
      <w:r>
        <w:rPr>
          <w:rFonts w:ascii="Satoshi" w:hAnsi="Satoshi" w:cs="Segoe UI"/>
          <w:b w:val="0"/>
          <w:i w:val="0"/>
          <w:color w:val="0B0E14"/>
          <w:sz w:val="18"/>
          <w:szCs w:val="18"/>
        </w:rPr>
        <w:t>, measure work no mission has a field for; two missions ask for work the camp has not taught yet; and two hand students a different tool from the one they were given in class three hours earlier.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567"/>
            <w:tcBorders>
              <w:bottom w:val="single" w:sz="12" w:space="0" w:color="0B0E14"/>
            </w:tcBorders>
          </w:tcPr>
          <w:p>
            <w:pPr>
              <w:spacing w:after="60"/>
            </w:pPr>
            <w:r>
              <w:rPr>
                <w:rFonts w:ascii="Satoshi" w:hAnsi="Satoshi" w:cs="Segoe UI"/>
                <w:b/>
                <w:i w:val="0"/>
                <w:color w:val="3A4050"/>
                <w:sz w:val="14"/>
                <w:szCs w:val="14"/>
              </w:rPr>
              <w:t>DAY</w:t>
            </w:r>
          </w:p>
        </w:tc>
        <w:tc>
          <w:tcPr>
            <w:tcW w:type="dxa" w:w="2608"/>
            <w:tcBorders>
              <w:bottom w:val="single" w:sz="12" w:space="0" w:color="0B0E14"/>
            </w:tcBorders>
          </w:tcPr>
          <w:p>
            <w:pPr>
              <w:spacing w:after="60"/>
            </w:pPr>
            <w:r>
              <w:rPr>
                <w:rFonts w:ascii="Satoshi" w:hAnsi="Satoshi" w:cs="Segoe UI"/>
                <w:b/>
                <w:i w:val="0"/>
                <w:color w:val="3A4050"/>
                <w:sz w:val="14"/>
                <w:szCs w:val="14"/>
              </w:rPr>
              <w:t>WHAT THE CAMP PRODUCES</w:t>
            </w:r>
          </w:p>
        </w:tc>
        <w:tc>
          <w:tcPr>
            <w:tcW w:type="dxa" w:w="1134"/>
            <w:tcBorders>
              <w:bottom w:val="single" w:sz="12" w:space="0" w:color="0B0E14"/>
            </w:tcBorders>
          </w:tcPr>
          <w:p>
            <w:pPr>
              <w:spacing w:after="60"/>
            </w:pPr>
            <w:r>
              <w:rPr>
                <w:rFonts w:ascii="Satoshi" w:hAnsi="Satoshi" w:cs="Segoe UI"/>
                <w:b/>
                <w:i w:val="0"/>
                <w:color w:val="3A4050"/>
                <w:sz w:val="14"/>
                <w:szCs w:val="14"/>
              </w:rPr>
              <w:t>MISSIONS</w:t>
            </w:r>
          </w:p>
        </w:tc>
        <w:tc>
          <w:tcPr>
            <w:tcW w:type="dxa" w:w="5102"/>
            <w:tcBorders>
              <w:bottom w:val="single" w:sz="12" w:space="0" w:color="0B0E14"/>
            </w:tcBorders>
          </w:tcPr>
          <w:p>
            <w:pPr>
              <w:spacing w:after="60"/>
            </w:pPr>
            <w:r>
              <w:rPr>
                <w:rFonts w:ascii="Satoshi" w:hAnsi="Satoshi" w:cs="Segoe UI"/>
                <w:b/>
                <w:i w:val="0"/>
                <w:color w:val="3A4050"/>
                <w:sz w:val="14"/>
                <w:szCs w:val="14"/>
              </w:rPr>
              <w:t>WHERE CONTENT AND JOURNEY PART</w:t>
            </w:r>
          </w:p>
        </w:tc>
      </w:tr>
      <w:tr>
        <w:tc>
          <w:tcPr>
            <w:tcW w:type="dxa" w:w="567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0B0E14"/>
                <w:sz w:val="16"/>
                <w:szCs w:val="16"/>
              </w:rPr>
              <w:t>1</w:t>
            </w:r>
          </w:p>
        </w:tc>
        <w:tc>
          <w:tcPr>
            <w:tcW w:type="dxa" w:w="2608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3A4050"/>
                <w:sz w:val="16"/>
                <w:szCs w:val="16"/>
              </w:rPr>
              <w:t>Impact × Frequency matrix, persona</w:t>
            </w:r>
          </w:p>
        </w:tc>
        <w:tc>
          <w:tcPr>
            <w:tcW w:type="dxa" w:w="1134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3A4050"/>
                <w:sz w:val="16"/>
                <w:szCs w:val="16"/>
              </w:rPr>
              <w:t>01–03</w:t>
            </w:r>
          </w:p>
        </w:tc>
        <w:tc>
          <w:tcPr>
            <w:tcW w:type="dxa" w:w="5102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3A4050"/>
                <w:sz w:val="16"/>
                <w:szCs w:val="16"/>
              </w:rPr>
              <w:t xml:space="preserve">We call the same matrix </w:t>
            </w:r>
            <w:r>
              <w:rPr>
                <w:rFonts w:ascii="Satoshi" w:hAnsi="Satoshi" w:cs="Segoe UI"/>
                <w:b/>
                <w:i w:val="0"/>
                <w:color w:val="3A4050"/>
                <w:sz w:val="16"/>
                <w:szCs w:val="16"/>
              </w:rPr>
              <w:t>Importance</w:t>
            </w:r>
            <w:r>
              <w:rPr>
                <w:rFonts w:ascii="Satoshi" w:hAnsi="Satoshi" w:cs="Segoe UI"/>
                <w:b w:val="0"/>
                <w:i w:val="0"/>
                <w:color w:val="3A4050"/>
                <w:sz w:val="16"/>
                <w:szCs w:val="16"/>
              </w:rPr>
              <w:t>/Frequency. Mission 01 also asks what solutions exist and their limits — competitor work the camp never teaches.</w:t>
            </w:r>
          </w:p>
        </w:tc>
      </w:tr>
      <w:tr>
        <w:tc>
          <w:tcPr>
            <w:tcW w:type="dxa" w:w="567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0B0E14"/>
                <w:sz w:val="16"/>
                <w:szCs w:val="16"/>
              </w:rPr>
              <w:t>2</w:t>
            </w:r>
          </w:p>
        </w:tc>
        <w:tc>
          <w:tcPr>
            <w:tcW w:type="dxa" w:w="2608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3A4050"/>
                <w:sz w:val="16"/>
                <w:szCs w:val="16"/>
              </w:rPr>
              <w:t xml:space="preserve">Problem statement, solution on value × </w:t>
            </w:r>
            <w:r>
              <w:rPr>
                <w:rFonts w:ascii="Satoshi" w:hAnsi="Satoshi" w:cs="Segoe UI"/>
                <w:b/>
                <w:i w:val="0"/>
                <w:color w:val="3A4050"/>
                <w:sz w:val="16"/>
                <w:szCs w:val="16"/>
              </w:rPr>
              <w:t>effort</w:t>
            </w:r>
            <w:r>
              <w:rPr>
                <w:rFonts w:ascii="Satoshi" w:hAnsi="Satoshi" w:cs="Segoe UI"/>
                <w:b w:val="0"/>
                <w:i w:val="0"/>
                <w:color w:val="3A4050"/>
                <w:sz w:val="16"/>
                <w:szCs w:val="16"/>
              </w:rPr>
              <w:t>, value proposition, test plan</w:t>
            </w:r>
          </w:p>
        </w:tc>
        <w:tc>
          <w:tcPr>
            <w:tcW w:type="dxa" w:w="1134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3A4050"/>
                <w:sz w:val="16"/>
                <w:szCs w:val="16"/>
              </w:rPr>
              <w:t>04–06, 07</w:t>
            </w:r>
          </w:p>
        </w:tc>
        <w:tc>
          <w:tcPr>
            <w:tcW w:type="dxa" w:w="5102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3A4050"/>
                <w:sz w:val="16"/>
                <w:szCs w:val="16"/>
              </w:rPr>
              <w:t xml:space="preserve">Mission 05 scores solutions on value × </w:t>
            </w:r>
            <w:r>
              <w:rPr>
                <w:rFonts w:ascii="Satoshi" w:hAnsi="Satoshi" w:cs="Segoe UI"/>
                <w:b/>
                <w:i w:val="0"/>
                <w:color w:val="3A4050"/>
                <w:sz w:val="16"/>
                <w:szCs w:val="16"/>
              </w:rPr>
              <w:t>impact</w:t>
            </w:r>
            <w:r>
              <w:rPr>
                <w:rFonts w:ascii="Satoshi" w:hAnsi="Satoshi" w:cs="Segoe UI"/>
                <w:b w:val="0"/>
                <w:i w:val="0"/>
                <w:color w:val="3A4050"/>
                <w:sz w:val="16"/>
                <w:szCs w:val="16"/>
              </w:rPr>
              <w:t xml:space="preserve"> — a different axis, the same evening. Mission 06 wants 3–5 product features; product work is Day 4.</w:t>
            </w:r>
          </w:p>
        </w:tc>
      </w:tr>
      <w:tr>
        <w:tc>
          <w:tcPr>
            <w:tcW w:type="dxa" w:w="567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0B0E14"/>
                <w:sz w:val="16"/>
                <w:szCs w:val="16"/>
              </w:rPr>
              <w:t>3</w:t>
            </w:r>
          </w:p>
        </w:tc>
        <w:tc>
          <w:tcPr>
            <w:tcW w:type="dxa" w:w="2608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3A4050"/>
                <w:sz w:val="16"/>
                <w:szCs w:val="16"/>
              </w:rPr>
              <w:t>Unit cost, price, margin, break-even</w:t>
            </w:r>
          </w:p>
        </w:tc>
        <w:tc>
          <w:tcPr>
            <w:tcW w:type="dxa" w:w="1134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3A4050"/>
                <w:sz w:val="16"/>
                <w:szCs w:val="16"/>
              </w:rPr>
              <w:t>08</w:t>
            </w:r>
          </w:p>
        </w:tc>
        <w:tc>
          <w:tcPr>
            <w:tcW w:type="dxa" w:w="5102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/>
                <w:i w:val="0"/>
                <w:color w:val="3A4050"/>
                <w:sz w:val="16"/>
                <w:szCs w:val="16"/>
              </w:rPr>
              <w:t>No mission records finance.</w:t>
            </w:r>
            <w:r>
              <w:rPr>
                <w:rFonts w:ascii="Satoshi" w:hAnsi="Satoshi" w:cs="Segoe UI"/>
                <w:b w:val="0"/>
                <w:i w:val="0"/>
                <w:color w:val="3A4050"/>
                <w:sz w:val="16"/>
                <w:szCs w:val="16"/>
              </w:rPr>
              <w:t xml:space="preserve"> The canvas has one Revenue Streams box. Four hours and 15% of the rubric land nowhere.</w:t>
            </w:r>
          </w:p>
        </w:tc>
      </w:tr>
      <w:tr>
        <w:tc>
          <w:tcPr>
            <w:tcW w:type="dxa" w:w="567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0B0E14"/>
                <w:sz w:val="16"/>
                <w:szCs w:val="16"/>
              </w:rPr>
              <w:t>4</w:t>
            </w:r>
          </w:p>
        </w:tc>
        <w:tc>
          <w:tcPr>
            <w:tcW w:type="dxa" w:w="2608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3A4050"/>
                <w:sz w:val="16"/>
                <w:szCs w:val="16"/>
              </w:rPr>
              <w:t>Prototype, user test, brand kit</w:t>
            </w:r>
          </w:p>
        </w:tc>
        <w:tc>
          <w:tcPr>
            <w:tcW w:type="dxa" w:w="1134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3A4050"/>
                <w:sz w:val="16"/>
                <w:szCs w:val="16"/>
              </w:rPr>
              <w:t>09–10</w:t>
            </w:r>
          </w:p>
        </w:tc>
        <w:tc>
          <w:tcPr>
            <w:tcW w:type="dxa" w:w="5102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/>
                <w:i w:val="0"/>
                <w:color w:val="3A4050"/>
                <w:sz w:val="16"/>
                <w:szCs w:val="16"/>
              </w:rPr>
              <w:t>No mission records branding</w:t>
            </w:r>
            <w:r>
              <w:rPr>
                <w:rFonts w:ascii="Satoshi" w:hAnsi="Satoshi" w:cs="Segoe UI"/>
                <w:b w:val="0"/>
                <w:i w:val="0"/>
                <w:color w:val="3A4050"/>
                <w:sz w:val="16"/>
                <w:szCs w:val="16"/>
              </w:rPr>
              <w:t xml:space="preserve"> — an hour of Day 4 and 10% of the rubric. Mission 09 asks what technology stack was used, of students building in cardboard.</w:t>
            </w:r>
          </w:p>
        </w:tc>
      </w:tr>
      <w:tr>
        <w:tc>
          <w:tcPr>
            <w:tcW w:type="dxa" w:w="567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0B0E14"/>
                <w:sz w:val="16"/>
                <w:szCs w:val="16"/>
              </w:rPr>
              <w:t>5</w:t>
            </w:r>
          </w:p>
        </w:tc>
        <w:tc>
          <w:tcPr>
            <w:tcW w:type="dxa" w:w="2608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3A4050"/>
                <w:sz w:val="16"/>
                <w:szCs w:val="16"/>
              </w:rPr>
              <w:t>Pitch deck, rehearsed pitch, Q&amp;A</w:t>
            </w:r>
          </w:p>
        </w:tc>
        <w:tc>
          <w:tcPr>
            <w:tcW w:type="dxa" w:w="1134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 w:val="0"/>
                <w:i w:val="0"/>
                <w:color w:val="3A4050"/>
                <w:sz w:val="16"/>
                <w:szCs w:val="16"/>
              </w:rPr>
              <w:t>catch-up only</w:t>
            </w:r>
          </w:p>
        </w:tc>
        <w:tc>
          <w:tcPr>
            <w:tcW w:type="dxa" w:w="5102"/>
            <w:tcBorders>
              <w:bottom w:val="single" w:sz="6" w:space="0" w:color="E2E4EA"/>
            </w:tcBorders>
          </w:tcPr>
          <w:p>
            <w:pPr>
              <w:spacing w:after="80" w:line="312" w:lineRule="auto"/>
            </w:pPr>
            <w:r>
              <w:rPr>
                <w:rFonts w:ascii="Satoshi" w:hAnsi="Satoshi" w:cs="Segoe UI"/>
                <w:b/>
                <w:i w:val="0"/>
                <w:color w:val="3A4050"/>
                <w:sz w:val="16"/>
                <w:szCs w:val="16"/>
              </w:rPr>
              <w:t>No mission records the pitch.</w:t>
            </w:r>
            <w:r>
              <w:rPr>
                <w:rFonts w:ascii="Satoshi" w:hAnsi="Satoshi" w:cs="Segoe UI"/>
                <w:b w:val="0"/>
                <w:i w:val="0"/>
                <w:color w:val="3A4050"/>
                <w:sz w:val="16"/>
                <w:szCs w:val="16"/>
              </w:rPr>
              <w:t xml:space="preserve"> A whole day and 25% of the rubric: the largest gap in the map.</w:t>
            </w:r>
          </w:p>
        </w:tc>
      </w:tr>
    </w:tbl>
    <w:p>
      <w:pPr>
        <w:spacing w:after="20" w:before="100"/>
      </w:pPr>
      <w:r>
        <w:rPr>
          <w:rFonts w:ascii="Satoshi" w:hAnsi="Satoshi" w:cs="Segoe UI"/>
          <w:b/>
          <w:i w:val="0"/>
          <w:color w:val="3418E0"/>
          <w:sz w:val="22"/>
          <w:szCs w:val="22"/>
        </w:rPr>
        <w:t xml:space="preserve">01   </w:t>
      </w:r>
      <w:r>
        <w:rPr>
          <w:rFonts w:ascii="Satoshi" w:hAnsi="Satoshi" w:cs="Segoe UI"/>
          <w:b/>
          <w:i w:val="0"/>
          <w:color w:val="0B0E14"/>
          <w:sz w:val="18"/>
          <w:szCs w:val="18"/>
        </w:rPr>
        <w:t>Add the two missions the camp already does the work for</w:t>
      </w:r>
    </w:p>
    <w:p>
      <w:pPr>
        <w:spacing w:after="40" w:line="336" w:lineRule="auto"/>
        <w:ind w:left="567"/>
      </w:pPr>
      <w:r>
        <w:rPr>
          <w:rFonts w:ascii="Satoshi" w:hAnsi="Satoshi" w:cs="Segoe UI"/>
          <w:b/>
          <w:i w:val="0"/>
          <w:color w:val="3A4050"/>
          <w:sz w:val="17"/>
          <w:szCs w:val="17"/>
        </w:rPr>
        <w:t>Costs and Pricing</w:t>
      </w:r>
      <w:r>
        <w:rPr>
          <w:rFonts w:ascii="Satoshi" w:hAnsi="Satoshi" w:cs="Segoe UI"/>
          <w:b w:val="0"/>
          <w:i w:val="0"/>
          <w:color w:val="3A4050"/>
          <w:sz w:val="17"/>
          <w:szCs w:val="17"/>
        </w:rPr>
        <w:t xml:space="preserve"> after mission 08, </w:t>
      </w:r>
      <w:r>
        <w:rPr>
          <w:rFonts w:ascii="Satoshi" w:hAnsi="Satoshi" w:cs="Segoe UI"/>
          <w:b/>
          <w:i w:val="0"/>
          <w:color w:val="3A4050"/>
          <w:sz w:val="17"/>
          <w:szCs w:val="17"/>
        </w:rPr>
        <w:t>Brand and Pitch</w:t>
      </w:r>
      <w:r>
        <w:rPr>
          <w:rFonts w:ascii="Satoshi" w:hAnsi="Satoshi" w:cs="Segoe UI"/>
          <w:b w:val="0"/>
          <w:i w:val="0"/>
          <w:color w:val="3A4050"/>
          <w:sz w:val="17"/>
          <w:szCs w:val="17"/>
        </w:rPr>
        <w:t xml:space="preserve"> after 10. Both fill from artefacts made in class, so neither adds homework, and together they take the unrecorded half of the rubric to nothing.</w:t>
      </w:r>
    </w:p>
    <w:p>
      <w:pPr>
        <w:spacing w:after="20" w:before="100"/>
      </w:pPr>
      <w:r>
        <w:rPr>
          <w:rFonts w:ascii="Satoshi" w:hAnsi="Satoshi" w:cs="Segoe UI"/>
          <w:b/>
          <w:i w:val="0"/>
          <w:color w:val="3418E0"/>
          <w:sz w:val="22"/>
          <w:szCs w:val="22"/>
        </w:rPr>
        <w:t xml:space="preserve">02   </w:t>
      </w:r>
      <w:r>
        <w:rPr>
          <w:rFonts w:ascii="Satoshi" w:hAnsi="Satoshi" w:cs="Segoe UI"/>
          <w:b/>
          <w:i w:val="0"/>
          <w:color w:val="0B0E14"/>
          <w:sz w:val="18"/>
          <w:szCs w:val="18"/>
        </w:rPr>
        <w:t>Change mission 05 from value × impact to value × effort</w:t>
      </w:r>
    </w:p>
    <w:p>
      <w:pPr>
        <w:spacing w:after="40" w:line="336" w:lineRule="auto"/>
        <w:ind w:left="567"/>
      </w:pPr>
      <w:r>
        <w:rPr>
          <w:rFonts w:ascii="Satoshi" w:hAnsi="Satoshi" w:cs="Segoe UI"/>
          <w:b w:val="0"/>
          <w:i w:val="0"/>
          <w:color w:val="3A4050"/>
          <w:sz w:val="17"/>
          <w:szCs w:val="17"/>
        </w:rPr>
        <w:t>The camp's axis is the better one: a fifteen-year-old can estimate effort and cannot estimate impact before collecting the evidence.</w:t>
      </w:r>
    </w:p>
    <w:p>
      <w:pPr>
        <w:spacing w:after="20" w:before="100"/>
      </w:pPr>
      <w:r>
        <w:rPr>
          <w:rFonts w:ascii="Satoshi" w:hAnsi="Satoshi" w:cs="Segoe UI"/>
          <w:b/>
          <w:i w:val="0"/>
          <w:color w:val="3418E0"/>
          <w:sz w:val="22"/>
          <w:szCs w:val="22"/>
        </w:rPr>
        <w:t xml:space="preserve">03   </w:t>
      </w:r>
      <w:r>
        <w:rPr>
          <w:rFonts w:ascii="Satoshi" w:hAnsi="Satoshi" w:cs="Segoe UI"/>
          <w:b/>
          <w:i w:val="0"/>
          <w:color w:val="0B0E14"/>
          <w:sz w:val="18"/>
          <w:szCs w:val="18"/>
        </w:rPr>
        <w:t>Move the competitor questions from mission 01 to mission 04</w:t>
      </w:r>
    </w:p>
    <w:p>
      <w:pPr>
        <w:spacing w:after="40" w:line="336" w:lineRule="auto"/>
        <w:ind w:left="567"/>
      </w:pPr>
      <w:r>
        <w:rPr>
          <w:rFonts w:ascii="Satoshi" w:hAnsi="Satoshi" w:cs="Segoe UI"/>
          <w:b w:val="0"/>
          <w:i w:val="0"/>
          <w:color w:val="3A4050"/>
          <w:sz w:val="17"/>
          <w:szCs w:val="17"/>
        </w:rPr>
        <w:t>On night one they are guesswork. After the interviews they are answerable, and the camp has taught something to answer them with.</w:t>
      </w:r>
    </w:p>
    <w:p>
      <w:pPr>
        <w:pBdr>
          <w:top w:val="single" w:sz="6" w:space="2" w:color="E2E4EA"/>
        </w:pBdr>
        <w:spacing w:before="160" w:after="80" w:line="336" w:lineRule="auto"/>
      </w:pPr>
      <w:r>
        <w:rPr>
          <w:rFonts w:ascii="Satoshi" w:hAnsi="Satoshi" w:cs="Segoe UI"/>
          <w:b w:val="0"/>
          <w:i w:val="0"/>
          <w:color w:val="6B7285"/>
          <w:sz w:val="15"/>
          <w:szCs w:val="15"/>
        </w:rPr>
        <w:t xml:space="preserve">Also: seven of the ten mission titles in the pack are not what a student sees on screen, and the pack's are clearer. Missions 11–15 are never taught, and two do not fit this age as written. Checked against the </w:t>
      </w:r>
      <w:r>
        <w:rPr>
          <w:rFonts w:ascii="Satoshi" w:hAnsi="Satoshi" w:cs="Segoe UI"/>
          <w:b/>
          <w:i w:val="0"/>
          <w:color w:val="6B7285"/>
          <w:sz w:val="15"/>
          <w:szCs w:val="15"/>
        </w:rPr>
        <w:t>Entrepreneurship Camp Learner Journey</w:t>
      </w:r>
      <w:r>
        <w:rPr>
          <w:rFonts w:ascii="Satoshi" w:hAnsi="Satoshi" w:cs="Segoe UI"/>
          <w:b w:val="0"/>
          <w:i w:val="0"/>
          <w:color w:val="6B7285"/>
          <w:sz w:val="15"/>
          <w:szCs w:val="15"/>
        </w:rPr>
        <w:t xml:space="preserve"> pack, September 2026, and our own mission and question list; the 50% is the published Bazaar weights for finance, brand, pitch and Q&amp;A.</w:t>
      </w:r>
    </w:p>
    <w:p>
      <w:pPr>
        <w:pBdr>
          <w:top w:val="single" w:sz="18" w:space="2" w:color="0B0E14"/>
        </w:pBdr>
        <w:spacing w:before="200" w:after="40"/>
      </w:pPr>
      <w:r>
        <w:drawing>
          <wp:inline xmlns:a="http://schemas.openxmlformats.org/drawingml/2006/main" xmlns:pic="http://schemas.openxmlformats.org/drawingml/2006/picture">
            <wp:extent cx="1007999" cy="2550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tpad_horizontal_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7999" cy="255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 w:line="336" w:lineRule="auto"/>
      </w:pPr>
      <w:r>
        <w:rPr>
          <w:rFonts w:ascii="Satoshi" w:hAnsi="Satoshi" w:cs="Segoe UI"/>
          <w:b/>
          <w:i w:val="0"/>
          <w:color w:val="0B0E14"/>
          <w:sz w:val="15"/>
          <w:szCs w:val="15"/>
        </w:rPr>
        <w:t>StartPad</w:t>
      </w:r>
      <w:r>
        <w:rPr>
          <w:rFonts w:ascii="Satoshi" w:hAnsi="Satoshi" w:cs="Segoe UI"/>
          <w:b w:val="0"/>
          <w:i w:val="0"/>
          <w:color w:val="6B7285"/>
          <w:sz w:val="15"/>
          <w:szCs w:val="15"/>
        </w:rPr>
        <w:t xml:space="preserve"> is a founder-readiness platform for Egypt and MENA. It moves a young person with an idea and no company through fifteen structured missions and issues verifiable proof of the work. Nothing submitted is taken from the person who submitted it — it is sealed and timestamped to them.</w:t>
      </w:r>
    </w:p>
    <w:p>
      <w:pPr>
        <w:spacing w:after="0"/>
      </w:pPr>
      <w:r>
        <w:rPr>
          <w:rFonts w:ascii="Satoshi" w:hAnsi="Satoshi" w:cs="Segoe UI"/>
          <w:b/>
          <w:i w:val="0"/>
          <w:color w:val="0B0E14"/>
          <w:sz w:val="22"/>
          <w:szCs w:val="22"/>
        </w:rPr>
        <w:t>startpad.me</w:t>
      </w:r>
    </w:p>
    <w:sectPr w:rsidR="00FC693F" w:rsidRPr="0006063C" w:rsidSect="00034616">
      <w:pgSz w:w="11906" w:h="16838"/>
      <w:pgMar w:top="850" w:right="964" w:bottom="79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atoshi" w:hAnsi="Satoshi"/>
      <w:color w:val="0B0E14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Half the Rubric Has No Mission</dc:title>
  <dc:subject/>
  <dc:creator>StartPad</dc:creator>
  <cp:keywords>curriculum alignment, StartPad missions, entrepreneurship education, camp content, GrowthLabs</cp:keywords>
  <dc:description>Content and journey alignment between the Future Founders camp and the StartPad mission sequence.</dc:description>
  <cp:lastModifiedBy>StartPad</cp:lastModifiedBy>
  <cp:revision>1</cp:revision>
  <dcterms:created xsi:type="dcterms:W3CDTF">2024-01-01T00:00:00Z</dcterms:created>
  <dcterms:modified xsi:type="dcterms:W3CDTF">2024-01-01T00:00:00Z</dcterms:modified>
  <cp:category/>
</cp:coreProperties>
</file>