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spacing w:after="0"/>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spacing w:after="360" w:before="520" w:line="276" w:lineRule="auto"/>
            </w:pPr>
            <w:r>
              <w:rPr>
                <w:rFonts w:ascii="Satoshi" w:hAnsi="Satoshi" w:cs="Satoshi"/>
                <w:b/>
                <w:i w:val="0"/>
                <w:caps/>
                <w:color w:val="FFFFFF"/>
                <w:spacing w:val="26"/>
                <w:sz w:val="16"/>
                <w:szCs w:val="16"/>
              </w:rPr>
              <w:t>StartPad template</w:t>
            </w:r>
          </w:p>
          <w:p>
            <w:pPr>
              <w:spacing w:after="160" w:before="0" w:line="252" w:lineRule="auto"/>
            </w:pPr>
            <w:r>
              <w:rPr>
                <w:rFonts w:ascii="Satoshi" w:hAnsi="Satoshi" w:cs="Satoshi"/>
                <w:b/>
                <w:i w:val="0"/>
                <w:color w:val="FFFFFF"/>
                <w:sz w:val="60"/>
                <w:szCs w:val="60"/>
              </w:rPr>
              <w:t>Competitive Moat &amp; Five Forces</w:t>
            </w:r>
          </w:p>
          <w:p>
            <w:pPr>
              <w:spacing w:after="0" w:before="0" w:line="324" w:lineRule="auto"/>
            </w:pPr>
            <w:r>
              <w:rPr>
                <w:rFonts w:ascii="Satoshi" w:hAnsi="Satoshi" w:cs="Satoshi"/>
                <w:b w:val="0"/>
                <w:i w:val="0"/>
                <w:color w:val="FFFFFF"/>
                <w:sz w:val="25"/>
                <w:szCs w:val="25"/>
              </w:rPr>
              <w:t>Why this stays yours after it works</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spacing w:before="0" w:after="80" w:line="312" w:lineRule="auto"/>
        <w:jc w:val="left"/>
      </w:pPr>
      <w:r>
        <w:rPr>
          <w:rFonts w:ascii="Satoshi" w:hAnsi="Satoshi" w:cs="Satoshi"/>
          <w:b/>
          <w:i w:val="0"/>
          <w:color w:val="0B0E14"/>
          <w:sz w:val="22"/>
          <w:szCs w:val="22"/>
        </w:rPr>
        <w:t>What you will have when this is filled: An honest read of the industry, and a named moat with a time horizon</w:t>
      </w:r>
    </w:p>
    <w:p>
      <w:pPr>
        <w:keepNext w:val="0"/>
        <w:spacing w:before="0" w:after="0" w:line="312" w:lineRule="auto"/>
        <w:jc w:val="left"/>
      </w:pPr>
      <w:r>
        <w:rPr>
          <w:rFonts w:ascii="Satoshi" w:hAnsi="Satoshi" w:cs="Satoshi"/>
          <w:b/>
          <w:i w:val="0"/>
          <w:color w:val="3418E0"/>
          <w:sz w:val="20"/>
          <w:szCs w:val="20"/>
        </w:rPr>
        <w:t>startpad.me</w:t>
      </w:r>
    </w:p>
    <w:p>
      <w:r>
        <w:br w:type="page"/>
      </w:r>
    </w:p>
    <w:p>
      <w:pPr>
        <w:keepNext/>
        <w:spacing w:before="0" w:after="40" w:line="312" w:lineRule="auto"/>
        <w:jc w:val="left"/>
      </w:pPr>
      <w:r>
        <w:rPr>
          <w:rFonts w:ascii="Satoshi" w:hAnsi="Satoshi" w:cs="Satoshi"/>
          <w:b/>
          <w:i w:val="0"/>
          <w:color w:val="0B0E14"/>
          <w:sz w:val="38"/>
          <w:szCs w:val="38"/>
        </w:rPr>
        <w:t>About this template</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spacing w:before="80" w:after="60" w:line="312" w:lineRule="auto"/>
        <w:jc w:val="left"/>
      </w:pPr>
      <w:r>
        <w:rPr>
          <w:rFonts w:ascii="Satoshi" w:hAnsi="Satoshi" w:cs="Satoshi"/>
          <w:b/>
          <w:i w:val="0"/>
          <w:color w:val="3418E0"/>
          <w:sz w:val="23"/>
          <w:szCs w:val="23"/>
        </w:rPr>
        <w:t>What it is</w:t>
      </w:r>
    </w:p>
    <w:p>
      <w:pPr>
        <w:keepNext w:val="0"/>
        <w:spacing w:before="0" w:after="200" w:line="312" w:lineRule="auto"/>
        <w:jc w:val="left"/>
      </w:pPr>
      <w:r>
        <w:rPr>
          <w:rFonts w:ascii="Satoshi" w:hAnsi="Satoshi" w:cs="Satoshi"/>
          <w:b w:val="0"/>
          <w:i w:val="0"/>
          <w:color w:val="0B0E14"/>
          <w:sz w:val="21"/>
          <w:szCs w:val="21"/>
        </w:rPr>
        <w:t>Two linked questions. First: how much profit does this industry allow anyone to keep — Porter's five forces. Second: what would stop a better-funded competitor taking your position once you have proved it works — the moat. Early-stage founders usually answer the second with 'execution', which is not a moat; it is the absence of one.</w:t>
      </w:r>
    </w:p>
    <w:p>
      <w:pPr>
        <w:keepNext/>
        <w:spacing w:before="80" w:after="60" w:line="312" w:lineRule="auto"/>
        <w:jc w:val="left"/>
      </w:pPr>
      <w:r>
        <w:rPr>
          <w:rFonts w:ascii="Satoshi" w:hAnsi="Satoshi" w:cs="Satoshi"/>
          <w:b/>
          <w:i w:val="0"/>
          <w:color w:val="3418E0"/>
          <w:sz w:val="23"/>
          <w:szCs w:val="23"/>
        </w:rPr>
        <w:t>Why it earns its place</w:t>
      </w:r>
    </w:p>
    <w:p>
      <w:pPr>
        <w:keepNext w:val="0"/>
        <w:spacing w:before="0" w:after="60" w:line="312" w:lineRule="auto"/>
        <w:ind w:left="283"/>
        <w:jc w:val="left"/>
      </w:pPr>
      <w:r>
        <w:rPr>
          <w:rFonts w:ascii="Satoshi" w:hAnsi="Satoshi" w:cs="Satoshi"/>
          <w:b w:val="0"/>
          <w:i w:val="0"/>
          <w:color w:val="0B0E14"/>
          <w:sz w:val="20"/>
          <w:szCs w:val="20"/>
        </w:rPr>
        <w:t>—  Judge the structure of the industry before blaming yourself for its margins.</w:t>
      </w:r>
    </w:p>
    <w:p>
      <w:pPr>
        <w:keepNext w:val="0"/>
        <w:spacing w:before="0" w:after="60" w:line="312" w:lineRule="auto"/>
        <w:ind w:left="283"/>
        <w:jc w:val="left"/>
      </w:pPr>
      <w:r>
        <w:rPr>
          <w:rFonts w:ascii="Satoshi" w:hAnsi="Satoshi" w:cs="Satoshi"/>
          <w:b w:val="0"/>
          <w:i w:val="0"/>
          <w:color w:val="0B0E14"/>
          <w:sz w:val="20"/>
          <w:szCs w:val="20"/>
        </w:rPr>
        <w:t>—  Identify who actually captures the value: you, the platform, or the buyer.</w:t>
      </w:r>
    </w:p>
    <w:p>
      <w:pPr>
        <w:keepNext w:val="0"/>
        <w:spacing w:before="0" w:after="60" w:line="312" w:lineRule="auto"/>
        <w:ind w:left="283"/>
        <w:jc w:val="left"/>
      </w:pPr>
      <w:r>
        <w:rPr>
          <w:rFonts w:ascii="Satoshi" w:hAnsi="Satoshi" w:cs="Satoshi"/>
          <w:b w:val="0"/>
          <w:i w:val="0"/>
          <w:color w:val="0B0E14"/>
          <w:sz w:val="20"/>
          <w:szCs w:val="20"/>
        </w:rPr>
        <w:t>—  Name a moat that is a property of the business rather than an attribute of the team.</w:t>
      </w:r>
    </w:p>
    <w:p>
      <w:pPr>
        <w:keepNext w:val="0"/>
        <w:spacing w:before="0" w:after="60" w:line="312" w:lineRule="auto"/>
        <w:ind w:left="283"/>
        <w:jc w:val="left"/>
      </w:pPr>
      <w:r>
        <w:rPr>
          <w:rFonts w:ascii="Satoshi" w:hAnsi="Satoshi" w:cs="Satoshi"/>
          <w:b w:val="0"/>
          <w:i w:val="0"/>
          <w:color w:val="0B0E14"/>
          <w:sz w:val="20"/>
          <w:szCs w:val="20"/>
        </w:rPr>
        <w:t>—  Answer the investor question 'what stops someone copying this?' with something checkable.</w:t>
      </w:r>
    </w:p>
    <w:p>
      <w:pPr>
        <w:keepNext/>
        <w:spacing w:before="200" w:after="60" w:line="312" w:lineRule="auto"/>
        <w:jc w:val="left"/>
      </w:pPr>
      <w:r>
        <w:rPr>
          <w:rFonts w:ascii="Satoshi" w:hAnsi="Satoshi" w:cs="Satoshi"/>
          <w:b/>
          <w:i w:val="0"/>
          <w:color w:val="3418E0"/>
          <w:sz w:val="23"/>
          <w:szCs w:val="23"/>
        </w:rPr>
        <w:t>Where it sits in your missions</w:t>
      </w:r>
    </w:p>
    <w:p>
      <w:pPr>
        <w:keepNext w:val="0"/>
        <w:spacing w:before="0" w:after="200" w:line="312" w:lineRule="auto"/>
        <w:jc w:val="left"/>
      </w:pPr>
      <w:r>
        <w:rPr>
          <w:rFonts w:ascii="Satoshi" w:hAnsi="Satoshi" w:cs="Satoshi"/>
          <w:b w:val="0"/>
          <w:i w:val="0"/>
          <w:color w:val="0B0E14"/>
          <w:sz w:val="21"/>
          <w:szCs w:val="21"/>
        </w:rPr>
        <w:t>Missions 4 and 5, and again before Mission 15.</w:t>
      </w:r>
    </w:p>
    <w:p>
      <w:pPr>
        <w:keepNext/>
        <w:spacing w:before="80" w:after="60" w:line="312" w:lineRule="auto"/>
        <w:jc w:val="left"/>
      </w:pPr>
      <w:r>
        <w:rPr>
          <w:rFonts w:ascii="Satoshi" w:hAnsi="Satoshi" w:cs="Satoshi"/>
          <w:b/>
          <w:i w:val="0"/>
          <w:color w:val="3418E0"/>
          <w:sz w:val="23"/>
          <w:szCs w:val="23"/>
        </w:rPr>
        <w:t>Where it comes from</w:t>
      </w:r>
    </w:p>
    <w:p>
      <w:pPr>
        <w:keepNext w:val="0"/>
        <w:spacing w:before="0" w:after="20" w:line="312" w:lineRule="auto"/>
        <w:jc w:val="left"/>
      </w:pPr>
      <w:r>
        <w:rPr>
          <w:rFonts w:ascii="Satoshi" w:hAnsi="Satoshi" w:cs="Satoshi"/>
          <w:b/>
          <w:i w:val="0"/>
          <w:color w:val="5E6670"/>
          <w:sz w:val="18"/>
          <w:szCs w:val="18"/>
        </w:rPr>
        <w:t>PRIMARY SOURCE</w:t>
      </w:r>
    </w:p>
    <w:p>
      <w:pPr>
        <w:keepNext w:val="0"/>
        <w:spacing w:before="0" w:after="120" w:line="312" w:lineRule="auto"/>
        <w:jc w:val="left"/>
      </w:pPr>
      <w:r>
        <w:rPr>
          <w:rFonts w:ascii="Satoshi" w:hAnsi="Satoshi" w:cs="Satoshi"/>
          <w:b w:val="0"/>
          <w:i w:val="0"/>
          <w:color w:val="0B0E14"/>
          <w:sz w:val="20"/>
          <w:szCs w:val="20"/>
        </w:rPr>
        <w:t>Porter, M. E. (1979). How Competitive Forces Shape Strategy. Harvard Business Review, 57(2), 137-145.</w:t>
      </w:r>
    </w:p>
    <w:p>
      <w:pPr>
        <w:keepNext w:val="0"/>
        <w:spacing w:before="0" w:after="20" w:line="312" w:lineRule="auto"/>
        <w:jc w:val="left"/>
      </w:pPr>
      <w:r>
        <w:rPr>
          <w:rFonts w:ascii="Satoshi" w:hAnsi="Satoshi" w:cs="Satoshi"/>
          <w:b/>
          <w:i w:val="0"/>
          <w:color w:val="5E6670"/>
          <w:sz w:val="18"/>
          <w:szCs w:val="18"/>
        </w:rPr>
        <w:t>ORIGIN</w:t>
      </w:r>
    </w:p>
    <w:p>
      <w:pPr>
        <w:keepNext w:val="0"/>
        <w:spacing w:before="0" w:after="120" w:line="312" w:lineRule="auto"/>
        <w:jc w:val="left"/>
      </w:pPr>
      <w:r>
        <w:rPr>
          <w:rFonts w:ascii="Satoshi" w:hAnsi="Satoshi" w:cs="Satoshi"/>
          <w:b w:val="0"/>
          <w:i w:val="0"/>
          <w:color w:val="0B0E14"/>
          <w:sz w:val="20"/>
          <w:szCs w:val="20"/>
        </w:rPr>
        <w:t>Porter's five forces come from industrial organisation economics, particularly the structure-conduct-performance tradition. The resource-based view supplies the other half: Barney's VRIN test (valuable, rare, inimitable, non-substitutable) explains why some advantages last. 'Moat' is Warren Buffett's investing metaphor for the same idea, not an academic term — useful shorthand, weak evidence on its own.</w:t>
      </w:r>
    </w:p>
    <w:p>
      <w:pPr>
        <w:keepNext w:val="0"/>
        <w:spacing w:before="0" w:after="20" w:line="312" w:lineRule="auto"/>
        <w:jc w:val="left"/>
      </w:pPr>
      <w:r>
        <w:rPr>
          <w:rFonts w:ascii="Satoshi" w:hAnsi="Satoshi" w:cs="Satoshi"/>
          <w:b/>
          <w:i w:val="0"/>
          <w:color w:val="5E6670"/>
          <w:sz w:val="18"/>
          <w:szCs w:val="18"/>
        </w:rPr>
        <w:t>FURTHER READING</w:t>
      </w:r>
    </w:p>
    <w:p>
      <w:pPr>
        <w:keepNext w:val="0"/>
        <w:spacing w:before="0" w:after="40" w:line="312" w:lineRule="auto"/>
        <w:ind w:left="283"/>
        <w:jc w:val="left"/>
      </w:pPr>
      <w:r>
        <w:rPr>
          <w:rFonts w:ascii="Satoshi" w:hAnsi="Satoshi" w:cs="Satoshi"/>
          <w:b w:val="0"/>
          <w:i w:val="0"/>
          <w:color w:val="0B0E14"/>
          <w:sz w:val="19"/>
          <w:szCs w:val="19"/>
        </w:rPr>
        <w:t>—  Barney, J. (1991). Firm Resources and Sustained Competitive Advantage. Journal of Management, 17(1), 99-120.</w:t>
      </w:r>
    </w:p>
    <w:p>
      <w:pPr>
        <w:keepNext w:val="0"/>
        <w:spacing w:before="0" w:after="40" w:line="312" w:lineRule="auto"/>
        <w:ind w:left="283"/>
        <w:jc w:val="left"/>
      </w:pPr>
      <w:r>
        <w:rPr>
          <w:rFonts w:ascii="Satoshi" w:hAnsi="Satoshi" w:cs="Satoshi"/>
          <w:b w:val="0"/>
          <w:i w:val="0"/>
          <w:color w:val="0B0E14"/>
          <w:sz w:val="19"/>
          <w:szCs w:val="19"/>
        </w:rPr>
        <w:t>—  Porter, M. E. (2008). The Five Competitive Forces That Shape Strategy. Harvard Business Review, 86(1). — Porter's own revision.</w:t>
      </w:r>
    </w:p>
    <w:p>
      <w:pPr>
        <w:keepNext/>
        <w:spacing w:before="240" w:after="60" w:line="312" w:lineRule="auto"/>
        <w:jc w:val="left"/>
      </w:pPr>
      <w:r>
        <w:rPr>
          <w:rFonts w:ascii="Satoshi" w:hAnsi="Satoshi" w:cs="Satoshi"/>
          <w:b/>
          <w:i w:val="0"/>
          <w:color w:val="3418E0"/>
          <w:sz w:val="23"/>
          <w:szCs w:val="23"/>
        </w:rPr>
        <w:t>How to fill it in</w:t>
      </w:r>
    </w:p>
    <w:p>
      <w:pPr>
        <w:keepNext w:val="0"/>
        <w:spacing w:before="0" w:after="60" w:line="312" w:lineRule="auto"/>
        <w:ind w:left="283"/>
        <w:jc w:val="left"/>
      </w:pPr>
      <w:r>
        <w:rPr>
          <w:rFonts w:ascii="Satoshi" w:hAnsi="Satoshi" w:cs="Satoshi"/>
          <w:b w:val="0"/>
          <w:i w:val="0"/>
          <w:color w:val="0B0E14"/>
          <w:sz w:val="20"/>
          <w:szCs w:val="20"/>
        </w:rPr>
        <w:t>1.  Define the industry narrowly enough to be real. 'Technology' has no five forces; 'last-mile delivery for pharmacies in Greater Cairo' does.</w:t>
      </w:r>
    </w:p>
    <w:p>
      <w:pPr>
        <w:keepNext w:val="0"/>
        <w:spacing w:before="0" w:after="60" w:line="312" w:lineRule="auto"/>
        <w:ind w:left="283"/>
        <w:jc w:val="left"/>
      </w:pPr>
      <w:r>
        <w:rPr>
          <w:rFonts w:ascii="Satoshi" w:hAnsi="Satoshi" w:cs="Satoshi"/>
          <w:b w:val="0"/>
          <w:i w:val="0"/>
          <w:color w:val="0B0E14"/>
          <w:sz w:val="20"/>
          <w:szCs w:val="20"/>
        </w:rPr>
        <w:t>2.  Rate each force high, medium or low, and write the reason. The reason matters more than the rating.</w:t>
      </w:r>
    </w:p>
    <w:p>
      <w:pPr>
        <w:keepNext w:val="0"/>
        <w:spacing w:before="0" w:after="60" w:line="312" w:lineRule="auto"/>
        <w:ind w:left="283"/>
        <w:jc w:val="left"/>
      </w:pPr>
      <w:r>
        <w:rPr>
          <w:rFonts w:ascii="Satoshi" w:hAnsi="Satoshi" w:cs="Satoshi"/>
          <w:b w:val="0"/>
          <w:i w:val="0"/>
          <w:color w:val="0B0E14"/>
          <w:sz w:val="20"/>
          <w:szCs w:val="20"/>
        </w:rPr>
        <w:t>3.  For buyers and suppliers, ask who can walk away more cheaply. That is where the power sits.</w:t>
      </w:r>
    </w:p>
    <w:p>
      <w:pPr>
        <w:keepNext w:val="0"/>
        <w:spacing w:before="0" w:after="60" w:line="312" w:lineRule="auto"/>
        <w:ind w:left="283"/>
        <w:jc w:val="left"/>
      </w:pPr>
      <w:r>
        <w:rPr>
          <w:rFonts w:ascii="Satoshi" w:hAnsi="Satoshi" w:cs="Satoshi"/>
          <w:b w:val="0"/>
          <w:i w:val="0"/>
          <w:color w:val="0B0E14"/>
          <w:sz w:val="20"/>
          <w:szCs w:val="20"/>
        </w:rPr>
        <w:t>4.  In the moat table, mark only what you have today. Aspirations go in the last column with a date.</w:t>
      </w:r>
    </w:p>
    <w:p>
      <w:pPr>
        <w:keepNext w:val="0"/>
        <w:spacing w:before="0" w:after="60" w:line="312" w:lineRule="auto"/>
        <w:ind w:left="283"/>
        <w:jc w:val="left"/>
      </w:pPr>
      <w:r>
        <w:rPr>
          <w:rFonts w:ascii="Satoshi" w:hAnsi="Satoshi" w:cs="Satoshi"/>
          <w:b w:val="0"/>
          <w:i w:val="0"/>
          <w:color w:val="0B0E14"/>
          <w:sz w:val="20"/>
          <w:szCs w:val="20"/>
        </w:rPr>
        <w:t>5.  Apply the VRIN test to anything you claimed: is it valuable, rare, hard to imitate, and hard to substitute?</w:t>
      </w:r>
    </w:p>
    <w:p>
      <w:pPr>
        <w:keepNext w:val="0"/>
        <w:spacing w:before="0" w:after="60" w:line="312" w:lineRule="auto"/>
        <w:ind w:left="283"/>
        <w:jc w:val="left"/>
      </w:pPr>
      <w:r>
        <w:rPr>
          <w:rFonts w:ascii="Satoshi" w:hAnsi="Satoshi" w:cs="Satoshi"/>
          <w:b w:val="0"/>
          <w:i w:val="0"/>
          <w:color w:val="0B0E14"/>
          <w:sz w:val="20"/>
          <w:szCs w:val="20"/>
        </w:rPr>
        <w:t>6.  If every moat row is empty, say so. An honest 'none yet, here is the plan' reads better than a claimed moat a reviewer can puncture in one question.</w:t>
      </w:r>
    </w:p>
    <w:p>
      <w:pPr>
        <w:keepNext/>
        <w:spacing w:before="240" w:after="60" w:line="312" w:lineRule="auto"/>
        <w:jc w:val="left"/>
      </w:pPr>
      <w:r>
        <w:rPr>
          <w:rFonts w:ascii="Satoshi" w:hAnsi="Satoshi" w:cs="Satoshi"/>
          <w:b/>
          <w:i w:val="0"/>
          <w:color w:val="3418E0"/>
          <w:sz w:val="23"/>
          <w:szCs w:val="23"/>
        </w:rPr>
        <w:t>What done well looks like</w:t>
      </w:r>
    </w:p>
    <w:p>
      <w:pPr>
        <w:keepNext w:val="0"/>
        <w:spacing w:before="0" w:after="60" w:line="312" w:lineRule="auto"/>
        <w:ind w:left="283"/>
        <w:jc w:val="left"/>
      </w:pPr>
      <w:r>
        <w:rPr>
          <w:rFonts w:ascii="Satoshi" w:hAnsi="Satoshi" w:cs="Satoshi"/>
          <w:b w:val="0"/>
          <w:i w:val="0"/>
          <w:color w:val="0B0E14"/>
          <w:sz w:val="20"/>
          <w:szCs w:val="20"/>
        </w:rPr>
        <w:t>☐  Each force has a rating and a one-sentence reason.</w:t>
      </w:r>
    </w:p>
    <w:p>
      <w:pPr>
        <w:keepNext w:val="0"/>
        <w:spacing w:before="0" w:after="60" w:line="312" w:lineRule="auto"/>
        <w:ind w:left="283"/>
        <w:jc w:val="left"/>
      </w:pPr>
      <w:r>
        <w:rPr>
          <w:rFonts w:ascii="Satoshi" w:hAnsi="Satoshi" w:cs="Satoshi"/>
          <w:b w:val="0"/>
          <w:i w:val="0"/>
          <w:color w:val="0B0E14"/>
          <w:sz w:val="20"/>
          <w:szCs w:val="20"/>
        </w:rPr>
        <w:t>☐  The moat table distinguishes what you have from what you intend.</w:t>
      </w:r>
    </w:p>
    <w:p>
      <w:pPr>
        <w:keepNext w:val="0"/>
        <w:spacing w:before="0" w:after="60" w:line="312" w:lineRule="auto"/>
        <w:ind w:left="283"/>
        <w:jc w:val="left"/>
      </w:pPr>
      <w:r>
        <w:rPr>
          <w:rFonts w:ascii="Satoshi" w:hAnsi="Satoshi" w:cs="Satoshi"/>
          <w:b w:val="0"/>
          <w:i w:val="0"/>
          <w:color w:val="0B0E14"/>
          <w:sz w:val="20"/>
          <w:szCs w:val="20"/>
        </w:rPr>
        <w:t>☐  At least one row survives the VRIN test, or you state plainly that none does.</w:t>
      </w:r>
    </w:p>
    <w:p>
      <w:pPr>
        <w:keepNext w:val="0"/>
        <w:spacing w:before="0" w:after="60" w:line="312" w:lineRule="auto"/>
        <w:ind w:left="283"/>
        <w:jc w:val="left"/>
      </w:pPr>
      <w:r>
        <w:rPr>
          <w:rFonts w:ascii="Satoshi" w:hAnsi="Satoshi" w:cs="Satoshi"/>
          <w:b w:val="0"/>
          <w:i w:val="0"/>
          <w:color w:val="0B0E14"/>
          <w:sz w:val="20"/>
          <w:szCs w:val="20"/>
        </w:rPr>
        <w:t>☐  'Execution' and 'first mover' appear nowhere as a moat.</w:t>
      </w:r>
    </w:p>
    <w:p>
      <w:pPr>
        <w:sectPr>
          <w:footerReference w:type="default" r:id="rId9"/>
          <w:pgSz w:w="11906" w:h="16838"/>
          <w:pgMar w:top="1134" w:right="1134" w:bottom="964" w:left="1134" w:header="720" w:footer="720" w:gutter="0"/>
          <w:cols w:space="720"/>
          <w:docGrid w:linePitch="360"/>
        </w:sectPr>
      </w:pPr>
    </w:p>
    <w:p>
      <w:pPr>
        <w:keepNext/>
        <w:spacing w:before="0" w:after="40" w:line="312" w:lineRule="auto"/>
        <w:jc w:val="left"/>
      </w:pPr>
      <w:r>
        <w:rPr>
          <w:rFonts w:ascii="Satoshi" w:hAnsi="Satoshi" w:cs="Satoshi"/>
          <w:b/>
          <w:i w:val="0"/>
          <w:color w:val="0B0E14"/>
          <w:sz w:val="30"/>
          <w:szCs w:val="30"/>
        </w:rPr>
        <w:t>The template</w:t>
      </w:r>
    </w:p>
    <w:p>
      <w:pPr>
        <w:keepNext w:val="0"/>
        <w:spacing w:before="0" w:after="160" w:line="312" w:lineRule="auto"/>
        <w:jc w:val="left"/>
      </w:pPr>
      <w:r>
        <w:rPr>
          <w:rFonts w:ascii="Satoshi" w:hAnsi="Satoshi" w:cs="Satoshi"/>
          <w:b w:val="0"/>
          <w:i/>
          <w:color w:val="5E6670"/>
          <w:sz w:val="18"/>
          <w:szCs w:val="18"/>
        </w:rPr>
        <w:t>Print it, or type straight into the boxes. The small italic text is a prompt — delete it as you fill each box.</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4857"/>
        <w:gridCol w:w="4857"/>
        <w:gridCol w:w="4857"/>
      </w:tblGrid>
      <w:tr>
        <w:trPr>
          <w:trHeight w:val="1247" w:hRule="atLeast"/>
        </w:trPr>
        <w:tc>
          <w:tcPr>
            <w:tcW w:type="dxa" w:w="4857"/>
            <w:gridSpan w:val="3"/>
            <w:tcMar>
              <w:top w:w="79" w:type="dxa"/>
              <w:start w:w="102" w:type="dxa"/>
              <w:bottom w:w="79" w:type="dxa"/>
              <w:end w:w="102" w:type="dxa"/>
            </w:tcMar>
          </w:tcPr>
          <w:p>
            <w:pPr>
              <w:spacing w:after="40"/>
            </w:pPr>
            <w:r>
              <w:rPr>
                <w:rFonts w:ascii="Satoshi" w:hAnsi="Satoshi" w:cs="Satoshi"/>
                <w:b/>
                <w:i w:val="0"/>
                <w:color w:val="0B0E14"/>
                <w:sz w:val="19"/>
                <w:szCs w:val="19"/>
              </w:rPr>
              <w:t>Industry, defined narrowly</w:t>
            </w:r>
          </w:p>
          <w:p>
            <w:pPr>
              <w:spacing w:after="0" w:line="276" w:lineRule="auto"/>
            </w:pPr>
            <w:r>
              <w:rPr>
                <w:rFonts w:ascii="Satoshi" w:hAnsi="Satoshi" w:cs="Satoshi"/>
                <w:b w:val="0"/>
                <w:i/>
                <w:color w:val="5E6670"/>
                <w:sz w:val="15"/>
                <w:szCs w:val="15"/>
              </w:rPr>
              <w:t>The specific market this analysis covers. Segment, geography, buyer type.</w:t>
            </w:r>
          </w:p>
        </w:tc>
      </w:tr>
      <w:tr>
        <w:trPr>
          <w:trHeight w:val="2608" w:hRule="atLeast"/>
        </w:trPr>
        <w:tc>
          <w:tcPr>
            <w:tcW w:type="dxa" w:w="4857"/>
            <w:gridSpan w:val="3"/>
            <w:tcMar>
              <w:top w:w="79" w:type="dxa"/>
              <w:start w:w="102" w:type="dxa"/>
              <w:bottom w:w="79" w:type="dxa"/>
              <w:end w:w="102" w:type="dxa"/>
            </w:tcMar>
          </w:tcPr>
          <w:p>
            <w:pPr>
              <w:spacing w:after="40"/>
            </w:pPr>
            <w:r>
              <w:rPr>
                <w:rFonts w:ascii="Satoshi" w:hAnsi="Satoshi" w:cs="Satoshi"/>
                <w:b/>
                <w:i w:val="0"/>
                <w:color w:val="0B0E14"/>
                <w:sz w:val="19"/>
                <w:szCs w:val="19"/>
              </w:rPr>
              <w:t>Threat of new entrants</w:t>
            </w:r>
          </w:p>
          <w:p>
            <w:pPr>
              <w:spacing w:after="0" w:line="276" w:lineRule="auto"/>
            </w:pPr>
            <w:r>
              <w:rPr>
                <w:rFonts w:ascii="Satoshi" w:hAnsi="Satoshi" w:cs="Satoshi"/>
                <w:b w:val="0"/>
                <w:i/>
                <w:color w:val="5E6670"/>
                <w:sz w:val="15"/>
                <w:szCs w:val="15"/>
              </w:rPr>
              <w:t>How hard is it to start? Capital, licence, brand, distribution. Who could enter next year? Rating and reason.</w:t>
            </w:r>
          </w:p>
        </w:tc>
      </w:tr>
      <w:tr>
        <w:trPr>
          <w:trHeight w:val="3175" w:hRule="atLeast"/>
        </w:trPr>
        <w:tc>
          <w:tcPr>
            <w:tcW w:type="dxa" w:w="4857"/>
            <w:tcMar>
              <w:top w:w="79" w:type="dxa"/>
              <w:start w:w="102" w:type="dxa"/>
              <w:bottom w:w="79" w:type="dxa"/>
              <w:end w:w="102" w:type="dxa"/>
            </w:tcMar>
          </w:tcPr>
          <w:p>
            <w:pPr>
              <w:spacing w:after="40"/>
            </w:pPr>
            <w:r>
              <w:rPr>
                <w:rFonts w:ascii="Satoshi" w:hAnsi="Satoshi" w:cs="Satoshi"/>
                <w:b/>
                <w:i w:val="0"/>
                <w:color w:val="0B0E14"/>
                <w:sz w:val="19"/>
                <w:szCs w:val="19"/>
              </w:rPr>
              <w:t>Bargaining power of buyers</w:t>
            </w:r>
          </w:p>
          <w:p>
            <w:pPr>
              <w:spacing w:after="0" w:line="276" w:lineRule="auto"/>
            </w:pPr>
            <w:r>
              <w:rPr>
                <w:rFonts w:ascii="Satoshi" w:hAnsi="Satoshi" w:cs="Satoshi"/>
                <w:b w:val="0"/>
                <w:i/>
                <w:color w:val="5E6670"/>
                <w:sz w:val="15"/>
                <w:szCs w:val="15"/>
              </w:rPr>
              <w:t>Are buyers concentrated, price-sensitive, able to switch cheaply? Rating and reason.</w:t>
            </w:r>
          </w:p>
        </w:tc>
        <w:tc>
          <w:tcPr>
            <w:tcW w:type="dxa" w:w="4857"/>
            <w:tcMar>
              <w:top w:w="79" w:type="dxa"/>
              <w:start w:w="102" w:type="dxa"/>
              <w:bottom w:w="79" w:type="dxa"/>
              <w:end w:w="102" w:type="dxa"/>
            </w:tcMar>
          </w:tcPr>
          <w:p>
            <w:pPr>
              <w:spacing w:after="40"/>
            </w:pPr>
            <w:r>
              <w:rPr>
                <w:rFonts w:ascii="Satoshi" w:hAnsi="Satoshi" w:cs="Satoshi"/>
                <w:b/>
                <w:i w:val="0"/>
                <w:color w:val="0B0E14"/>
                <w:sz w:val="19"/>
                <w:szCs w:val="19"/>
              </w:rPr>
              <w:t>Competitive rivalry</w:t>
            </w:r>
          </w:p>
          <w:p>
            <w:pPr>
              <w:spacing w:after="0" w:line="276" w:lineRule="auto"/>
            </w:pPr>
            <w:r>
              <w:rPr>
                <w:rFonts w:ascii="Satoshi" w:hAnsi="Satoshi" w:cs="Satoshi"/>
                <w:b w:val="0"/>
                <w:i/>
                <w:color w:val="5E6670"/>
                <w:sz w:val="15"/>
                <w:szCs w:val="15"/>
              </w:rPr>
              <w:t>How many, how similar, how fast growing is the market, how are they competing — price or something else? Rating and reason.</w:t>
            </w:r>
          </w:p>
        </w:tc>
        <w:tc>
          <w:tcPr>
            <w:tcW w:type="dxa" w:w="4857"/>
            <w:tcMar>
              <w:top w:w="79" w:type="dxa"/>
              <w:start w:w="102" w:type="dxa"/>
              <w:bottom w:w="79" w:type="dxa"/>
              <w:end w:w="102" w:type="dxa"/>
            </w:tcMar>
          </w:tcPr>
          <w:p>
            <w:pPr>
              <w:spacing w:after="40"/>
            </w:pPr>
            <w:r>
              <w:rPr>
                <w:rFonts w:ascii="Satoshi" w:hAnsi="Satoshi" w:cs="Satoshi"/>
                <w:b/>
                <w:i w:val="0"/>
                <w:color w:val="0B0E14"/>
                <w:sz w:val="19"/>
                <w:szCs w:val="19"/>
              </w:rPr>
              <w:t>Bargaining power of suppliers</w:t>
            </w:r>
          </w:p>
          <w:p>
            <w:pPr>
              <w:spacing w:after="0" w:line="276" w:lineRule="auto"/>
            </w:pPr>
            <w:r>
              <w:rPr>
                <w:rFonts w:ascii="Satoshi" w:hAnsi="Satoshi" w:cs="Satoshi"/>
                <w:b w:val="0"/>
                <w:i/>
                <w:color w:val="5E6670"/>
                <w:sz w:val="15"/>
                <w:szCs w:val="15"/>
              </w:rPr>
              <w:t>Few suppliers, unique inputs, a platform you cannot leave? Rating and reason.</w:t>
            </w:r>
          </w:p>
        </w:tc>
      </w:tr>
      <w:tr>
        <w:trPr>
          <w:trHeight w:val="2608" w:hRule="atLeast"/>
        </w:trPr>
        <w:tc>
          <w:tcPr>
            <w:tcW w:type="dxa" w:w="4857"/>
            <w:gridSpan w:val="3"/>
            <w:tcMar>
              <w:top w:w="79" w:type="dxa"/>
              <w:start w:w="102" w:type="dxa"/>
              <w:bottom w:w="79" w:type="dxa"/>
              <w:end w:w="102" w:type="dxa"/>
            </w:tcMar>
          </w:tcPr>
          <w:p>
            <w:pPr>
              <w:spacing w:after="40"/>
            </w:pPr>
            <w:r>
              <w:rPr>
                <w:rFonts w:ascii="Satoshi" w:hAnsi="Satoshi" w:cs="Satoshi"/>
                <w:b/>
                <w:i w:val="0"/>
                <w:color w:val="0B0E14"/>
                <w:sz w:val="19"/>
                <w:szCs w:val="19"/>
              </w:rPr>
              <w:t>Threat of substitutes</w:t>
            </w:r>
          </w:p>
          <w:p>
            <w:pPr>
              <w:spacing w:after="0" w:line="276" w:lineRule="auto"/>
            </w:pPr>
            <w:r>
              <w:rPr>
                <w:rFonts w:ascii="Satoshi" w:hAnsi="Satoshi" w:cs="Satoshi"/>
                <w:b w:val="0"/>
                <w:i/>
                <w:color w:val="5E6670"/>
                <w:sz w:val="15"/>
                <w:szCs w:val="15"/>
              </w:rPr>
              <w:t>What else solves this job, including a spreadsheet, a WhatsApp group, or doing nothing? Rating and reason.</w:t>
            </w:r>
          </w:p>
        </w:tc>
      </w:tr>
    </w:tbl>
    <w:p>
      <w:pPr>
        <w:keepNext/>
        <w:spacing w:before="280" w:after="40" w:line="312" w:lineRule="auto"/>
        <w:jc w:val="left"/>
      </w:pPr>
      <w:r>
        <w:rPr>
          <w:rFonts w:ascii="Satoshi" w:hAnsi="Satoshi" w:cs="Satoshi"/>
          <w:b/>
          <w:i w:val="0"/>
          <w:color w:val="3418E0"/>
          <w:sz w:val="24"/>
          <w:szCs w:val="24"/>
        </w:rPr>
        <w:t>THE MOAT</w:t>
      </w:r>
    </w:p>
    <w:p>
      <w:pPr>
        <w:keepNext w:val="0"/>
        <w:spacing w:before="0" w:after="120" w:line="312" w:lineRule="auto"/>
        <w:jc w:val="left"/>
      </w:pPr>
      <w:r>
        <w:rPr>
          <w:rFonts w:ascii="Satoshi" w:hAnsi="Satoshi" w:cs="Satoshi"/>
          <w:b w:val="0"/>
          <w:i/>
          <w:color w:val="5E6670"/>
          <w:sz w:val="17"/>
          <w:szCs w:val="17"/>
        </w:rPr>
        <w:t>Mark only what you have today. VRIN: valuable, rare, inimitable, non-substitutable — all four, or it is not a moat.</w:t>
      </w:r>
    </w:p>
    <w:tbl>
      <w:tblPr>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2914"/>
        <w:gridCol w:w="2914"/>
        <w:gridCol w:w="2914"/>
        <w:gridCol w:w="2914"/>
        <w:gridCol w:w="2914"/>
      </w:tblGrid>
      <w:tr>
        <w:trPr>
          <w:trHeight w:val="510" w:hRule="atLeast"/>
        </w:trPr>
        <w:tc>
          <w:tcPr>
            <w:tcW w:type="dxa" w:w="2971"/>
            <w:shd w:val="clear" w:fill="CBF24A"/>
            <w:tcMar>
              <w:top w:w="56" w:type="dxa"/>
              <w:start w:w="102" w:type="dxa"/>
              <w:bottom w:w="56" w:type="dxa"/>
              <w:end w:w="102" w:type="dxa"/>
            </w:tcMar>
          </w:tcPr>
          <w:p>
            <w:pPr>
              <w:spacing w:after="0"/>
            </w:pPr>
            <w:r>
              <w:rPr>
                <w:rFonts w:ascii="Satoshi" w:hAnsi="Satoshi" w:cs="Satoshi"/>
                <w:b/>
                <w:i w:val="0"/>
                <w:color w:val="0B0E14"/>
                <w:sz w:val="16"/>
                <w:szCs w:val="16"/>
              </w:rPr>
              <w:t>Moat type</w:t>
            </w:r>
          </w:p>
        </w:tc>
        <w:tc>
          <w:tcPr>
            <w:tcW w:type="dxa" w:w="2122"/>
            <w:shd w:val="clear" w:fill="CBF24A"/>
            <w:tcMar>
              <w:top w:w="56" w:type="dxa"/>
              <w:start w:w="102" w:type="dxa"/>
              <w:bottom w:w="56" w:type="dxa"/>
              <w:end w:w="102" w:type="dxa"/>
            </w:tcMar>
          </w:tcPr>
          <w:p>
            <w:pPr>
              <w:spacing w:after="0"/>
            </w:pPr>
            <w:r>
              <w:rPr>
                <w:rFonts w:ascii="Satoshi" w:hAnsi="Satoshi" w:cs="Satoshi"/>
                <w:b/>
                <w:i w:val="0"/>
                <w:color w:val="0B0E14"/>
                <w:sz w:val="16"/>
                <w:szCs w:val="16"/>
              </w:rPr>
              <w:t>Do you have it today?</w:t>
            </w:r>
          </w:p>
        </w:tc>
        <w:tc>
          <w:tcPr>
            <w:tcW w:type="dxa" w:w="3254"/>
            <w:shd w:val="clear" w:fill="CBF24A"/>
            <w:tcMar>
              <w:top w:w="56" w:type="dxa"/>
              <w:start w:w="102" w:type="dxa"/>
              <w:bottom w:w="56" w:type="dxa"/>
              <w:end w:w="102" w:type="dxa"/>
            </w:tcMar>
          </w:tcPr>
          <w:p>
            <w:pPr>
              <w:spacing w:after="0"/>
            </w:pPr>
            <w:r>
              <w:rPr>
                <w:rFonts w:ascii="Satoshi" w:hAnsi="Satoshi" w:cs="Satoshi"/>
                <w:b/>
                <w:i w:val="0"/>
                <w:color w:val="0B0E14"/>
                <w:sz w:val="16"/>
                <w:szCs w:val="16"/>
              </w:rPr>
              <w:t>Evidence</w:t>
            </w:r>
          </w:p>
        </w:tc>
        <w:tc>
          <w:tcPr>
            <w:tcW w:type="dxa" w:w="1839"/>
            <w:shd w:val="clear" w:fill="CBF24A"/>
            <w:tcMar>
              <w:top w:w="56" w:type="dxa"/>
              <w:start w:w="102" w:type="dxa"/>
              <w:bottom w:w="56" w:type="dxa"/>
              <w:end w:w="102" w:type="dxa"/>
            </w:tcMar>
          </w:tcPr>
          <w:p>
            <w:pPr>
              <w:spacing w:after="0"/>
            </w:pPr>
            <w:r>
              <w:rPr>
                <w:rFonts w:ascii="Satoshi" w:hAnsi="Satoshi" w:cs="Satoshi"/>
                <w:b/>
                <w:i w:val="0"/>
                <w:color w:val="0B0E14"/>
                <w:sz w:val="16"/>
                <w:szCs w:val="16"/>
              </w:rPr>
              <w:t>Passes VRIN?</w:t>
            </w:r>
          </w:p>
        </w:tc>
        <w:tc>
          <w:tcPr>
            <w:tcW w:type="dxa" w:w="4385"/>
            <w:shd w:val="clear" w:fill="CBF24A"/>
            <w:tcMar>
              <w:top w:w="56" w:type="dxa"/>
              <w:start w:w="102" w:type="dxa"/>
              <w:bottom w:w="56" w:type="dxa"/>
              <w:end w:w="102" w:type="dxa"/>
            </w:tcMar>
          </w:tcPr>
          <w:p>
            <w:pPr>
              <w:spacing w:after="0"/>
            </w:pPr>
            <w:r>
              <w:rPr>
                <w:rFonts w:ascii="Satoshi" w:hAnsi="Satoshi" w:cs="Satoshi"/>
                <w:b/>
                <w:i w:val="0"/>
                <w:color w:val="0B0E14"/>
                <w:sz w:val="16"/>
                <w:szCs w:val="16"/>
              </w:rPr>
              <w:t>How long does it hold — and what would you do to build it</w:t>
            </w:r>
          </w:p>
        </w:tc>
      </w:tr>
      <w:tr>
        <w:trPr>
          <w:trHeight w:val="595" w:hRule="atLeast"/>
        </w:trPr>
        <w:tc>
          <w:tcPr>
            <w:tcW w:type="dxa" w:w="2971"/>
            <w:tcMar>
              <w:top w:w="56" w:type="dxa"/>
              <w:start w:w="102" w:type="dxa"/>
              <w:bottom w:w="56" w:type="dxa"/>
              <w:end w:w="102" w:type="dxa"/>
            </w:tcMar>
          </w:tcPr>
          <w:p>
            <w:pPr>
              <w:spacing w:after="0"/>
            </w:pPr>
            <w:r>
              <w:rPr>
                <w:rFonts w:ascii="Satoshi" w:hAnsi="Satoshi" w:cs="Satoshi"/>
                <w:b w:val="0"/>
                <w:i w:val="0"/>
                <w:color w:val="0B0E14"/>
                <w:sz w:val="17"/>
                <w:szCs w:val="17"/>
              </w:rPr>
              <w:t>Network effects — each user makes it better for the next</w:t>
            </w:r>
          </w:p>
        </w:tc>
        <w:tc>
          <w:tcPr>
            <w:tcW w:type="dxa" w:w="2122"/>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254"/>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39"/>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4385"/>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2971"/>
            <w:tcMar>
              <w:top w:w="56" w:type="dxa"/>
              <w:start w:w="102" w:type="dxa"/>
              <w:bottom w:w="56" w:type="dxa"/>
              <w:end w:w="102" w:type="dxa"/>
            </w:tcMar>
          </w:tcPr>
          <w:p>
            <w:pPr>
              <w:spacing w:after="0"/>
            </w:pPr>
            <w:r>
              <w:rPr>
                <w:rFonts w:ascii="Satoshi" w:hAnsi="Satoshi" w:cs="Satoshi"/>
                <w:b w:val="0"/>
                <w:i w:val="0"/>
                <w:color w:val="0B0E14"/>
                <w:sz w:val="17"/>
                <w:szCs w:val="17"/>
              </w:rPr>
              <w:t>Switching costs — leaving is expensive or painful</w:t>
            </w:r>
          </w:p>
        </w:tc>
        <w:tc>
          <w:tcPr>
            <w:tcW w:type="dxa" w:w="2122"/>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254"/>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39"/>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4385"/>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2971"/>
            <w:tcMar>
              <w:top w:w="56" w:type="dxa"/>
              <w:start w:w="102" w:type="dxa"/>
              <w:bottom w:w="56" w:type="dxa"/>
              <w:end w:w="102" w:type="dxa"/>
            </w:tcMar>
          </w:tcPr>
          <w:p>
            <w:pPr>
              <w:spacing w:after="0"/>
            </w:pPr>
            <w:r>
              <w:rPr>
                <w:rFonts w:ascii="Satoshi" w:hAnsi="Satoshi" w:cs="Satoshi"/>
                <w:b w:val="0"/>
                <w:i w:val="0"/>
                <w:color w:val="0B0E14"/>
                <w:sz w:val="17"/>
                <w:szCs w:val="17"/>
              </w:rPr>
              <w:t>Cost advantage — you can serve cheaper, structurally</w:t>
            </w:r>
          </w:p>
        </w:tc>
        <w:tc>
          <w:tcPr>
            <w:tcW w:type="dxa" w:w="2122"/>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254"/>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39"/>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4385"/>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2971"/>
            <w:tcMar>
              <w:top w:w="56" w:type="dxa"/>
              <w:start w:w="102" w:type="dxa"/>
              <w:bottom w:w="56" w:type="dxa"/>
              <w:end w:w="102" w:type="dxa"/>
            </w:tcMar>
          </w:tcPr>
          <w:p>
            <w:pPr>
              <w:spacing w:after="0"/>
            </w:pPr>
            <w:r>
              <w:rPr>
                <w:rFonts w:ascii="Satoshi" w:hAnsi="Satoshi" w:cs="Satoshi"/>
                <w:b w:val="0"/>
                <w:i w:val="0"/>
                <w:color w:val="0B0E14"/>
                <w:sz w:val="17"/>
                <w:szCs w:val="17"/>
              </w:rPr>
              <w:t>Intangible assets — brand, licence, patent, exclusivity</w:t>
            </w:r>
          </w:p>
        </w:tc>
        <w:tc>
          <w:tcPr>
            <w:tcW w:type="dxa" w:w="2122"/>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254"/>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39"/>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4385"/>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2971"/>
            <w:tcMar>
              <w:top w:w="56" w:type="dxa"/>
              <w:start w:w="102" w:type="dxa"/>
              <w:bottom w:w="56" w:type="dxa"/>
              <w:end w:w="102" w:type="dxa"/>
            </w:tcMar>
          </w:tcPr>
          <w:p>
            <w:pPr>
              <w:spacing w:after="0"/>
            </w:pPr>
            <w:r>
              <w:rPr>
                <w:rFonts w:ascii="Satoshi" w:hAnsi="Satoshi" w:cs="Satoshi"/>
                <w:b w:val="0"/>
                <w:i w:val="0"/>
                <w:color w:val="0B0E14"/>
                <w:sz w:val="17"/>
                <w:szCs w:val="17"/>
              </w:rPr>
              <w:t>Efficient scale — the market only supports one or two</w:t>
            </w:r>
          </w:p>
        </w:tc>
        <w:tc>
          <w:tcPr>
            <w:tcW w:type="dxa" w:w="2122"/>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254"/>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39"/>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4385"/>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2971"/>
            <w:tcMar>
              <w:top w:w="56" w:type="dxa"/>
              <w:start w:w="102" w:type="dxa"/>
              <w:bottom w:w="56" w:type="dxa"/>
              <w:end w:w="102" w:type="dxa"/>
            </w:tcMar>
          </w:tcPr>
          <w:p>
            <w:pPr>
              <w:spacing w:after="0"/>
            </w:pPr>
            <w:r>
              <w:rPr>
                <w:rFonts w:ascii="Satoshi" w:hAnsi="Satoshi" w:cs="Satoshi"/>
                <w:b w:val="0"/>
                <w:i w:val="0"/>
                <w:color w:val="0B0E14"/>
                <w:sz w:val="17"/>
                <w:szCs w:val="17"/>
              </w:rPr>
              <w:t>Data — accumulating and hard to replicate</w:t>
            </w:r>
          </w:p>
        </w:tc>
        <w:tc>
          <w:tcPr>
            <w:tcW w:type="dxa" w:w="2122"/>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254"/>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39"/>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4385"/>
            <w:tcMar>
              <w:top w:w="56" w:type="dxa"/>
              <w:start w:w="102" w:type="dxa"/>
              <w:bottom w:w="56" w:type="dxa"/>
              <w:end w:w="102" w:type="dxa"/>
            </w:tcMar>
          </w:tcPr>
          <w:p>
            <w:pPr>
              <w:spacing w:after="0"/>
            </w:pPr>
            <w:r>
              <w:rPr>
                <w:rFonts w:ascii="Satoshi" w:hAnsi="Satoshi" w:cs="Satoshi"/>
                <w:b w:val="0"/>
                <w:i w:val="0"/>
                <w:color w:val="0B0E14"/>
                <w:sz w:val="17"/>
                <w:szCs w:val="17"/>
              </w:rPr>
            </w:r>
          </w:p>
        </w:tc>
      </w:tr>
      <w:tr>
        <w:trPr>
          <w:trHeight w:val="595" w:hRule="atLeast"/>
        </w:trPr>
        <w:tc>
          <w:tcPr>
            <w:tcW w:type="dxa" w:w="2971"/>
            <w:tcMar>
              <w:top w:w="56" w:type="dxa"/>
              <w:start w:w="102" w:type="dxa"/>
              <w:bottom w:w="56" w:type="dxa"/>
              <w:end w:w="102" w:type="dxa"/>
            </w:tcMar>
          </w:tcPr>
          <w:p>
            <w:pPr>
              <w:spacing w:after="0"/>
            </w:pPr>
            <w:r>
              <w:rPr>
                <w:rFonts w:ascii="Satoshi" w:hAnsi="Satoshi" w:cs="Satoshi"/>
                <w:b w:val="0"/>
                <w:i w:val="0"/>
                <w:color w:val="0B0E14"/>
                <w:sz w:val="17"/>
                <w:szCs w:val="17"/>
              </w:rPr>
              <w:t>Distribution — a channel others cannot access</w:t>
            </w:r>
          </w:p>
        </w:tc>
        <w:tc>
          <w:tcPr>
            <w:tcW w:type="dxa" w:w="2122"/>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3254"/>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1839"/>
            <w:tcMar>
              <w:top w:w="56" w:type="dxa"/>
              <w:start w:w="102" w:type="dxa"/>
              <w:bottom w:w="56" w:type="dxa"/>
              <w:end w:w="102" w:type="dxa"/>
            </w:tcMar>
          </w:tcPr>
          <w:p>
            <w:pPr>
              <w:spacing w:after="0"/>
            </w:pPr>
            <w:r>
              <w:rPr>
                <w:rFonts w:ascii="Satoshi" w:hAnsi="Satoshi" w:cs="Satoshi"/>
                <w:b w:val="0"/>
                <w:i w:val="0"/>
                <w:color w:val="0B0E14"/>
                <w:sz w:val="17"/>
                <w:szCs w:val="17"/>
              </w:rPr>
            </w:r>
          </w:p>
        </w:tc>
        <w:tc>
          <w:tcPr>
            <w:tcW w:type="dxa" w:w="4385"/>
            <w:tcMar>
              <w:top w:w="56" w:type="dxa"/>
              <w:start w:w="102" w:type="dxa"/>
              <w:bottom w:w="56" w:type="dxa"/>
              <w:end w:w="102" w:type="dxa"/>
            </w:tcMar>
          </w:tcPr>
          <w:p>
            <w:pPr>
              <w:spacing w:after="0"/>
            </w:pPr>
            <w:r>
              <w:rPr>
                <w:rFonts w:ascii="Satoshi" w:hAnsi="Satoshi" w:cs="Satoshi"/>
                <w:b w:val="0"/>
                <w:i w:val="0"/>
                <w:color w:val="0B0E14"/>
                <w:sz w:val="17"/>
                <w:szCs w:val="17"/>
              </w:rPr>
            </w:r>
          </w:p>
        </w:tc>
      </w:tr>
    </w:tbl>
    <w:p>
      <w:pPr>
        <w:sectPr>
          <w:footerReference w:type="default" r:id="rId11"/>
          <w:pgSz w:w="16838" w:h="11906" w:orient="landscape"/>
          <w:pgMar w:top="907" w:right="1134" w:bottom="850" w:left="1134" w:header="720" w:footer="720" w:gutter="0"/>
          <w:cols w:space="720"/>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spacing w:after="120"/>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spacing w:after="0"/>
            </w:pPr>
            <w:r>
              <w:rPr>
                <w:rFonts w:ascii="Satoshi" w:hAnsi="Satoshi" w:cs="Satoshi"/>
                <w:b/>
                <w:i w:val="0"/>
                <w:color w:val="0B0E14"/>
                <w:sz w:val="25"/>
                <w:szCs w:val="25"/>
              </w:rPr>
              <w:t>StartPad is where you become someone the ecosystem takes seriously.</w:t>
            </w:r>
          </w:p>
        </w:tc>
      </w:tr>
    </w:tbl>
    <w:p>
      <w:pPr>
        <w:spacing w:after="120"/>
      </w:pPr>
    </w:p>
    <w:p>
      <w:pPr>
        <w:keepNext w:val="0"/>
        <w:spacing w:before="0" w:after="160" w:line="312" w:lineRule="auto"/>
        <w:jc w:val="left"/>
      </w:pPr>
      <w:r>
        <w:rPr>
          <w:rFonts w:ascii="Satoshi" w:hAnsi="Satoshi" w:cs="Satoshi"/>
          <w:b w:val="0"/>
          <w:i w:val="0"/>
          <w:color w:val="0B0E14"/>
          <w:sz w:val="21"/>
          <w:szCs w:val="21"/>
        </w:rPr>
        <w:t>Programmes ask for four things. Most first-time founders have two. StartPad is the fifteen missions that close the gap — and the file you apply with at the end.</w:t>
      </w:r>
    </w:p>
    <w:p>
      <w:pPr>
        <w:keepNext w:val="0"/>
        <w:spacing w:before="0" w:after="160" w:line="312" w:lineRule="auto"/>
        <w:jc w:val="left"/>
      </w:pPr>
      <w:r>
        <w:rPr>
          <w:rFonts w:ascii="Satoshi" w:hAnsi="Satoshi" w:cs="Satoshi"/>
          <w:b w:val="0"/>
          <w:i w:val="0"/>
          <w:color w:val="0B0E14"/>
          <w:sz w:val="21"/>
          <w:szCs w:val="21"/>
        </w:rPr>
        <w:t>It is a founder-readiness platform for Egypt and the wider MENA region. It takes someone with an idea and no company, moves them through fifteen structured missions, and issues verifiable proof of what they completed. Not a course. Not an incubator. The step before both.</w:t>
      </w:r>
    </w:p>
    <w:p>
      <w:pPr>
        <w:keepNext w:val="0"/>
        <w:spacing w:before="0" w:after="160" w:line="312" w:lineRule="auto"/>
        <w:jc w:val="left"/>
      </w:pPr>
      <w:r>
        <w:rPr>
          <w:rFonts w:ascii="Satoshi" w:hAnsi="Satoshi" w:cs="Satoshi"/>
          <w:b w:val="0"/>
          <w:i w:val="0"/>
          <w:color w:val="0B0E14"/>
          <w:sz w:val="21"/>
          <w:szCs w:val="21"/>
        </w:rPr>
        <w:t>It never costs you your idea. Nothing you put into StartPad assigns any right in what you build, and no template in this library changes that. You finish the work. We keep the file.</w:t>
      </w:r>
    </w:p>
    <w:p>
      <w:pPr>
        <w:keepNext w:val="0"/>
        <w:spacing w:before="120" w:after="60" w:line="312" w:lineRule="auto"/>
        <w:jc w:val="left"/>
      </w:pPr>
      <w:r>
        <w:rPr>
          <w:rFonts w:ascii="Satoshi" w:hAnsi="Satoshi" w:cs="Satoshi"/>
          <w:b/>
          <w:i w:val="0"/>
          <w:color w:val="3418E0"/>
          <w:sz w:val="22"/>
          <w:szCs w:val="22"/>
        </w:rPr>
        <w:t>The fifteen missions, in five moves</w:t>
      </w:r>
    </w:p>
    <w:p>
      <w:pPr>
        <w:keepNext w:val="0"/>
        <w:spacing w:before="0" w:after="60" w:line="312" w:lineRule="auto"/>
        <w:ind w:left="283"/>
        <w:jc w:val="left"/>
      </w:pPr>
      <w:r>
        <w:rPr>
          <w:rFonts w:ascii="Satoshi" w:hAnsi="Satoshi" w:cs="Satoshi"/>
          <w:b w:val="0"/>
          <w:i w:val="0"/>
          <w:color w:val="0B0E14"/>
          <w:sz w:val="20"/>
          <w:szCs w:val="20"/>
        </w:rPr>
        <w:t>—  Discovery — analyse the problem, define it, and rank problems by importance and frequency.</w:t>
      </w:r>
    </w:p>
    <w:p>
      <w:pPr>
        <w:keepNext w:val="0"/>
        <w:spacing w:before="0" w:after="60" w:line="312" w:lineRule="auto"/>
        <w:ind w:left="283"/>
        <w:jc w:val="left"/>
      </w:pPr>
      <w:r>
        <w:rPr>
          <w:rFonts w:ascii="Satoshi" w:hAnsi="Satoshi" w:cs="Satoshi"/>
          <w:b w:val="0"/>
          <w:i w:val="0"/>
          <w:color w:val="0B0E14"/>
          <w:sz w:val="20"/>
          <w:szCs w:val="20"/>
        </w:rPr>
        <w:t>—  Ideation — select an idea, describe it, and test the solution hypothesis.</w:t>
      </w:r>
    </w:p>
    <w:p>
      <w:pPr>
        <w:keepNext w:val="0"/>
        <w:spacing w:before="0" w:after="60" w:line="312" w:lineRule="auto"/>
        <w:ind w:left="283"/>
        <w:jc w:val="left"/>
      </w:pPr>
      <w:r>
        <w:rPr>
          <w:rFonts w:ascii="Satoshi" w:hAnsi="Satoshi" w:cs="Satoshi"/>
          <w:b w:val="0"/>
          <w:i w:val="0"/>
          <w:color w:val="0B0E14"/>
          <w:sz w:val="20"/>
          <w:szCs w:val="20"/>
        </w:rPr>
        <w:t>—  Model — build the business model and decide what you actually sell.</w:t>
      </w:r>
    </w:p>
    <w:p>
      <w:pPr>
        <w:keepNext w:val="0"/>
        <w:spacing w:before="0" w:after="60" w:line="312" w:lineRule="auto"/>
        <w:ind w:left="283"/>
        <w:jc w:val="left"/>
      </w:pPr>
      <w:r>
        <w:rPr>
          <w:rFonts w:ascii="Satoshi" w:hAnsi="Satoshi" w:cs="Satoshi"/>
          <w:b w:val="0"/>
          <w:i w:val="0"/>
          <w:color w:val="0B0E14"/>
          <w:sz w:val="20"/>
          <w:szCs w:val="20"/>
        </w:rPr>
        <w:t>—  Build — prototype, validate the market, and ship a minimum version.</w:t>
      </w:r>
    </w:p>
    <w:p>
      <w:pPr>
        <w:keepNext w:val="0"/>
        <w:spacing w:before="0" w:after="60" w:line="312" w:lineRule="auto"/>
        <w:ind w:left="283"/>
        <w:jc w:val="left"/>
      </w:pPr>
      <w:r>
        <w:rPr>
          <w:rFonts w:ascii="Satoshi" w:hAnsi="Satoshi" w:cs="Satoshi"/>
          <w:b w:val="0"/>
          <w:i w:val="0"/>
          <w:color w:val="0B0E14"/>
          <w:sz w:val="20"/>
          <w:szCs w:val="20"/>
        </w:rPr>
        <w:t>—  Launch — test product-market fit and go to market.</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spacing w:before="0" w:after="40" w:line="312" w:lineRule="auto"/>
        <w:jc w:val="left"/>
      </w:pPr>
      <w:r>
        <w:rPr>
          <w:rFonts w:ascii="Satoshi" w:hAnsi="Satoshi" w:cs="Satoshi"/>
          <w:b/>
          <w:i w:val="0"/>
          <w:color w:val="3418E0"/>
          <w:sz w:val="26"/>
          <w:szCs w:val="26"/>
        </w:rPr>
        <w:t>startpad.me</w:t>
      </w:r>
    </w:p>
    <w:p>
      <w:pPr>
        <w:keepNext w:val="0"/>
        <w:spacing w:before="0" w:after="0" w:line="312" w:lineRule="auto"/>
        <w:jc w:val="left"/>
      </w:pPr>
      <w:r>
        <w:rPr>
          <w:rFonts w:ascii="Satoshi" w:hAnsi="Satoshi" w:cs="Satoshi"/>
          <w:b w:val="0"/>
          <w:i w:val="0"/>
          <w:color w:val="5E6670"/>
          <w:sz w:val="18"/>
          <w:szCs w:val="18"/>
        </w:rPr>
        <w:t>Part of GrowthLabs. This template is free to use, copy and teach from. If you publish it, keep the credit line.</w:t>
      </w:r>
    </w:p>
    <w:sectPr w:rsidR="00FC693F" w:rsidRPr="0006063C" w:rsidSect="00034616">
      <w:footerReference w:type="default" r:id="rId12"/>
      <w:pgSz w:w="11906" w:h="16838"/>
      <w:pgMar w:top="113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Competitive Moat &amp; Five Forces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Competitive Moat &amp; Five Forces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pPr>
    <w:r>
      <w:rPr>
        <w:rFonts w:ascii="Satoshi" w:hAnsi="Satoshi" w:cs="Satoshi"/>
        <w:b w:val="0"/>
        <w:i w:val="0"/>
        <w:color w:val="5E6670"/>
        <w:spacing w:val="12"/>
        <w:sz w:val="15"/>
        <w:szCs w:val="15"/>
      </w:rPr>
      <w:t>StartPad · Competitive Moat &amp; Five Forces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Moat &amp; Five Forces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