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jc w:val="right"/>
      </w:pPr>
      <w:r>
        <w:rPr>
          <w:rFonts w:ascii="Arial" w:cs="Arial" w:eastAsia="Arial" w:hAnsi="Arial"/>
          <w:b/>
          <w:bCs/>
          <w:color w:val="0F5C4A"/>
          <w:sz w:val="28"/>
          <w:szCs w:val="28"/>
          <w:rtl/>
        </w:rPr>
        <w:t xml:space="preserve">المحتويات</w:t>
      </w:r>
    </w:p>
    <w:sdt>
      <w:sdtPr>
        <w:alias w:val="جدول المحتويات"/>
      </w:sdtPr>
      <w:sdtContent>
        <w:p>
          <w:r>
            <w:fldChar w:fldCharType="begin" w:dirty="true"/>
            <w:instrText xml:space="preserve">TOC \h \o "1-3"</w:instrText>
            <w:fldChar w:fldCharType="separate"/>
          </w:r>
        </w:p>
        <w:p>
          <w:r>
            <w:fldChar w:fldCharType="end"/>
          </w:r>
        </w:p>
      </w:sdtContent>
    </w:sdt>
    <w:p>
      <w:r>
        <w:br w:type="page"/>
      </w:r>
    </w:p>
    <w:p>
      <w:pPr>
        <w:pStyle w:val="Heading1"/>
        <w:bidi/>
        <w:spacing w:after="160" w:before="360"/>
        <w:jc w:val="right"/>
        <w:outlineLvl w:val="0"/>
      </w:pPr>
      <w:r>
        <w:rPr>
          <w:rFonts w:ascii="Arial" w:cs="Arial" w:eastAsia="Arial" w:hAnsi="Arial"/>
          <w:b/>
          <w:bCs/>
          <w:color w:val="0F5C4A"/>
          <w:sz w:val="40"/>
          <w:szCs w:val="40"/>
          <w:rtl/>
        </w:rPr>
        <w:t xml:space="preserve">آلية التسعير وتقدير المدد — خدمات الاستثمار وجمع التمويل</w:t>
      </w:r>
    </w:p>
    <w:p>
      <w:pPr>
        <w:bidi w:val="false"/>
        <w:spacing w:after="120" w:before="80" w:line="300"/>
        <w:jc w:val="left"/>
      </w:pPr>
      <w:r>
        <w:rPr>
          <w:rFonts w:ascii="Arial" w:cs="Arial" w:eastAsia="Arial" w:hAnsi="Arial"/>
          <w:b/>
          <w:bCs/>
          <w:i w:val="false"/>
          <w:iCs w:val="false"/>
          <w:color w:val="15171C"/>
          <w:sz w:val="20"/>
          <w:szCs w:val="20"/>
          <w:rtl/>
        </w:rPr>
        <w:t xml:space="preserve">LEAP Consulting · مستند داخلي · 2026</w:t>
      </w:r>
    </w:p>
    <w:p>
      <w:pPr>
        <w:bidi w:val="false"/>
        <w:spacing w:after="120" w:before="80" w:line="300"/>
        <w:jc w:val="left"/>
      </w:pPr>
      <w:r>
        <w:rPr>
          <w:rFonts w:ascii="Arial" w:cs="Arial" w:eastAsia="Arial" w:hAnsi="Arial"/>
          <w:b w:val="false"/>
          <w:bCs w:val="false"/>
          <w:i/>
          <w:iCs/>
          <w:color w:val="4A4F5A"/>
          <w:sz w:val="20"/>
          <w:szCs w:val="20"/>
          <w:rtl w:val="false"/>
        </w:rPr>
        <w:t xml:space="preserve">Fee &amp; Duration Methodology — Investment &amp; Fundraising Advisory</w:t>
      </w:r>
    </w:p>
    <w:p>
      <w:pPr>
        <w:bidi/>
        <w:spacing w:after="120" w:before="80" w:line="300"/>
        <w:jc w:val="both"/>
      </w:pPr>
      <w:r>
        <w:rPr>
          <w:rFonts w:ascii="Arial" w:cs="Arial" w:eastAsia="Arial" w:hAnsi="Arial"/>
          <w:b w:val="false"/>
          <w:bCs w:val="false"/>
          <w:i w:val="false"/>
          <w:iCs w:val="false"/>
          <w:color w:val="15171C"/>
          <w:sz w:val="20"/>
          <w:szCs w:val="20"/>
          <w:rtl/>
        </w:rPr>
        <w:t xml:space="preserve">مبني على المنطق نفسه الذي تقوم عليه منهجية خدمات التطوير العقاري، ومعايَر على الخدمات الأربع والعشرين الواردة في كتالوج الاستثمار وجمع التمويل.</w:t>
      </w:r>
    </w:p>
    <w:p>
      <w:pPr>
        <w:pStyle w:val="Heading2"/>
        <w:pageBreakBefore/>
        <w:pBdr>
          <w:top w:val="single" w:color="15171C" w:sz="12" w:space="8"/>
        </w:pBdr>
        <w:bidi/>
        <w:spacing w:after="160" w:before="360"/>
        <w:jc w:val="right"/>
        <w:outlineLvl w:val="1"/>
      </w:pPr>
      <w:r>
        <w:rPr>
          <w:rFonts w:ascii="Arial" w:cs="Arial" w:eastAsia="Arial" w:hAnsi="Arial"/>
          <w:b/>
          <w:bCs/>
          <w:color w:val="0F5C4A"/>
          <w:sz w:val="30"/>
          <w:szCs w:val="30"/>
          <w:rtl/>
        </w:rPr>
        <w:t xml:space="preserve">الإطار العام</w:t>
      </w:r>
    </w:p>
    <w:p>
      <w:pPr>
        <w:bidi/>
        <w:spacing w:after="120" w:before="80" w:line="300"/>
        <w:jc w:val="both"/>
      </w:pPr>
      <w:r>
        <w:rPr>
          <w:rFonts w:ascii="Arial" w:cs="Arial" w:eastAsia="Arial" w:hAnsi="Arial"/>
          <w:b w:val="false"/>
          <w:bCs w:val="false"/>
          <w:i w:val="false"/>
          <w:iCs w:val="false"/>
          <w:color w:val="15171C"/>
          <w:sz w:val="20"/>
          <w:szCs w:val="20"/>
          <w:rtl/>
        </w:rPr>
        <w:t xml:space="preserve">المبدأ لم يتغير: </w:t>
      </w:r>
      <w:r>
        <w:rPr>
          <w:rFonts w:ascii="Arial" w:cs="Arial" w:eastAsia="Arial" w:hAnsi="Arial"/>
          <w:b/>
          <w:bCs/>
          <w:i w:val="false"/>
          <w:iCs w:val="false"/>
          <w:color w:val="15171C"/>
          <w:sz w:val="20"/>
          <w:szCs w:val="20"/>
          <w:rtl/>
        </w:rPr>
        <w:t xml:space="preserve">السعر يُشتق من العمل المطلوب فعلاً، لا من حجم الجولة ولا من التقييم المستهدف ولا من قدرة العميل على الدفع.</w:t>
      </w:r>
    </w:p>
    <w:p>
      <w:pPr>
        <w:bidi/>
        <w:spacing w:after="120" w:before="80" w:line="300"/>
        <w:jc w:val="both"/>
      </w:pPr>
      <w:r>
        <w:rPr>
          <w:rFonts w:ascii="Arial" w:cs="Arial" w:eastAsia="Arial" w:hAnsi="Arial"/>
          <w:b w:val="false"/>
          <w:bCs w:val="false"/>
          <w:i w:val="false"/>
          <w:iCs w:val="false"/>
          <w:color w:val="15171C"/>
          <w:sz w:val="20"/>
          <w:szCs w:val="20"/>
          <w:rtl/>
        </w:rPr>
        <w:t xml:space="preserve">لكل خدمة تقدير بأيام العمل موزع على أربعة مستويات للفريق، وهذا التقدير أساس كل ما يليه.</w:t>
      </w:r>
    </w:p>
    <w:tbl>
      <w:tblPr>
        <w:bidiVisual/>
        <w:tblW w:type="dxa" w:w="9360"/>
        <w:tblBorders>
          <w:top w:val="single" w:color="D8D5CC" w:sz="4"/>
          <w:left w:val="single" w:color="D8D5CC" w:sz="4"/>
          <w:bottom w:val="single" w:color="D8D5CC" w:sz="4"/>
          <w:right w:val="single" w:color="D8D5CC" w:sz="4"/>
          <w:insideH w:val="single" w:color="EAE7E0" w:sz="2"/>
          <w:insideV w:val="single" w:color="EAE7E0" w:sz="2"/>
        </w:tblBorders>
      </w:tblPr>
      <w:tblGrid>
        <w:gridCol w:w="2334"/>
        <w:gridCol w:w="7026"/>
      </w:tblGrid>
      <w:tr>
        <w:trPr>
          <w:tblHeader/>
        </w:trPr>
        <w:tc>
          <w:tcPr>
            <w:tcW w:type="dxa" w:w="2334"/>
            <w:shd w:fill="F5F4F0" w:color="auto" w:val="clear"/>
            <w:tcMar>
              <w:top w:type="dxa" w:w="70"/>
              <w:left w:type="dxa" w:w="100"/>
              <w:bottom w:type="dxa" w:w="70"/>
              <w:right w:type="dxa" w:w="100"/>
            </w:tcMar>
          </w:tcPr>
          <w:p>
            <w:pPr>
              <w:bidi/>
              <w:spacing w:after="0" w:before="0" w:line="260"/>
              <w:jc w:val="right"/>
            </w:pPr>
            <w:r>
              <w:rPr>
                <w:rFonts w:ascii="Arial" w:cs="Arial" w:eastAsia="Arial" w:hAnsi="Arial"/>
                <w:sz w:val="16"/>
                <w:szCs w:val="16"/>
              </w:rPr>
              <w:t xml:space="preserve"/>
            </w:r>
          </w:p>
        </w:tc>
        <w:tc>
          <w:tcPr>
            <w:tcW w:type="dxa" w:w="7026"/>
            <w:shd w:fill="F5F4F0" w:color="auto" w:val="clear"/>
            <w:tcMar>
              <w:top w:type="dxa" w:w="70"/>
              <w:left w:type="dxa" w:w="100"/>
              <w:bottom w:type="dxa" w:w="70"/>
              <w:right w:type="dxa" w:w="100"/>
            </w:tcMar>
          </w:tcPr>
          <w:p>
            <w:pPr>
              <w:bidi/>
              <w:spacing w:after="0" w:before="0" w:line="260"/>
              <w:jc w:val="right"/>
            </w:pPr>
            <w:r>
              <w:rPr>
                <w:rFonts w:ascii="Arial" w:cs="Arial" w:eastAsia="Arial" w:hAnsi="Arial"/>
                <w:sz w:val="16"/>
                <w:szCs w:val="16"/>
              </w:rPr>
              <w:t xml:space="preserve"/>
            </w:r>
          </w:p>
        </w:tc>
      </w:tr>
      <w:tr>
        <w:tc>
          <w:tcPr>
            <w:tcW w:type="dxa" w:w="2334"/>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24</w:t>
            </w:r>
            <w:r>
              <w:rPr>
                <w:rFonts w:ascii="Arial" w:cs="Arial" w:eastAsia="Arial" w:hAnsi="Arial"/>
                <w:b w:val="false"/>
                <w:bCs w:val="false"/>
                <w:i w:val="false"/>
                <w:iCs w:val="false"/>
                <w:color w:val="15171C"/>
                <w:sz w:val="18"/>
                <w:szCs w:val="18"/>
                <w:rtl/>
              </w:rPr>
              <w:t xml:space="preserve"> خدمة</w:t>
            </w:r>
          </w:p>
        </w:tc>
        <w:tc>
          <w:tcPr>
            <w:tcW w:type="dxa" w:w="7026"/>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موزعة على سبعة محاور</w:t>
            </w:r>
          </w:p>
        </w:tc>
      </w:tr>
      <w:tr>
        <w:tc>
          <w:tcPr>
            <w:tcW w:type="dxa" w:w="2334"/>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278</w:t>
            </w:r>
            <w:r>
              <w:rPr>
                <w:rFonts w:ascii="Arial" w:cs="Arial" w:eastAsia="Arial" w:hAnsi="Arial"/>
                <w:b w:val="false"/>
                <w:bCs w:val="false"/>
                <w:i w:val="false"/>
                <w:iCs w:val="false"/>
                <w:color w:val="15171C"/>
                <w:sz w:val="18"/>
                <w:szCs w:val="18"/>
                <w:rtl/>
              </w:rPr>
              <w:t xml:space="preserve"> يوم عمل</w:t>
            </w:r>
          </w:p>
        </w:tc>
        <w:tc>
          <w:tcPr>
            <w:tcW w:type="dxa" w:w="7026"/>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إجمالي أيام العمل عند التعقيد القياسي</w:t>
            </w:r>
          </w:p>
        </w:tc>
      </w:tr>
      <w:tr>
        <w:tc>
          <w:tcPr>
            <w:tcW w:type="dxa" w:w="2334"/>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2–7</w:t>
            </w:r>
            <w:r>
              <w:rPr>
                <w:rFonts w:ascii="Arial" w:cs="Arial" w:eastAsia="Arial" w:hAnsi="Arial"/>
                <w:b w:val="false"/>
                <w:bCs w:val="false"/>
                <w:i w:val="false"/>
                <w:iCs w:val="false"/>
                <w:color w:val="15171C"/>
                <w:sz w:val="18"/>
                <w:szCs w:val="18"/>
                <w:rtl/>
              </w:rPr>
              <w:t xml:space="preserve"> أسابيع</w:t>
            </w:r>
          </w:p>
        </w:tc>
        <w:tc>
          <w:tcPr>
            <w:tcW w:type="dxa" w:w="7026"/>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مدى المدد من أقصر خدمة إلى أطولها</w:t>
            </w:r>
          </w:p>
        </w:tc>
      </w:tr>
      <w:tr>
        <w:tc>
          <w:tcPr>
            <w:tcW w:type="dxa" w:w="2334"/>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6.5–21</w:t>
            </w:r>
            <w:r>
              <w:rPr>
                <w:rFonts w:ascii="Arial" w:cs="Arial" w:eastAsia="Arial" w:hAnsi="Arial"/>
                <w:b w:val="false"/>
                <w:bCs w:val="false"/>
                <w:i w:val="false"/>
                <w:iCs w:val="false"/>
                <w:color w:val="15171C"/>
                <w:sz w:val="18"/>
                <w:szCs w:val="18"/>
                <w:rtl/>
              </w:rPr>
              <w:t xml:space="preserve"> ألف دولار</w:t>
            </w:r>
          </w:p>
        </w:tc>
        <w:tc>
          <w:tcPr>
            <w:tcW w:type="dxa" w:w="7026"/>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نطاق الأتعاب عند التعقيد القياسي والسوق الأساس</w:t>
            </w:r>
          </w:p>
        </w:tc>
      </w:tr>
    </w:tbl>
    <w:p>
      <w:pPr>
        <w:spacing w:after="120"/>
      </w:pPr>
    </w:p>
    <w:p>
      <w:pPr>
        <w:pStyle w:val="Heading3"/>
        <w:bidi/>
        <w:spacing w:after="100" w:before="240"/>
        <w:jc w:val="right"/>
        <w:outlineLvl w:val="2"/>
      </w:pPr>
      <w:r>
        <w:rPr>
          <w:rFonts w:ascii="Arial" w:cs="Arial" w:eastAsia="Arial" w:hAnsi="Arial"/>
          <w:b/>
          <w:bCs/>
          <w:color w:val="0F5C4A"/>
          <w:sz w:val="24"/>
          <w:szCs w:val="24"/>
          <w:rtl/>
        </w:rPr>
        <w:t xml:space="preserve">معادلة السعر</w:t>
      </w:r>
    </w:p>
    <w:tbl>
      <w:tblPr>
        <w:bidiVisual/>
        <w:tblW w:type="dxa" w:w="9360"/>
        <w:tblBorders>
          <w:top w:val="single" w:color="D8D5CC" w:sz="4"/>
          <w:left w:val="single" w:color="D8D5CC" w:sz="4"/>
          <w:bottom w:val="single" w:color="D8D5CC" w:sz="4"/>
          <w:right w:val="single" w:color="D8D5CC" w:sz="4"/>
          <w:insideH w:val="single" w:color="EAE7E0" w:sz="2"/>
          <w:insideV w:val="single" w:color="EAE7E0" w:sz="2"/>
        </w:tblBorders>
      </w:tblPr>
      <w:tblGrid>
        <w:gridCol w:w="1040"/>
        <w:gridCol w:w="1762"/>
        <w:gridCol w:w="6558"/>
      </w:tblGrid>
      <w:tr>
        <w:trPr>
          <w:tblHeader/>
        </w:trPr>
        <w:tc>
          <w:tcPr>
            <w:tcW w:type="dxa" w:w="1040"/>
            <w:shd w:fill="F5F4F0" w:color="auto" w:val="clear"/>
            <w:tcMar>
              <w:top w:type="dxa" w:w="70"/>
              <w:left w:type="dxa" w:w="100"/>
              <w:bottom w:type="dxa" w:w="70"/>
              <w:right w:type="dxa" w:w="100"/>
            </w:tcMar>
          </w:tcPr>
          <w:p>
            <w:pPr>
              <w:bidi/>
              <w:spacing w:after="0" w:before="0" w:line="260"/>
              <w:jc w:val="right"/>
            </w:pPr>
            <w:r>
              <w:rPr>
                <w:rFonts w:ascii="Arial" w:cs="Arial" w:eastAsia="Arial" w:hAnsi="Arial"/>
                <w:sz w:val="16"/>
                <w:szCs w:val="16"/>
              </w:rPr>
              <w:t xml:space="preserve"/>
            </w:r>
          </w:p>
        </w:tc>
        <w:tc>
          <w:tcPr>
            <w:tcW w:type="dxa" w:w="1762"/>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الخطوة</w:t>
            </w:r>
          </w:p>
        </w:tc>
        <w:tc>
          <w:tcPr>
            <w:tcW w:type="dxa" w:w="6558"/>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الأساس</w:t>
            </w:r>
          </w:p>
        </w:tc>
      </w:tr>
      <w:tr>
        <w:tc>
          <w:tcPr>
            <w:tcW w:type="dxa" w:w="1040"/>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1</w:t>
            </w:r>
          </w:p>
        </w:tc>
        <w:tc>
          <w:tcPr>
            <w:tcW w:type="dxa" w:w="1762"/>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أيام العمل × سعر اليوم</w:t>
            </w:r>
          </w:p>
        </w:tc>
        <w:tc>
          <w:tcPr>
            <w:tcW w:type="dxa" w:w="655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لكل خدمة تقدير بأيام العمل موزعة على شريك ومدير تكليف ومحلل أول ومحلل، تُضرب في سعر اليوم لكل مستوى.</w:t>
            </w:r>
          </w:p>
        </w:tc>
      </w:tr>
      <w:tr>
        <w:tc>
          <w:tcPr>
            <w:tcW w:type="dxa" w:w="1040"/>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2</w:t>
            </w:r>
          </w:p>
        </w:tc>
        <w:tc>
          <w:tcPr>
            <w:tcW w:type="dxa" w:w="1762"/>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 معامل درجة التعقيد</w:t>
            </w:r>
          </w:p>
        </w:tc>
        <w:tc>
          <w:tcPr>
            <w:tcW w:type="dxa" w:w="655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يُعدَّل التقدير حسب عدد الكيانات وأدوات التحويل وتوافر البيانات.</w:t>
            </w:r>
          </w:p>
        </w:tc>
      </w:tr>
      <w:tr>
        <w:tc>
          <w:tcPr>
            <w:tcW w:type="dxa" w:w="1040"/>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3</w:t>
            </w:r>
          </w:p>
        </w:tc>
        <w:tc>
          <w:tcPr>
            <w:tcW w:type="dxa" w:w="1762"/>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 معامل السوق</w:t>
            </w:r>
          </w:p>
        </w:tc>
        <w:tc>
          <w:tcPr>
            <w:tcW w:type="dxa" w:w="655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السعودية هي الأساس، والمدى واسع لأن حجم التذكرة يتفاوت بين أسواقنا أضعافاً.</w:t>
            </w:r>
          </w:p>
        </w:tc>
      </w:tr>
      <w:tr>
        <w:tc>
          <w:tcPr>
            <w:tcW w:type="dxa" w:w="1040"/>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4</w:t>
            </w:r>
          </w:p>
        </w:tc>
        <w:tc>
          <w:tcPr>
            <w:tcW w:type="dxa" w:w="1762"/>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 معامل مرحلة الشركة</w:t>
            </w:r>
          </w:p>
        </w:tc>
        <w:tc>
          <w:tcPr>
            <w:tcW w:type="dxa" w:w="6558"/>
            <w:tcMar>
              <w:top w:type="dxa" w:w="70"/>
              <w:left w:type="dxa" w:w="100"/>
              <w:bottom w:type="dxa" w:w="70"/>
              <w:right w:type="dxa" w:w="100"/>
            </w:tcMar>
          </w:tcPr>
          <w:p>
            <w:pPr>
              <w:bidi/>
              <w:spacing w:after="0" w:before="0" w:line="260"/>
              <w:jc w:val="right"/>
            </w:pPr>
            <w:r>
              <w:rPr>
                <w:rFonts w:ascii="Arial" w:cs="Arial" w:eastAsia="Arial" w:hAnsi="Arial"/>
                <w:b w:val="false"/>
                <w:bCs w:val="false"/>
                <w:i/>
                <w:iCs/>
                <w:color w:val="4A4F5A"/>
                <w:sz w:val="18"/>
                <w:szCs w:val="18"/>
                <w:rtl/>
              </w:rPr>
              <w:t xml:space="preserve">جديد — لا مقابل له في منهجية العقار.</w:t>
            </w:r>
            <w:r>
              <w:rPr>
                <w:rFonts w:ascii="Arial" w:cs="Arial" w:eastAsia="Arial" w:hAnsi="Arial"/>
                <w:b w:val="false"/>
                <w:bCs w:val="false"/>
                <w:i w:val="false"/>
                <w:iCs w:val="false"/>
                <w:color w:val="15171C"/>
                <w:sz w:val="18"/>
                <w:szCs w:val="18"/>
                <w:rtl/>
              </w:rPr>
              <w:t xml:space="preserve"> جولة البذرة وجولة B عمل مختلف بالخدمة نفسها.</w:t>
            </w:r>
          </w:p>
        </w:tc>
      </w:tr>
      <w:tr>
        <w:tc>
          <w:tcPr>
            <w:tcW w:type="dxa" w:w="1040"/>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5</w:t>
            </w:r>
          </w:p>
        </w:tc>
        <w:tc>
          <w:tcPr>
            <w:tcW w:type="dxa" w:w="1762"/>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 معامل الجدول الزمني</w:t>
            </w:r>
          </w:p>
        </w:tc>
        <w:tc>
          <w:tcPr>
            <w:tcW w:type="dxa" w:w="655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ضغط المدة يقابله تعطيل لجدول الفريق وتوازٍ في المهام، وله ثمن.</w:t>
            </w:r>
          </w:p>
        </w:tc>
      </w:tr>
      <w:tr>
        <w:tc>
          <w:tcPr>
            <w:tcW w:type="dxa" w:w="1040"/>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6</w:t>
            </w:r>
          </w:p>
        </w:tc>
        <w:tc>
          <w:tcPr>
            <w:tcW w:type="dxa" w:w="1762"/>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 معامل اللغة</w:t>
            </w:r>
          </w:p>
        </w:tc>
        <w:tc>
          <w:tcPr>
            <w:tcW w:type="dxa" w:w="655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إصدار المخرجات بالعربية والإنجليزية معاً يضيف عبئاً تحريرياً حقيقياً.</w:t>
            </w:r>
          </w:p>
        </w:tc>
      </w:tr>
      <w:tr>
        <w:tc>
          <w:tcPr>
            <w:tcW w:type="dxa" w:w="1040"/>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w:t>
            </w:r>
          </w:p>
        </w:tc>
        <w:tc>
          <w:tcPr>
            <w:tcW w:type="dxa" w:w="1762"/>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الأتعاب المهنية</w:t>
            </w:r>
          </w:p>
        </w:tc>
        <w:tc>
          <w:tcPr>
            <w:tcW w:type="dxa" w:w="655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ثم تُضاف المصروفات المباشرة وجولات المراجعة الإضافية للوصول إلى </w:t>
            </w:r>
            <w:r>
              <w:rPr>
                <w:rFonts w:ascii="Arial" w:cs="Arial" w:eastAsia="Arial" w:hAnsi="Arial"/>
                <w:b/>
                <w:bCs/>
                <w:i w:val="false"/>
                <w:iCs w:val="false"/>
                <w:color w:val="15171C"/>
                <w:sz w:val="18"/>
                <w:szCs w:val="18"/>
                <w:rtl/>
              </w:rPr>
              <w:t xml:space="preserve">قيمة التكليف</w:t>
            </w:r>
            <w:r>
              <w:rPr>
                <w:rFonts w:ascii="Arial" w:cs="Arial" w:eastAsia="Arial" w:hAnsi="Arial"/>
                <w:b w:val="false"/>
                <w:bCs w:val="false"/>
                <w:i w:val="false"/>
                <w:iCs w:val="false"/>
                <w:color w:val="15171C"/>
                <w:sz w:val="18"/>
                <w:szCs w:val="18"/>
                <w:rtl w:val="false"/>
              </w:rPr>
              <w:t xml:space="preserve">.</w:t>
            </w:r>
          </w:p>
        </w:tc>
      </w:tr>
    </w:tbl>
    <w:p>
      <w:pPr>
        <w:spacing w:after="120"/>
      </w:pPr>
    </w:p>
    <w:p>
      <w:pPr>
        <w:bidi/>
        <w:spacing w:after="120" w:before="80" w:line="300"/>
        <w:jc w:val="both"/>
      </w:pPr>
      <w:r>
        <w:rPr>
          <w:rFonts w:ascii="Arial" w:cs="Arial" w:eastAsia="Arial" w:hAnsi="Arial"/>
          <w:b w:val="false"/>
          <w:bCs w:val="false"/>
          <w:i w:val="false"/>
          <w:iCs w:val="false"/>
          <w:color w:val="15171C"/>
          <w:sz w:val="20"/>
          <w:szCs w:val="20"/>
          <w:rtl/>
        </w:rPr>
        <w:t xml:space="preserve">ثم — في خدمات المحور الخامس وحده — تُضاف </w:t>
      </w:r>
      <w:r>
        <w:rPr>
          <w:rFonts w:ascii="Arial" w:cs="Arial" w:eastAsia="Arial" w:hAnsi="Arial"/>
          <w:b/>
          <w:bCs/>
          <w:i w:val="false"/>
          <w:iCs w:val="false"/>
          <w:color w:val="15171C"/>
          <w:sz w:val="20"/>
          <w:szCs w:val="20"/>
          <w:rtl/>
        </w:rPr>
        <w:t xml:space="preserve">أتعاب النجاح</w:t>
      </w:r>
      <w:r>
        <w:rPr>
          <w:rFonts w:ascii="Arial" w:cs="Arial" w:eastAsia="Arial" w:hAnsi="Arial"/>
          <w:b w:val="false"/>
          <w:bCs w:val="false"/>
          <w:i w:val="false"/>
          <w:iCs w:val="false"/>
          <w:color w:val="15171C"/>
          <w:sz w:val="20"/>
          <w:szCs w:val="20"/>
          <w:rtl/>
        </w:rPr>
        <w:t xml:space="preserve"> وفق الجدول المتدرج في القسم السابع.</w:t>
      </w:r>
    </w:p>
    <w:p>
      <w:pPr>
        <w:pStyle w:val="Heading2"/>
        <w:pageBreakBefore/>
        <w:pBdr>
          <w:top w:val="single" w:color="15171C" w:sz="12" w:space="8"/>
        </w:pBdr>
        <w:bidi/>
        <w:spacing w:after="160" w:before="360"/>
        <w:jc w:val="right"/>
        <w:outlineLvl w:val="1"/>
      </w:pPr>
      <w:r>
        <w:rPr>
          <w:rFonts w:ascii="Arial" w:cs="Arial" w:eastAsia="Arial" w:hAnsi="Arial"/>
          <w:b/>
          <w:bCs/>
          <w:color w:val="0F5C4A"/>
          <w:sz w:val="30"/>
          <w:szCs w:val="30"/>
          <w:rtl/>
        </w:rPr>
        <w:t xml:space="preserve">ستة فروق جوهرية عن منهجية التطوير العقاري</w:t>
      </w:r>
    </w:p>
    <w:p>
      <w:pPr>
        <w:bidi/>
        <w:spacing w:after="120" w:before="80" w:line="300"/>
        <w:jc w:val="both"/>
      </w:pPr>
      <w:r>
        <w:rPr>
          <w:rFonts w:ascii="Arial" w:cs="Arial" w:eastAsia="Arial" w:hAnsi="Arial"/>
          <w:b w:val="false"/>
          <w:bCs w:val="false"/>
          <w:i w:val="false"/>
          <w:iCs w:val="false"/>
          <w:color w:val="15171C"/>
          <w:sz w:val="20"/>
          <w:szCs w:val="20"/>
          <w:rtl/>
        </w:rPr>
        <w:t xml:space="preserve">لم أنقل النموذج العقاري كما هو. هذه الخدمات تختلف في ستة مواضع، وكل فرق منها له سبب يُذكر صراحة:</w:t>
      </w:r>
    </w:p>
    <w:p>
      <w:pPr>
        <w:pStyle w:val="Heading3"/>
        <w:bidi/>
        <w:spacing w:after="100" w:before="240"/>
        <w:jc w:val="right"/>
        <w:outlineLvl w:val="2"/>
      </w:pPr>
      <w:r>
        <w:rPr>
          <w:rFonts w:ascii="Arial" w:cs="Arial" w:eastAsia="Arial" w:hAnsi="Arial"/>
          <w:b/>
          <w:bCs/>
          <w:color w:val="0F5C4A"/>
          <w:sz w:val="24"/>
          <w:szCs w:val="24"/>
          <w:rtl/>
        </w:rPr>
        <w:t xml:space="preserve">1. العملة أساسها الدولار لا الريال</w:t>
      </w:r>
    </w:p>
    <w:p>
      <w:pPr>
        <w:bidi/>
        <w:spacing w:after="120" w:before="80" w:line="300"/>
        <w:jc w:val="both"/>
      </w:pPr>
      <w:r>
        <w:rPr>
          <w:rFonts w:ascii="Arial" w:cs="Arial" w:eastAsia="Arial" w:hAnsi="Arial"/>
          <w:b w:val="false"/>
          <w:bCs w:val="false"/>
          <w:i w:val="false"/>
          <w:iCs w:val="false"/>
          <w:color w:val="15171C"/>
          <w:sz w:val="20"/>
          <w:szCs w:val="20"/>
          <w:rtl/>
        </w:rPr>
        <w:t xml:space="preserve">منهجية العقار مبنية بالريال السعودي لأن سوقها خليجي بالكامل وعملاته مربوطة بالدولار ومستقرة فيما بينها.</w:t>
      </w:r>
    </w:p>
    <w:p>
      <w:pPr>
        <w:bidi/>
        <w:spacing w:after="120" w:before="80" w:line="300"/>
        <w:jc w:val="both"/>
      </w:pPr>
      <w:r>
        <w:rPr>
          <w:rFonts w:ascii="Arial" w:cs="Arial" w:eastAsia="Arial" w:hAnsi="Arial"/>
          <w:b w:val="false"/>
          <w:bCs w:val="false"/>
          <w:i w:val="false"/>
          <w:iCs w:val="false"/>
          <w:color w:val="15171C"/>
          <w:sz w:val="20"/>
          <w:szCs w:val="20"/>
          <w:rtl/>
        </w:rPr>
        <w:t xml:space="preserve">هذا الخط مختلف: مقر الشركة القاهرة، وعملاؤها في مصر والخليج وشمال أفريقيا والأسواق العالمية، والصفقات العابرة للحدود تُقوَّم بالدولار أصلاً. والجنيه المصري </w:t>
      </w:r>
      <w:r>
        <w:rPr>
          <w:rFonts w:ascii="Arial" w:cs="Arial" w:eastAsia="Arial" w:hAnsi="Arial"/>
          <w:b/>
          <w:bCs/>
          <w:i w:val="false"/>
          <w:iCs w:val="false"/>
          <w:color w:val="15171C"/>
          <w:sz w:val="20"/>
          <w:szCs w:val="20"/>
          <w:rtl/>
        </w:rPr>
        <w:t xml:space="preserve">فقد أكثر من 70% من قيمته منذ مطلع 2022</w:t>
      </w:r>
      <w:r>
        <w:rPr>
          <w:rFonts w:ascii="Arial" w:cs="Arial" w:eastAsia="Arial" w:hAnsi="Arial"/>
          <w:b w:val="false"/>
          <w:bCs w:val="false"/>
          <w:i w:val="false"/>
          <w:iCs w:val="false"/>
          <w:color w:val="15171C"/>
          <w:sz w:val="20"/>
          <w:szCs w:val="20"/>
          <w:rtl/>
        </w:rPr>
        <w:t xml:space="preserve"> عبر تخفيضات متتالية، أكبرها تخفيض مارس 2024. والتكليف الذي يمتد ثلاثة أشهر بسعر محرر بالجنيه ينقل مخاطرة العملة كاملة إلى الشركة.</w:t>
      </w:r>
    </w:p>
    <w:p>
      <w:pPr>
        <w:bidi/>
        <w:spacing w:after="120" w:before="80" w:line="300"/>
        <w:jc w:val="both"/>
      </w:pPr>
      <w:r>
        <w:rPr>
          <w:rFonts w:ascii="Arial" w:cs="Arial" w:eastAsia="Arial" w:hAnsi="Arial"/>
          <w:b/>
          <w:bCs/>
          <w:i w:val="false"/>
          <w:iCs w:val="false"/>
          <w:color w:val="15171C"/>
          <w:sz w:val="20"/>
          <w:szCs w:val="20"/>
          <w:rtl/>
        </w:rPr>
        <w:t xml:space="preserve">القاعدة:</w:t>
      </w:r>
      <w:r>
        <w:rPr>
          <w:rFonts w:ascii="Arial" w:cs="Arial" w:eastAsia="Arial" w:hAnsi="Arial"/>
          <w:b w:val="false"/>
          <w:bCs w:val="false"/>
          <w:i w:val="false"/>
          <w:iCs w:val="false"/>
          <w:color w:val="15171C"/>
          <w:sz w:val="20"/>
          <w:szCs w:val="20"/>
          <w:rtl/>
        </w:rPr>
        <w:t xml:space="preserve"> جدول الأجور بالدولار. ويجوز إصدار العرض بالعملة المحلية، بشرط ذكر سعر الصرف المعتمد في العرض نفسه، مع بند يعيد التسعير إذا تحرك السعر أكثر من </w:t>
      </w:r>
      <w:r>
        <w:rPr>
          <w:rFonts w:ascii="Arial" w:cs="Arial" w:eastAsia="Arial" w:hAnsi="Arial"/>
          <w:b/>
          <w:bCs/>
          <w:i w:val="false"/>
          <w:iCs w:val="false"/>
          <w:color w:val="15171C"/>
          <w:sz w:val="20"/>
          <w:szCs w:val="20"/>
          <w:rtl w:val="false"/>
        </w:rPr>
        <w:t xml:space="preserve">7%</w:t>
      </w:r>
      <w:r>
        <w:rPr>
          <w:rFonts w:ascii="Arial" w:cs="Arial" w:eastAsia="Arial" w:hAnsi="Arial"/>
          <w:b w:val="false"/>
          <w:bCs w:val="false"/>
          <w:i w:val="false"/>
          <w:iCs w:val="false"/>
          <w:color w:val="15171C"/>
          <w:sz w:val="20"/>
          <w:szCs w:val="20"/>
          <w:rtl/>
        </w:rPr>
        <w:t xml:space="preserve"> بين إصدار العرض والتوقيع.</w:t>
      </w:r>
    </w:p>
    <w:p>
      <w:pPr>
        <w:pStyle w:val="Heading3"/>
        <w:bidi/>
        <w:spacing w:after="100" w:before="240"/>
        <w:jc w:val="right"/>
        <w:outlineLvl w:val="2"/>
      </w:pPr>
      <w:r>
        <w:rPr>
          <w:rFonts w:ascii="Arial" w:cs="Arial" w:eastAsia="Arial" w:hAnsi="Arial"/>
          <w:b/>
          <w:bCs/>
          <w:color w:val="0F5C4A"/>
          <w:sz w:val="24"/>
          <w:szCs w:val="24"/>
          <w:rtl/>
        </w:rPr>
        <w:t xml:space="preserve">2. معامل السوق أوسع مدى بكثير</w:t>
      </w:r>
    </w:p>
    <w:p>
      <w:pPr>
        <w:bidi/>
        <w:spacing w:after="120" w:before="80" w:line="300"/>
        <w:jc w:val="both"/>
      </w:pPr>
      <w:r>
        <w:rPr>
          <w:rFonts w:ascii="Arial" w:cs="Arial" w:eastAsia="Arial" w:hAnsi="Arial"/>
          <w:b w:val="false"/>
          <w:bCs w:val="false"/>
          <w:i w:val="false"/>
          <w:iCs w:val="false"/>
          <w:color w:val="15171C"/>
          <w:sz w:val="20"/>
          <w:szCs w:val="20"/>
          <w:rtl/>
        </w:rPr>
        <w:t xml:space="preserve">في العقار يتراوح المعامل بين 0.95 و1.05 — لأن الخدمة تُنفَّذ محلياً في كل سوق خليجي بتكلفة متقاربة.</w:t>
      </w:r>
    </w:p>
    <w:p>
      <w:pPr>
        <w:bidi/>
        <w:spacing w:after="120" w:before="80" w:line="300"/>
        <w:jc w:val="both"/>
      </w:pPr>
      <w:r>
        <w:rPr>
          <w:rFonts w:ascii="Arial" w:cs="Arial" w:eastAsia="Arial" w:hAnsi="Arial"/>
          <w:b w:val="false"/>
          <w:bCs w:val="false"/>
          <w:i w:val="false"/>
          <w:iCs w:val="false"/>
          <w:color w:val="15171C"/>
          <w:sz w:val="20"/>
          <w:szCs w:val="20"/>
          <w:rtl/>
        </w:rPr>
        <w:t xml:space="preserve">هنا الفارق حقيقي وكبير، وبيانات 2025 تُظهره:</w:t>
      </w:r>
    </w:p>
    <w:tbl>
      <w:tblPr>
        <w:bidiVisual/>
        <w:tblW w:type="dxa" w:w="9360"/>
        <w:tblBorders>
          <w:top w:val="single" w:color="D8D5CC" w:sz="4"/>
          <w:left w:val="single" w:color="D8D5CC" w:sz="4"/>
          <w:bottom w:val="single" w:color="D8D5CC" w:sz="4"/>
          <w:right w:val="single" w:color="D8D5CC" w:sz="4"/>
          <w:insideH w:val="single" w:color="EAE7E0" w:sz="2"/>
          <w:insideV w:val="single" w:color="EAE7E0" w:sz="2"/>
        </w:tblBorders>
      </w:tblPr>
      <w:tblGrid>
        <w:gridCol w:w="1432"/>
        <w:gridCol w:w="3978"/>
        <w:gridCol w:w="1390"/>
        <w:gridCol w:w="2560"/>
      </w:tblGrid>
      <w:tr>
        <w:trPr>
          <w:tblHeader/>
        </w:trPr>
        <w:tc>
          <w:tcPr>
            <w:tcW w:type="dxa" w:w="1432"/>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السوق</w:t>
            </w:r>
          </w:p>
        </w:tc>
        <w:tc>
          <w:tcPr>
            <w:tcW w:type="dxa" w:w="3978"/>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التمويل المُجمَّع 2025</w:t>
            </w:r>
          </w:p>
        </w:tc>
        <w:tc>
          <w:tcPr>
            <w:tcW w:type="dxa" w:w="1390"/>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عدد الصفقات</w:t>
            </w:r>
          </w:p>
        </w:tc>
        <w:tc>
          <w:tcPr>
            <w:tcW w:type="dxa" w:w="2560"/>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متوسط الصفقة</w:t>
            </w:r>
          </w:p>
        </w:tc>
      </w:tr>
      <w:tr>
        <w:tc>
          <w:tcPr>
            <w:tcW w:type="dxa" w:w="143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السعودية</w:t>
            </w:r>
          </w:p>
        </w:tc>
        <w:tc>
          <w:tcPr>
            <w:tcW w:type="dxa" w:w="397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5.0 مليار دولار</w:t>
            </w:r>
          </w:p>
        </w:tc>
        <w:tc>
          <w:tcPr>
            <w:tcW w:type="dxa" w:w="139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211</w:t>
            </w:r>
          </w:p>
        </w:tc>
        <w:tc>
          <w:tcPr>
            <w:tcW w:type="dxa" w:w="256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 23.7 مليون</w:t>
            </w:r>
          </w:p>
        </w:tc>
      </w:tr>
      <w:tr>
        <w:tc>
          <w:tcPr>
            <w:tcW w:type="dxa" w:w="143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الإمارات</w:t>
            </w:r>
          </w:p>
        </w:tc>
        <w:tc>
          <w:tcPr>
            <w:tcW w:type="dxa" w:w="397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2.0 مليار دولار</w:t>
            </w:r>
          </w:p>
        </w:tc>
        <w:tc>
          <w:tcPr>
            <w:tcW w:type="dxa" w:w="139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218</w:t>
            </w:r>
          </w:p>
        </w:tc>
        <w:tc>
          <w:tcPr>
            <w:tcW w:type="dxa" w:w="256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 9.2 مليون</w:t>
            </w:r>
          </w:p>
        </w:tc>
      </w:tr>
      <w:tr>
        <w:tc>
          <w:tcPr>
            <w:tcW w:type="dxa" w:w="143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مصر</w:t>
            </w:r>
          </w:p>
        </w:tc>
        <w:tc>
          <w:tcPr>
            <w:tcW w:type="dxa" w:w="397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263 مليون دولار</w:t>
            </w:r>
          </w:p>
        </w:tc>
        <w:tc>
          <w:tcPr>
            <w:tcW w:type="dxa" w:w="139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89</w:t>
            </w:r>
          </w:p>
        </w:tc>
        <w:tc>
          <w:tcPr>
            <w:tcW w:type="dxa" w:w="256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 3.0 مليون</w:t>
            </w:r>
          </w:p>
        </w:tc>
      </w:tr>
    </w:tbl>
    <w:p>
      <w:pPr>
        <w:spacing w:after="120"/>
      </w:pPr>
    </w:p>
    <w:p>
      <w:pPr>
        <w:bidi/>
        <w:spacing w:after="120" w:before="80" w:line="300"/>
        <w:jc w:val="both"/>
      </w:pPr>
      <w:r>
        <w:rPr>
          <w:rFonts w:ascii="Arial" w:cs="Arial" w:eastAsia="Arial" w:hAnsi="Arial"/>
          <w:b w:val="false"/>
          <w:bCs w:val="false"/>
          <w:i w:val="false"/>
          <w:iCs w:val="false"/>
          <w:color w:val="15171C"/>
          <w:sz w:val="20"/>
          <w:szCs w:val="20"/>
          <w:rtl/>
        </w:rPr>
        <w:t xml:space="preserve">مصر فيها </w:t>
      </w:r>
      <w:r>
        <w:rPr>
          <w:rFonts w:ascii="Arial" w:cs="Arial" w:eastAsia="Arial" w:hAnsi="Arial"/>
          <w:b/>
          <w:bCs/>
          <w:i w:val="false"/>
          <w:iCs w:val="false"/>
          <w:color w:val="15171C"/>
          <w:sz w:val="20"/>
          <w:szCs w:val="20"/>
          <w:rtl/>
        </w:rPr>
        <w:t xml:space="preserve">حركة صفقات قوية بتذاكر صغيرة</w:t>
      </w:r>
      <w:r>
        <w:rPr>
          <w:rFonts w:ascii="Arial" w:cs="Arial" w:eastAsia="Arial" w:hAnsi="Arial"/>
          <w:b w:val="false"/>
          <w:bCs w:val="false"/>
          <w:i w:val="false"/>
          <w:iCs w:val="false"/>
          <w:color w:val="15171C"/>
          <w:sz w:val="20"/>
          <w:szCs w:val="20"/>
          <w:rtl/>
        </w:rPr>
        <w:t xml:space="preserve">، والسعودية فيها تذاكر أكبر بثمانية أضعاف. وتحمُّل الأتعاب يتبع حجم التذكرة لا عدد الصفقات. ولهذا يتسع المعامل هنا من 0.70 إلى 1.30.</w:t>
      </w:r>
    </w:p>
    <w:p>
      <w:pPr>
        <w:pStyle w:val="Heading3"/>
        <w:bidi/>
        <w:spacing w:after="100" w:before="240"/>
        <w:jc w:val="right"/>
        <w:outlineLvl w:val="2"/>
      </w:pPr>
      <w:r>
        <w:rPr>
          <w:rFonts w:ascii="Arial" w:cs="Arial" w:eastAsia="Arial" w:hAnsi="Arial"/>
          <w:b/>
          <w:bCs/>
          <w:color w:val="0F5C4A"/>
          <w:sz w:val="24"/>
          <w:szCs w:val="24"/>
          <w:rtl/>
        </w:rPr>
        <w:t xml:space="preserve">3. معامل جديد: مرحلة الشركة</w:t>
      </w:r>
    </w:p>
    <w:p>
      <w:pPr>
        <w:bidi/>
        <w:spacing w:after="120" w:before="80" w:line="300"/>
        <w:jc w:val="both"/>
      </w:pPr>
      <w:r>
        <w:rPr>
          <w:rFonts w:ascii="Arial" w:cs="Arial" w:eastAsia="Arial" w:hAnsi="Arial"/>
          <w:b w:val="false"/>
          <w:bCs w:val="false"/>
          <w:i w:val="false"/>
          <w:iCs w:val="false"/>
          <w:color w:val="15171C"/>
          <w:sz w:val="20"/>
          <w:szCs w:val="20"/>
          <w:rtl/>
        </w:rPr>
        <w:t xml:space="preserve">أهم إضافة في هذا المستند. جدول ملكية لشركة ما قبل البذرة وجدول ملكية لشركة في جولة B هما </w:t>
      </w:r>
      <w:r>
        <w:rPr>
          <w:rFonts w:ascii="Arial" w:cs="Arial" w:eastAsia="Arial" w:hAnsi="Arial"/>
          <w:b/>
          <w:bCs/>
          <w:i w:val="false"/>
          <w:iCs w:val="false"/>
          <w:color w:val="15171C"/>
          <w:sz w:val="20"/>
          <w:szCs w:val="20"/>
          <w:rtl/>
        </w:rPr>
        <w:t xml:space="preserve">الخدمة نفسها بمجهود يختلف مرتين ونصف</w:t>
      </w:r>
      <w:r>
        <w:rPr>
          <w:rFonts w:ascii="Arial" w:cs="Arial" w:eastAsia="Arial" w:hAnsi="Arial"/>
          <w:b w:val="false"/>
          <w:bCs w:val="false"/>
          <w:i w:val="false"/>
          <w:iCs w:val="false"/>
          <w:color w:val="15171C"/>
          <w:sz w:val="20"/>
          <w:szCs w:val="20"/>
          <w:rtl/>
        </w:rPr>
        <w:t xml:space="preserve">: عدد الأدوات، وعدد الجولات السابقة، وعدد الأطراف، وعمق السجلات.</w:t>
      </w:r>
    </w:p>
    <w:p>
      <w:pPr>
        <w:bidi/>
        <w:spacing w:after="120" w:before="80" w:line="300"/>
        <w:jc w:val="both"/>
      </w:pPr>
      <w:r>
        <w:rPr>
          <w:rFonts w:ascii="Arial" w:cs="Arial" w:eastAsia="Arial" w:hAnsi="Arial"/>
          <w:b w:val="false"/>
          <w:bCs w:val="false"/>
          <w:i w:val="false"/>
          <w:iCs w:val="false"/>
          <w:color w:val="15171C"/>
          <w:sz w:val="20"/>
          <w:szCs w:val="20"/>
          <w:rtl/>
        </w:rPr>
        <w:t xml:space="preserve">في العقار كان هذا يُستوعب داخل درجة التعقيد. وهنا يستحق محوراً مستقلاً لأنه </w:t>
      </w:r>
      <w:r>
        <w:rPr>
          <w:rFonts w:ascii="Arial" w:cs="Arial" w:eastAsia="Arial" w:hAnsi="Arial"/>
          <w:b/>
          <w:bCs/>
          <w:i w:val="false"/>
          <w:iCs w:val="false"/>
          <w:color w:val="15171C"/>
          <w:sz w:val="20"/>
          <w:szCs w:val="20"/>
          <w:rtl/>
        </w:rPr>
        <w:t xml:space="preserve">موضوعي وقابل للتوثيق</w:t>
      </w:r>
      <w:r>
        <w:rPr>
          <w:rFonts w:ascii="Arial" w:cs="Arial" w:eastAsia="Arial" w:hAnsi="Arial"/>
          <w:b w:val="false"/>
          <w:bCs w:val="false"/>
          <w:i w:val="false"/>
          <w:iCs w:val="false"/>
          <w:color w:val="15171C"/>
          <w:sz w:val="20"/>
          <w:szCs w:val="20"/>
          <w:rtl/>
        </w:rPr>
        <w:t xml:space="preserve"> — الجولة المستهدفة مذكورة في التكليف — بينما درجة التعقيد تبقى تقديرية.</w:t>
      </w:r>
    </w:p>
    <w:p>
      <w:pPr>
        <w:pStyle w:val="Heading3"/>
        <w:bidi/>
        <w:spacing w:after="100" w:before="240"/>
        <w:jc w:val="right"/>
        <w:outlineLvl w:val="2"/>
      </w:pPr>
      <w:r>
        <w:rPr>
          <w:rFonts w:ascii="Arial" w:cs="Arial" w:eastAsia="Arial" w:hAnsi="Arial"/>
          <w:b/>
          <w:bCs/>
          <w:color w:val="0F5C4A"/>
          <w:sz w:val="24"/>
          <w:szCs w:val="24"/>
          <w:rtl/>
        </w:rPr>
        <w:t xml:space="preserve">4. الوزن انتقل من التعقيد إلى المرحلة</w:t>
      </w:r>
    </w:p>
    <w:p>
      <w:pPr>
        <w:bidi/>
        <w:spacing w:after="120" w:before="80" w:line="300"/>
        <w:jc w:val="both"/>
      </w:pPr>
      <w:r>
        <w:rPr>
          <w:rFonts w:ascii="Arial" w:cs="Arial" w:eastAsia="Arial" w:hAnsi="Arial"/>
          <w:b w:val="false"/>
          <w:bCs w:val="false"/>
          <w:i w:val="false"/>
          <w:iCs w:val="false"/>
          <w:color w:val="15171C"/>
          <w:sz w:val="20"/>
          <w:szCs w:val="20"/>
          <w:rtl/>
        </w:rPr>
        <w:t xml:space="preserve">لأن المرحلة صارت معاملاً مستقلاً، ضُيِّق مدى التعقيد من 0.75–1.90 إلى </w:t>
      </w:r>
      <w:r>
        <w:rPr>
          <w:rFonts w:ascii="Arial" w:cs="Arial" w:eastAsia="Arial" w:hAnsi="Arial"/>
          <w:b/>
          <w:bCs/>
          <w:i w:val="false"/>
          <w:iCs w:val="false"/>
          <w:color w:val="15171C"/>
          <w:sz w:val="20"/>
          <w:szCs w:val="20"/>
          <w:rtl w:val="false"/>
        </w:rPr>
        <w:t xml:space="preserve">0.80–1.75</w:t>
      </w:r>
      <w:r>
        <w:rPr>
          <w:rFonts w:ascii="Arial" w:cs="Arial" w:eastAsia="Arial" w:hAnsi="Arial"/>
          <w:b w:val="false"/>
          <w:bCs w:val="false"/>
          <w:i w:val="false"/>
          <w:iCs w:val="false"/>
          <w:color w:val="15171C"/>
          <w:sz w:val="20"/>
          <w:szCs w:val="20"/>
          <w:rtl/>
        </w:rPr>
        <w:t xml:space="preserve">، حتى لا يُحتسب الأثر نفسه مرتين.</w:t>
      </w:r>
    </w:p>
    <w:p>
      <w:pPr>
        <w:pStyle w:val="Heading3"/>
        <w:bidi/>
        <w:spacing w:after="100" w:before="240"/>
        <w:jc w:val="right"/>
        <w:outlineLvl w:val="2"/>
      </w:pPr>
      <w:r>
        <w:rPr>
          <w:rFonts w:ascii="Arial" w:cs="Arial" w:eastAsia="Arial" w:hAnsi="Arial"/>
          <w:b/>
          <w:bCs/>
          <w:color w:val="0F5C4A"/>
          <w:sz w:val="24"/>
          <w:szCs w:val="24"/>
          <w:rtl/>
        </w:rPr>
        <w:t xml:space="preserve">5. المصروفات المباشرة 4% لا 5%</w:t>
      </w:r>
    </w:p>
    <w:p>
      <w:pPr>
        <w:bidi/>
        <w:spacing w:after="120" w:before="80" w:line="300"/>
        <w:jc w:val="both"/>
      </w:pPr>
      <w:r>
        <w:rPr>
          <w:rFonts w:ascii="Arial" w:cs="Arial" w:eastAsia="Arial" w:hAnsi="Arial"/>
          <w:b w:val="false"/>
          <w:bCs w:val="false"/>
          <w:i w:val="false"/>
          <w:iCs w:val="false"/>
          <w:color w:val="15171C"/>
          <w:sz w:val="20"/>
          <w:szCs w:val="20"/>
          <w:rtl/>
        </w:rPr>
        <w:t xml:space="preserve">خدمات العقار تستلزم زيارات موقعية ومسوحاً ميدانية. وهذه الخدمات تُنفَّذ من المكتب في أغلبها، وأكبر بنود مصروفاتها اشتراكات قواعد بيانات الصفقات والمقارنات.</w:t>
      </w:r>
    </w:p>
    <w:p>
      <w:pPr>
        <w:pStyle w:val="Heading3"/>
        <w:bidi/>
        <w:spacing w:after="100" w:before="240"/>
        <w:jc w:val="right"/>
        <w:outlineLvl w:val="2"/>
      </w:pPr>
      <w:r>
        <w:rPr>
          <w:rFonts w:ascii="Arial" w:cs="Arial" w:eastAsia="Arial" w:hAnsi="Arial"/>
          <w:b/>
          <w:bCs/>
          <w:color w:val="0F5C4A"/>
          <w:sz w:val="24"/>
          <w:szCs w:val="24"/>
          <w:rtl/>
        </w:rPr>
        <w:t xml:space="preserve">6. الدفعة المقدمة 50% لا 40%</w:t>
      </w:r>
    </w:p>
    <w:p>
      <w:pPr>
        <w:bidi/>
        <w:spacing w:after="120" w:before="80" w:line="300"/>
        <w:jc w:val="both"/>
      </w:pPr>
      <w:r>
        <w:rPr>
          <w:rFonts w:ascii="Arial" w:cs="Arial" w:eastAsia="Arial" w:hAnsi="Arial"/>
          <w:b w:val="false"/>
          <w:bCs w:val="false"/>
          <w:i w:val="false"/>
          <w:iCs w:val="false"/>
          <w:color w:val="15171C"/>
          <w:sz w:val="20"/>
          <w:szCs w:val="20"/>
          <w:rtl/>
        </w:rPr>
        <w:t xml:space="preserve">هذا فرق تجاري لا فني. </w:t>
      </w:r>
      <w:r>
        <w:rPr>
          <w:rFonts w:ascii="Arial" w:cs="Arial" w:eastAsia="Arial" w:hAnsi="Arial"/>
          <w:b/>
          <w:bCs/>
          <w:i w:val="false"/>
          <w:iCs w:val="false"/>
          <w:color w:val="15171C"/>
          <w:sz w:val="20"/>
          <w:szCs w:val="20"/>
          <w:rtl/>
        </w:rPr>
        <w:t xml:space="preserve">الشركة ما قبل الإيراد التي تُكلّفنا بإعداد مواد جولتها قد لا تكون قادرة على السداد إذا لم تُغلق الجولة.</w:t>
      </w:r>
      <w:r>
        <w:rPr>
          <w:rFonts w:ascii="Arial" w:cs="Arial" w:eastAsia="Arial" w:hAnsi="Arial"/>
          <w:b w:val="false"/>
          <w:bCs w:val="false"/>
          <w:i w:val="false"/>
          <w:iCs w:val="false"/>
          <w:color w:val="15171C"/>
          <w:sz w:val="20"/>
          <w:szCs w:val="20"/>
          <w:rtl/>
        </w:rPr>
        <w:t xml:space="preserve"> والعميل العقاري مطوّر قائم بتدفق نقدي؛ وعميل هذا الخط قد يكون شركة عمرها ثمانية عشر شهراً ومدرجها النقدي خمسة أشهر.</w:t>
      </w:r>
    </w:p>
    <w:p>
      <w:pPr>
        <w:pStyle w:val="Heading2"/>
        <w:pageBreakBefore/>
        <w:pBdr>
          <w:top w:val="single" w:color="15171C" w:sz="12" w:space="8"/>
        </w:pBdr>
        <w:bidi/>
        <w:spacing w:after="160" w:before="360"/>
        <w:jc w:val="right"/>
        <w:outlineLvl w:val="1"/>
      </w:pPr>
      <w:r>
        <w:rPr>
          <w:rFonts w:ascii="Arial" w:cs="Arial" w:eastAsia="Arial" w:hAnsi="Arial"/>
          <w:b/>
          <w:bCs/>
          <w:color w:val="0F5C4A"/>
          <w:sz w:val="30"/>
          <w:szCs w:val="30"/>
          <w:rtl/>
        </w:rPr>
        <w:t xml:space="preserve">جدول الأجور اليومية</w:t>
      </w:r>
    </w:p>
    <w:p>
      <w:pPr>
        <w:bidi/>
        <w:spacing w:after="120" w:before="80" w:line="300"/>
        <w:jc w:val="both"/>
      </w:pPr>
      <w:r>
        <w:rPr>
          <w:rFonts w:ascii="Arial" w:cs="Arial" w:eastAsia="Arial" w:hAnsi="Arial"/>
          <w:b w:val="false"/>
          <w:bCs w:val="false"/>
          <w:i w:val="false"/>
          <w:iCs w:val="false"/>
          <w:color w:val="15171C"/>
          <w:sz w:val="20"/>
          <w:szCs w:val="20"/>
          <w:rtl/>
        </w:rPr>
        <w:t xml:space="preserve">الأرقام أدناه هي المدخلات الوحيدة في النموذج، وكل ما عداها محسوب منها. القيم </w:t>
      </w:r>
      <w:r>
        <w:rPr>
          <w:rFonts w:ascii="Arial" w:cs="Arial" w:eastAsia="Arial" w:hAnsi="Arial"/>
          <w:b/>
          <w:bCs/>
          <w:i w:val="false"/>
          <w:iCs w:val="false"/>
          <w:color w:val="15171C"/>
          <w:sz w:val="20"/>
          <w:szCs w:val="20"/>
          <w:rtl/>
        </w:rPr>
        <w:t xml:space="preserve">بالدولار الأمريكي لليوم الواحد</w:t>
      </w:r>
      <w:r>
        <w:rPr>
          <w:rFonts w:ascii="Arial" w:cs="Arial" w:eastAsia="Arial" w:hAnsi="Arial"/>
          <w:b w:val="false"/>
          <w:bCs w:val="false"/>
          <w:i w:val="false"/>
          <w:iCs w:val="false"/>
          <w:color w:val="15171C"/>
          <w:sz w:val="20"/>
          <w:szCs w:val="20"/>
          <w:rtl w:val="false"/>
        </w:rPr>
        <w:t xml:space="preserve">.</w:t>
      </w:r>
    </w:p>
    <w:tbl>
      <w:tblPr>
        <w:bidiVisual/>
        <w:tblW w:type="dxa" w:w="9360"/>
        <w:tblBorders>
          <w:top w:val="single" w:color="D8D5CC" w:sz="4"/>
          <w:left w:val="single" w:color="D8D5CC" w:sz="4"/>
          <w:bottom w:val="single" w:color="D8D5CC" w:sz="4"/>
          <w:right w:val="single" w:color="D8D5CC" w:sz="4"/>
          <w:insideH w:val="single" w:color="EAE7E0" w:sz="2"/>
          <w:insideV w:val="single" w:color="EAE7E0" w:sz="2"/>
        </w:tblBorders>
      </w:tblPr>
      <w:tblGrid>
        <w:gridCol w:w="3437"/>
        <w:gridCol w:w="2347"/>
        <w:gridCol w:w="1732"/>
        <w:gridCol w:w="1844"/>
      </w:tblGrid>
      <w:tr>
        <w:trPr>
          <w:tblHeader/>
        </w:trPr>
        <w:tc>
          <w:tcPr>
            <w:tcW w:type="dxa" w:w="3437"/>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مستوى الفريق</w:t>
            </w:r>
          </w:p>
        </w:tc>
        <w:tc>
          <w:tcPr>
            <w:tcW w:type="dxa" w:w="2347"/>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سعر اليوم للبيع</w:t>
            </w:r>
          </w:p>
        </w:tc>
        <w:tc>
          <w:tcPr>
            <w:tcW w:type="dxa" w:w="1732"/>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تكلفة اليوم</w:t>
            </w:r>
          </w:p>
        </w:tc>
        <w:tc>
          <w:tcPr>
            <w:tcW w:type="dxa" w:w="1844"/>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هامش المستوى</w:t>
            </w:r>
          </w:p>
        </w:tc>
      </w:tr>
      <w:tr>
        <w:tc>
          <w:tcPr>
            <w:tcW w:type="dxa" w:w="343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شريك / مدير تنفيذي</w:t>
            </w:r>
          </w:p>
        </w:tc>
        <w:tc>
          <w:tcPr>
            <w:tcW w:type="dxa" w:w="2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1,600</w:t>
            </w:r>
          </w:p>
        </w:tc>
        <w:tc>
          <w:tcPr>
            <w:tcW w:type="dxa" w:w="173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625</w:t>
            </w:r>
          </w:p>
        </w:tc>
        <w:tc>
          <w:tcPr>
            <w:tcW w:type="dxa" w:w="184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61%</w:t>
            </w:r>
          </w:p>
        </w:tc>
      </w:tr>
      <w:tr>
        <w:tc>
          <w:tcPr>
            <w:tcW w:type="dxa" w:w="343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مدير تكليف</w:t>
            </w:r>
          </w:p>
        </w:tc>
        <w:tc>
          <w:tcPr>
            <w:tcW w:type="dxa" w:w="2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1,000</w:t>
            </w:r>
          </w:p>
        </w:tc>
        <w:tc>
          <w:tcPr>
            <w:tcW w:type="dxa" w:w="173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390</w:t>
            </w:r>
          </w:p>
        </w:tc>
        <w:tc>
          <w:tcPr>
            <w:tcW w:type="dxa" w:w="184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61%</w:t>
            </w:r>
          </w:p>
        </w:tc>
      </w:tr>
      <w:tr>
        <w:tc>
          <w:tcPr>
            <w:tcW w:type="dxa" w:w="343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محلل أول</w:t>
            </w:r>
          </w:p>
        </w:tc>
        <w:tc>
          <w:tcPr>
            <w:tcW w:type="dxa" w:w="2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620</w:t>
            </w:r>
          </w:p>
        </w:tc>
        <w:tc>
          <w:tcPr>
            <w:tcW w:type="dxa" w:w="173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240</w:t>
            </w:r>
          </w:p>
        </w:tc>
        <w:tc>
          <w:tcPr>
            <w:tcW w:type="dxa" w:w="184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61%</w:t>
            </w:r>
          </w:p>
        </w:tc>
      </w:tr>
      <w:tr>
        <w:tc>
          <w:tcPr>
            <w:tcW w:type="dxa" w:w="343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محلل</w:t>
            </w:r>
          </w:p>
        </w:tc>
        <w:tc>
          <w:tcPr>
            <w:tcW w:type="dxa" w:w="2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380</w:t>
            </w:r>
          </w:p>
        </w:tc>
        <w:tc>
          <w:tcPr>
            <w:tcW w:type="dxa" w:w="173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150</w:t>
            </w:r>
          </w:p>
        </w:tc>
        <w:tc>
          <w:tcPr>
            <w:tcW w:type="dxa" w:w="184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61%</w:t>
            </w:r>
          </w:p>
        </w:tc>
      </w:tr>
    </w:tbl>
    <w:p>
      <w:pPr>
        <w:spacing w:after="120"/>
      </w:pPr>
    </w:p>
    <w:p>
      <w:pPr>
        <w:bidi/>
        <w:spacing w:after="120" w:before="80" w:line="300"/>
        <w:jc w:val="both"/>
      </w:pPr>
      <w:r>
        <w:rPr>
          <w:rFonts w:ascii="Arial" w:cs="Arial" w:eastAsia="Arial" w:hAnsi="Arial"/>
          <w:b/>
          <w:bCs/>
          <w:i w:val="false"/>
          <w:iCs w:val="false"/>
          <w:color w:val="15171C"/>
          <w:sz w:val="20"/>
          <w:szCs w:val="20"/>
          <w:rtl/>
        </w:rPr>
        <w:t xml:space="preserve">تكلفة اليوم ليست الراتب مقسوماً على أيام الشهر.</w:t>
      </w:r>
      <w:r>
        <w:rPr>
          <w:rFonts w:ascii="Arial" w:cs="Arial" w:eastAsia="Arial" w:hAnsi="Arial"/>
          <w:b w:val="false"/>
          <w:bCs w:val="false"/>
          <w:i w:val="false"/>
          <w:iCs w:val="false"/>
          <w:color w:val="15171C"/>
          <w:sz w:val="20"/>
          <w:szCs w:val="20"/>
          <w:rtl/>
        </w:rPr>
        <w:t xml:space="preserve"> وإنما التكلفة السنوية الكاملة للفرد — راتباً وبدلات ونصيبه من النفقات العامة — مقسومة على </w:t>
      </w:r>
      <w:r>
        <w:rPr>
          <w:rFonts w:ascii="Arial" w:cs="Arial" w:eastAsia="Arial" w:hAnsi="Arial"/>
          <w:b/>
          <w:bCs/>
          <w:i w:val="false"/>
          <w:iCs w:val="false"/>
          <w:color w:val="15171C"/>
          <w:sz w:val="20"/>
          <w:szCs w:val="20"/>
          <w:rtl/>
        </w:rPr>
        <w:t xml:space="preserve">أيام العمل القابلة للتحميل لا على أيام السنة</w:t>
      </w:r>
      <w:r>
        <w:rPr>
          <w:rFonts w:ascii="Arial" w:cs="Arial" w:eastAsia="Arial" w:hAnsi="Arial"/>
          <w:b w:val="false"/>
          <w:bCs w:val="false"/>
          <w:i w:val="false"/>
          <w:iCs w:val="false"/>
          <w:color w:val="15171C"/>
          <w:sz w:val="20"/>
          <w:szCs w:val="20"/>
          <w:rtl/>
        </w:rPr>
        <w:t xml:space="preserve">. ونسبة التحميل الواقعية في مكتب بهذا الحجم تتراوح بين 60% و70%، أي نحو 150 إلى 175 يوماً قابلاً للتحميل في السنة. واحتساب التكلفة على 250 يوماً يعطي رقماً مضللاً بالنقص.</w:t>
      </w:r>
    </w:p>
    <w:p>
      <w:pPr>
        <w:bidi/>
        <w:spacing w:after="120" w:before="80" w:line="300"/>
        <w:jc w:val="both"/>
      </w:pPr>
      <w:r>
        <w:rPr>
          <w:rFonts w:ascii="Arial" w:cs="Arial" w:eastAsia="Arial" w:hAnsi="Arial"/>
          <w:b/>
          <w:bCs/>
          <w:i w:val="false"/>
          <w:iCs w:val="false"/>
          <w:color w:val="15171C"/>
          <w:sz w:val="20"/>
          <w:szCs w:val="20"/>
          <w:rtl/>
        </w:rPr>
        <w:t xml:space="preserve">لماذا الهامش 61% هنا مقابل 56% في العقار؟</w:t>
      </w:r>
      <w:r>
        <w:rPr>
          <w:rFonts w:ascii="Arial" w:cs="Arial" w:eastAsia="Arial" w:hAnsi="Arial"/>
          <w:b w:val="false"/>
          <w:bCs w:val="false"/>
          <w:i w:val="false"/>
          <w:iCs w:val="false"/>
          <w:color w:val="15171C"/>
          <w:sz w:val="20"/>
          <w:szCs w:val="20"/>
          <w:rtl/>
        </w:rPr>
        <w:t xml:space="preserve"> لسببين قابلين للدفاع: قاعدة التكلفة في القاهرة أدنى منها في الخليج، والأهم أن نسبة إعادة استخدام الملكية الفكرية في هذا الخط أعلى — نموذج جدول الملكية وبطاقة فحص الفرص ولوحة مؤشرات التشغيل تُبنى مرة وتُعاد معايرتها لكل عميل. ودراسة الجدوى العقارية تُبنى من الصفر في كل مرة.</w:t>
      </w:r>
    </w:p>
    <w:p>
      <w:pPr>
        <w:pStyle w:val="Heading2"/>
        <w:pageBreakBefore/>
        <w:pBdr>
          <w:top w:val="single" w:color="15171C" w:sz="12" w:space="8"/>
        </w:pBdr>
        <w:bidi/>
        <w:spacing w:after="160" w:before="360"/>
        <w:jc w:val="right"/>
        <w:outlineLvl w:val="1"/>
      </w:pPr>
      <w:r>
        <w:rPr>
          <w:rFonts w:ascii="Arial" w:cs="Arial" w:eastAsia="Arial" w:hAnsi="Arial"/>
          <w:b/>
          <w:bCs/>
          <w:color w:val="0F5C4A"/>
          <w:sz w:val="30"/>
          <w:szCs w:val="30"/>
          <w:rtl/>
        </w:rPr>
        <w:t xml:space="preserve">معاملات التسعير</w:t>
      </w:r>
    </w:p>
    <w:p>
      <w:pPr>
        <w:pStyle w:val="Heading3"/>
        <w:bidi/>
        <w:spacing w:after="100" w:before="240"/>
        <w:jc w:val="right"/>
        <w:outlineLvl w:val="2"/>
      </w:pPr>
      <w:r>
        <w:rPr>
          <w:rFonts w:ascii="Arial" w:cs="Arial" w:eastAsia="Arial" w:hAnsi="Arial"/>
          <w:b/>
          <w:bCs/>
          <w:color w:val="0F5C4A"/>
          <w:sz w:val="24"/>
          <w:szCs w:val="24"/>
          <w:rtl/>
        </w:rPr>
        <w:t xml:space="preserve">السوق</w:t>
      </w:r>
    </w:p>
    <w:tbl>
      <w:tblPr>
        <w:bidiVisual/>
        <w:tblW w:type="dxa" w:w="9360"/>
        <w:tblBorders>
          <w:top w:val="single" w:color="D8D5CC" w:sz="4"/>
          <w:left w:val="single" w:color="D8D5CC" w:sz="4"/>
          <w:bottom w:val="single" w:color="D8D5CC" w:sz="4"/>
          <w:right w:val="single" w:color="D8D5CC" w:sz="4"/>
          <w:insideH w:val="single" w:color="EAE7E0" w:sz="2"/>
          <w:insideV w:val="single" w:color="EAE7E0" w:sz="2"/>
        </w:tblBorders>
      </w:tblPr>
      <w:tblGrid>
        <w:gridCol w:w="7448"/>
        <w:gridCol w:w="1912"/>
      </w:tblGrid>
      <w:tr>
        <w:trPr>
          <w:tblHeader/>
        </w:trPr>
        <w:tc>
          <w:tcPr>
            <w:tcW w:type="dxa" w:w="7448"/>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السوق</w:t>
            </w:r>
          </w:p>
        </w:tc>
        <w:tc>
          <w:tcPr>
            <w:tcW w:type="dxa" w:w="1912"/>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المعامل</w:t>
            </w:r>
          </w:p>
        </w:tc>
      </w:tr>
      <w:tr>
        <w:tc>
          <w:tcPr>
            <w:tcW w:type="dxa" w:w="744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مصر</w:t>
            </w:r>
          </w:p>
        </w:tc>
        <w:tc>
          <w:tcPr>
            <w:tcW w:type="dxa" w:w="191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0.70</w:t>
            </w:r>
          </w:p>
        </w:tc>
      </w:tr>
      <w:tr>
        <w:tc>
          <w:tcPr>
            <w:tcW w:type="dxa" w:w="744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الأردن · المغرب · تونس</w:t>
            </w:r>
          </w:p>
        </w:tc>
        <w:tc>
          <w:tcPr>
            <w:tcW w:type="dxa" w:w="191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0.75</w:t>
            </w:r>
          </w:p>
        </w:tc>
      </w:tr>
      <w:tr>
        <w:tc>
          <w:tcPr>
            <w:tcW w:type="dxa" w:w="744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الكويت · البحرين · سلطنة عُمان</w:t>
            </w:r>
          </w:p>
        </w:tc>
        <w:tc>
          <w:tcPr>
            <w:tcW w:type="dxa" w:w="191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0.95</w:t>
            </w:r>
          </w:p>
        </w:tc>
      </w:tr>
      <w:tr>
        <w:tc>
          <w:tcPr>
            <w:tcW w:type="dxa" w:w="7448"/>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السعودية — الأساس</w:t>
            </w:r>
          </w:p>
        </w:tc>
        <w:tc>
          <w:tcPr>
            <w:tcW w:type="dxa" w:w="1912"/>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1.00</w:t>
            </w:r>
          </w:p>
        </w:tc>
      </w:tr>
      <w:tr>
        <w:tc>
          <w:tcPr>
            <w:tcW w:type="dxa" w:w="744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قطر</w:t>
            </w:r>
          </w:p>
        </w:tc>
        <w:tc>
          <w:tcPr>
            <w:tcW w:type="dxa" w:w="191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1.05</w:t>
            </w:r>
          </w:p>
        </w:tc>
      </w:tr>
      <w:tr>
        <w:tc>
          <w:tcPr>
            <w:tcW w:type="dxa" w:w="744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الإمارات</w:t>
            </w:r>
          </w:p>
        </w:tc>
        <w:tc>
          <w:tcPr>
            <w:tcW w:type="dxa" w:w="191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1.10</w:t>
            </w:r>
          </w:p>
        </w:tc>
      </w:tr>
      <w:tr>
        <w:tc>
          <w:tcPr>
            <w:tcW w:type="dxa" w:w="744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صفقة عابرة للحدود أو مستثمر عالمي</w:t>
            </w:r>
          </w:p>
        </w:tc>
        <w:tc>
          <w:tcPr>
            <w:tcW w:type="dxa" w:w="191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1.30</w:t>
            </w:r>
          </w:p>
        </w:tc>
      </w:tr>
    </w:tbl>
    <w:p>
      <w:pPr>
        <w:spacing w:after="120"/>
      </w:pPr>
    </w:p>
    <w:p>
      <w:pPr>
        <w:bidi/>
        <w:spacing w:after="120" w:before="80" w:line="300"/>
        <w:jc w:val="both"/>
      </w:pPr>
      <w:r>
        <w:rPr>
          <w:rFonts w:ascii="Arial" w:cs="Arial" w:eastAsia="Arial" w:hAnsi="Arial"/>
          <w:b w:val="false"/>
          <w:bCs w:val="false"/>
          <w:i w:val="false"/>
          <w:iCs w:val="false"/>
          <w:color w:val="15171C"/>
          <w:sz w:val="20"/>
          <w:szCs w:val="20"/>
          <w:rtl/>
        </w:rPr>
        <w:t xml:space="preserve">الأساس هو السوق السعودي، كما في منهجية التطوير العقاري، حتى تبقى المقارنة ممكنة بين خطي الخدمة داخل الشركة.</w:t>
      </w:r>
    </w:p>
    <w:p>
      <w:pPr>
        <w:pStyle w:val="Heading3"/>
        <w:bidi/>
        <w:spacing w:after="100" w:before="240"/>
        <w:jc w:val="right"/>
        <w:outlineLvl w:val="2"/>
      </w:pPr>
      <w:r>
        <w:rPr>
          <w:rFonts w:ascii="Arial" w:cs="Arial" w:eastAsia="Arial" w:hAnsi="Arial"/>
          <w:b/>
          <w:bCs/>
          <w:color w:val="0F5C4A"/>
          <w:sz w:val="24"/>
          <w:szCs w:val="24"/>
          <w:rtl/>
        </w:rPr>
        <w:t xml:space="preserve">مرحلة الشركة</w:t>
      </w:r>
    </w:p>
    <w:tbl>
      <w:tblPr>
        <w:bidiVisual/>
        <w:tblW w:type="dxa" w:w="9360"/>
        <w:tblBorders>
          <w:top w:val="single" w:color="D8D5CC" w:sz="4"/>
          <w:left w:val="single" w:color="D8D5CC" w:sz="4"/>
          <w:bottom w:val="single" w:color="D8D5CC" w:sz="4"/>
          <w:right w:val="single" w:color="D8D5CC" w:sz="4"/>
          <w:insideH w:val="single" w:color="EAE7E0" w:sz="2"/>
          <w:insideV w:val="single" w:color="EAE7E0" w:sz="2"/>
        </w:tblBorders>
      </w:tblPr>
      <w:tblGrid>
        <w:gridCol w:w="7800"/>
        <w:gridCol w:w="1560"/>
      </w:tblGrid>
      <w:tr>
        <w:trPr>
          <w:tblHeader/>
        </w:trPr>
        <w:tc>
          <w:tcPr>
            <w:tcW w:type="dxa" w:w="7800"/>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المرحلة</w:t>
            </w:r>
          </w:p>
        </w:tc>
        <w:tc>
          <w:tcPr>
            <w:tcW w:type="dxa" w:w="1560"/>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المعامل</w:t>
            </w:r>
          </w:p>
        </w:tc>
      </w:tr>
      <w:tr>
        <w:tc>
          <w:tcPr>
            <w:tcW w:type="dxa" w:w="780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ما قبل البذرة · البذرة</w:t>
            </w:r>
          </w:p>
        </w:tc>
        <w:tc>
          <w:tcPr>
            <w:tcW w:type="dxa" w:w="156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0.85</w:t>
            </w:r>
          </w:p>
        </w:tc>
      </w:tr>
      <w:tr>
        <w:tc>
          <w:tcPr>
            <w:tcW w:type="dxa" w:w="7800"/>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الجولة الأولى (Series A) — الأساس</w:t>
            </w:r>
          </w:p>
        </w:tc>
        <w:tc>
          <w:tcPr>
            <w:tcW w:type="dxa" w:w="1560"/>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1.00</w:t>
            </w:r>
          </w:p>
        </w:tc>
      </w:tr>
      <w:tr>
        <w:tc>
          <w:tcPr>
            <w:tcW w:type="dxa" w:w="780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الجولة الثانية (Series B)</w:t>
            </w:r>
          </w:p>
        </w:tc>
        <w:tc>
          <w:tcPr>
            <w:tcW w:type="dxa" w:w="156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1.25</w:t>
            </w:r>
          </w:p>
        </w:tc>
      </w:tr>
      <w:tr>
        <w:tc>
          <w:tcPr>
            <w:tcW w:type="dxa" w:w="780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الجولة الثالثة فما فوق · صندوق · صفقة استحواذ</w:t>
            </w:r>
          </w:p>
        </w:tc>
        <w:tc>
          <w:tcPr>
            <w:tcW w:type="dxa" w:w="156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1.50</w:t>
            </w:r>
          </w:p>
        </w:tc>
      </w:tr>
    </w:tbl>
    <w:p>
      <w:pPr>
        <w:spacing w:after="120"/>
      </w:pPr>
    </w:p>
    <w:p>
      <w:pPr>
        <w:pStyle w:val="Heading3"/>
        <w:bidi/>
        <w:spacing w:after="100" w:before="240"/>
        <w:jc w:val="right"/>
        <w:outlineLvl w:val="2"/>
      </w:pPr>
      <w:r>
        <w:rPr>
          <w:rFonts w:ascii="Arial" w:cs="Arial" w:eastAsia="Arial" w:hAnsi="Arial"/>
          <w:b/>
          <w:bCs/>
          <w:color w:val="0F5C4A"/>
          <w:sz w:val="24"/>
          <w:szCs w:val="24"/>
          <w:rtl/>
        </w:rPr>
        <w:t xml:space="preserve">درجة التعقيد</w:t>
      </w:r>
    </w:p>
    <w:tbl>
      <w:tblPr>
        <w:bidiVisual/>
        <w:tblW w:type="dxa" w:w="9360"/>
        <w:tblBorders>
          <w:top w:val="single" w:color="D8D5CC" w:sz="4"/>
          <w:left w:val="single" w:color="D8D5CC" w:sz="4"/>
          <w:bottom w:val="single" w:color="D8D5CC" w:sz="4"/>
          <w:right w:val="single" w:color="D8D5CC" w:sz="4"/>
          <w:insideH w:val="single" w:color="EAE7E0" w:sz="2"/>
          <w:insideV w:val="single" w:color="EAE7E0" w:sz="2"/>
        </w:tblBorders>
      </w:tblPr>
      <w:tblGrid>
        <w:gridCol w:w="5833"/>
        <w:gridCol w:w="3527"/>
      </w:tblGrid>
      <w:tr>
        <w:trPr>
          <w:tblHeader/>
        </w:trPr>
        <w:tc>
          <w:tcPr>
            <w:tcW w:type="dxa" w:w="5833"/>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الدرجة</w:t>
            </w:r>
          </w:p>
        </w:tc>
        <w:tc>
          <w:tcPr>
            <w:tcW w:type="dxa" w:w="3527"/>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المعامل</w:t>
            </w:r>
          </w:p>
        </w:tc>
      </w:tr>
      <w:tr>
        <w:tc>
          <w:tcPr>
            <w:tcW w:type="dxa" w:w="583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بسيط</w:t>
            </w:r>
          </w:p>
        </w:tc>
        <w:tc>
          <w:tcPr>
            <w:tcW w:type="dxa" w:w="352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0.80</w:t>
            </w:r>
          </w:p>
        </w:tc>
      </w:tr>
      <w:tr>
        <w:tc>
          <w:tcPr>
            <w:tcW w:type="dxa" w:w="5833"/>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قياسي — الأساس</w:t>
            </w:r>
          </w:p>
        </w:tc>
        <w:tc>
          <w:tcPr>
            <w:tcW w:type="dxa" w:w="3527"/>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1.00</w:t>
            </w:r>
          </w:p>
        </w:tc>
      </w:tr>
      <w:tr>
        <w:tc>
          <w:tcPr>
            <w:tcW w:type="dxa" w:w="583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مركّب</w:t>
            </w:r>
          </w:p>
        </w:tc>
        <w:tc>
          <w:tcPr>
            <w:tcW w:type="dxa" w:w="352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1.35</w:t>
            </w:r>
          </w:p>
        </w:tc>
      </w:tr>
      <w:tr>
        <w:tc>
          <w:tcPr>
            <w:tcW w:type="dxa" w:w="583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معقّد</w:t>
            </w:r>
          </w:p>
        </w:tc>
        <w:tc>
          <w:tcPr>
            <w:tcW w:type="dxa" w:w="352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1.75</w:t>
            </w:r>
          </w:p>
        </w:tc>
      </w:tr>
    </w:tbl>
    <w:p>
      <w:pPr>
        <w:spacing w:after="120"/>
      </w:pPr>
    </w:p>
    <w:p>
      <w:pPr>
        <w:pStyle w:val="Heading3"/>
        <w:bidi/>
        <w:spacing w:after="100" w:before="240"/>
        <w:jc w:val="right"/>
        <w:outlineLvl w:val="2"/>
      </w:pPr>
      <w:r>
        <w:rPr>
          <w:rFonts w:ascii="Arial" w:cs="Arial" w:eastAsia="Arial" w:hAnsi="Arial"/>
          <w:b/>
          <w:bCs/>
          <w:color w:val="0F5C4A"/>
          <w:sz w:val="24"/>
          <w:szCs w:val="24"/>
          <w:rtl/>
        </w:rPr>
        <w:t xml:space="preserve">الجدول الزمني</w:t>
      </w:r>
    </w:p>
    <w:tbl>
      <w:tblPr>
        <w:bidiVisual/>
        <w:tblW w:type="dxa" w:w="9360"/>
        <w:tblBorders>
          <w:top w:val="single" w:color="D8D5CC" w:sz="4"/>
          <w:left w:val="single" w:color="D8D5CC" w:sz="4"/>
          <w:bottom w:val="single" w:color="D8D5CC" w:sz="4"/>
          <w:right w:val="single" w:color="D8D5CC" w:sz="4"/>
          <w:insideH w:val="single" w:color="EAE7E0" w:sz="2"/>
          <w:insideV w:val="single" w:color="EAE7E0" w:sz="2"/>
        </w:tblBorders>
      </w:tblPr>
      <w:tblGrid>
        <w:gridCol w:w="7174"/>
        <w:gridCol w:w="2186"/>
      </w:tblGrid>
      <w:tr>
        <w:trPr>
          <w:tblHeader/>
        </w:trPr>
        <w:tc>
          <w:tcPr>
            <w:tcW w:type="dxa" w:w="7174"/>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الحالة</w:t>
            </w:r>
          </w:p>
        </w:tc>
        <w:tc>
          <w:tcPr>
            <w:tcW w:type="dxa" w:w="2186"/>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المعامل</w:t>
            </w:r>
          </w:p>
        </w:tc>
      </w:tr>
      <w:tr>
        <w:tc>
          <w:tcPr>
            <w:tcW w:type="dxa" w:w="717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جدول عادي</w:t>
            </w:r>
          </w:p>
        </w:tc>
        <w:tc>
          <w:tcPr>
            <w:tcW w:type="dxa" w:w="2186"/>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1.00</w:t>
            </w:r>
          </w:p>
        </w:tc>
      </w:tr>
      <w:tr>
        <w:tc>
          <w:tcPr>
            <w:tcW w:type="dxa" w:w="717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مستعجل — تقليص المدة 25%</w:t>
            </w:r>
          </w:p>
        </w:tc>
        <w:tc>
          <w:tcPr>
            <w:tcW w:type="dxa" w:w="2186"/>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1.25</w:t>
            </w:r>
          </w:p>
        </w:tc>
      </w:tr>
      <w:tr>
        <w:tc>
          <w:tcPr>
            <w:tcW w:type="dxa" w:w="717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عاجل — تقليص المدة 40%</w:t>
            </w:r>
          </w:p>
        </w:tc>
        <w:tc>
          <w:tcPr>
            <w:tcW w:type="dxa" w:w="2186"/>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1.50</w:t>
            </w:r>
          </w:p>
        </w:tc>
      </w:tr>
    </w:tbl>
    <w:p>
      <w:pPr>
        <w:spacing w:after="120"/>
      </w:pPr>
    </w:p>
    <w:p>
      <w:pPr>
        <w:pStyle w:val="Heading3"/>
        <w:bidi/>
        <w:spacing w:after="100" w:before="240"/>
        <w:jc w:val="right"/>
        <w:outlineLvl w:val="2"/>
      </w:pPr>
      <w:r>
        <w:rPr>
          <w:rFonts w:ascii="Arial" w:cs="Arial" w:eastAsia="Arial" w:hAnsi="Arial"/>
          <w:b/>
          <w:bCs/>
          <w:color w:val="0F5C4A"/>
          <w:sz w:val="24"/>
          <w:szCs w:val="24"/>
          <w:rtl/>
        </w:rPr>
        <w:t xml:space="preserve">لغة المخرجات</w:t>
      </w:r>
    </w:p>
    <w:tbl>
      <w:tblPr>
        <w:bidiVisual/>
        <w:tblW w:type="dxa" w:w="9360"/>
        <w:tblBorders>
          <w:top w:val="single" w:color="D8D5CC" w:sz="4"/>
          <w:left w:val="single" w:color="D8D5CC" w:sz="4"/>
          <w:bottom w:val="single" w:color="D8D5CC" w:sz="4"/>
          <w:right w:val="single" w:color="D8D5CC" w:sz="4"/>
          <w:insideH w:val="single" w:color="EAE7E0" w:sz="2"/>
          <w:insideV w:val="single" w:color="EAE7E0" w:sz="2"/>
        </w:tblBorders>
      </w:tblPr>
      <w:tblGrid>
        <w:gridCol w:w="6818"/>
        <w:gridCol w:w="2542"/>
      </w:tblGrid>
      <w:tr>
        <w:trPr>
          <w:tblHeader/>
        </w:trPr>
        <w:tc>
          <w:tcPr>
            <w:tcW w:type="dxa" w:w="6818"/>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الحالة</w:t>
            </w:r>
          </w:p>
        </w:tc>
        <w:tc>
          <w:tcPr>
            <w:tcW w:type="dxa" w:w="2542"/>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المعامل</w:t>
            </w:r>
          </w:p>
        </w:tc>
      </w:tr>
      <w:tr>
        <w:tc>
          <w:tcPr>
            <w:tcW w:type="dxa" w:w="681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لغة واحدة</w:t>
            </w:r>
          </w:p>
        </w:tc>
        <w:tc>
          <w:tcPr>
            <w:tcW w:type="dxa" w:w="254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1.00</w:t>
            </w:r>
          </w:p>
        </w:tc>
      </w:tr>
      <w:tr>
        <w:tc>
          <w:tcPr>
            <w:tcW w:type="dxa" w:w="681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نسختان عربية وإنجليزية</w:t>
            </w:r>
          </w:p>
        </w:tc>
        <w:tc>
          <w:tcPr>
            <w:tcW w:type="dxa" w:w="254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1.15</w:t>
            </w:r>
          </w:p>
        </w:tc>
      </w:tr>
    </w:tbl>
    <w:p>
      <w:pPr>
        <w:spacing w:after="120"/>
      </w:pPr>
    </w:p>
    <w:p>
      <w:pPr>
        <w:bidi/>
        <w:spacing w:after="120" w:before="80" w:line="300"/>
        <w:jc w:val="both"/>
      </w:pPr>
      <w:r>
        <w:rPr>
          <w:rFonts w:ascii="Arial" w:cs="Arial" w:eastAsia="Arial" w:hAnsi="Arial"/>
          <w:b/>
          <w:bCs/>
          <w:i w:val="false"/>
          <w:iCs w:val="false"/>
          <w:color w:val="15171C"/>
          <w:sz w:val="20"/>
          <w:szCs w:val="20"/>
          <w:rtl/>
        </w:rPr>
        <w:t xml:space="preserve">المعاملات تراكمية بالضرب.</w:t>
      </w:r>
      <w:r>
        <w:rPr>
          <w:rFonts w:ascii="Arial" w:cs="Arial" w:eastAsia="Arial" w:hAnsi="Arial"/>
          <w:b w:val="false"/>
          <w:bCs w:val="false"/>
          <w:i w:val="false"/>
          <w:iCs w:val="false"/>
          <w:color w:val="15171C"/>
          <w:sz w:val="20"/>
          <w:szCs w:val="20"/>
          <w:rtl/>
        </w:rPr>
        <w:t xml:space="preserve"> وحاصل ضربها إذا تجاوز </w:t>
      </w:r>
      <w:r>
        <w:rPr>
          <w:rFonts w:ascii="Arial" w:cs="Arial" w:eastAsia="Arial" w:hAnsi="Arial"/>
          <w:b/>
          <w:bCs/>
          <w:i w:val="false"/>
          <w:iCs w:val="false"/>
          <w:color w:val="15171C"/>
          <w:sz w:val="20"/>
          <w:szCs w:val="20"/>
          <w:rtl w:val="false"/>
        </w:rPr>
        <w:t xml:space="preserve">3.0</w:t>
      </w:r>
      <w:r>
        <w:rPr>
          <w:rFonts w:ascii="Arial" w:cs="Arial" w:eastAsia="Arial" w:hAnsi="Arial"/>
          <w:b w:val="false"/>
          <w:bCs w:val="false"/>
          <w:i w:val="false"/>
          <w:iCs w:val="false"/>
          <w:color w:val="15171C"/>
          <w:sz w:val="20"/>
          <w:szCs w:val="20"/>
          <w:rtl/>
        </w:rPr>
        <w:t xml:space="preserve"> يستوجب مراجعة قبل إصدار العرض، وإذا تجاوز </w:t>
      </w:r>
      <w:r>
        <w:rPr>
          <w:rFonts w:ascii="Arial" w:cs="Arial" w:eastAsia="Arial" w:hAnsi="Arial"/>
          <w:b/>
          <w:bCs/>
          <w:i w:val="false"/>
          <w:iCs w:val="false"/>
          <w:color w:val="15171C"/>
          <w:sz w:val="20"/>
          <w:szCs w:val="20"/>
          <w:rtl w:val="false"/>
        </w:rPr>
        <w:t xml:space="preserve">4.0</w:t>
      </w:r>
      <w:r>
        <w:rPr>
          <w:rFonts w:ascii="Arial" w:cs="Arial" w:eastAsia="Arial" w:hAnsi="Arial"/>
          <w:b w:val="false"/>
          <w:bCs w:val="false"/>
          <w:i w:val="false"/>
          <w:iCs w:val="false"/>
          <w:color w:val="15171C"/>
          <w:sz w:val="20"/>
          <w:szCs w:val="20"/>
          <w:rtl/>
        </w:rPr>
        <w:t xml:space="preserve"> فهو مرفوض — لأن التراكم عند هذا الحد يعني أن التكليف خارج نطاق ما يصلح له هذا النموذج، ويُسعَّر بأساس مختلف.</w:t>
      </w:r>
    </w:p>
    <w:p>
      <w:pPr>
        <w:pStyle w:val="Heading2"/>
        <w:pageBreakBefore/>
        <w:pBdr>
          <w:top w:val="single" w:color="15171C" w:sz="12" w:space="8"/>
        </w:pBdr>
        <w:bidi/>
        <w:spacing w:after="160" w:before="360"/>
        <w:jc w:val="right"/>
        <w:outlineLvl w:val="1"/>
      </w:pPr>
      <w:r>
        <w:rPr>
          <w:rFonts w:ascii="Arial" w:cs="Arial" w:eastAsia="Arial" w:hAnsi="Arial"/>
          <w:b/>
          <w:bCs/>
          <w:color w:val="0F5C4A"/>
          <w:sz w:val="30"/>
          <w:szCs w:val="30"/>
          <w:rtl/>
        </w:rPr>
        <w:t xml:space="preserve">معايرة درجة التعقيد</w:t>
      </w:r>
    </w:p>
    <w:p>
      <w:pPr>
        <w:bidi/>
        <w:spacing w:after="120" w:before="80" w:line="300"/>
        <w:jc w:val="both"/>
      </w:pPr>
      <w:r>
        <w:rPr>
          <w:rFonts w:ascii="Arial" w:cs="Arial" w:eastAsia="Arial" w:hAnsi="Arial"/>
          <w:b w:val="false"/>
          <w:bCs w:val="false"/>
          <w:i w:val="false"/>
          <w:iCs w:val="false"/>
          <w:color w:val="15171C"/>
          <w:sz w:val="20"/>
          <w:szCs w:val="20"/>
          <w:rtl/>
        </w:rPr>
        <w:t xml:space="preserve">درجة التعقيد أكثر المعاملات أثراً وأكثرها عرضة للتقدير الشخصي. والمقياس التالي يضبطها بمعايير تجعل شخصين مختلفين يصلان إلى التصنيف نفسه للحالة نفسها.</w:t>
      </w:r>
    </w:p>
    <w:tbl>
      <w:tblPr>
        <w:bidiVisual/>
        <w:tblW w:type="dxa" w:w="9360"/>
        <w:tblBorders>
          <w:top w:val="single" w:color="D8D5CC" w:sz="4"/>
          <w:left w:val="single" w:color="D8D5CC" w:sz="4"/>
          <w:bottom w:val="single" w:color="D8D5CC" w:sz="4"/>
          <w:right w:val="single" w:color="D8D5CC" w:sz="4"/>
          <w:insideH w:val="single" w:color="EAE7E0" w:sz="2"/>
          <w:insideV w:val="single" w:color="EAE7E0" w:sz="2"/>
        </w:tblBorders>
      </w:tblPr>
      <w:tblGrid>
        <w:gridCol w:w="1516"/>
        <w:gridCol w:w="2419"/>
        <w:gridCol w:w="2265"/>
        <w:gridCol w:w="3160"/>
      </w:tblGrid>
      <w:tr>
        <w:trPr>
          <w:tblHeader/>
        </w:trPr>
        <w:tc>
          <w:tcPr>
            <w:tcW w:type="dxa" w:w="1516"/>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×0.80 · بسيط</w:t>
            </w:r>
          </w:p>
        </w:tc>
        <w:tc>
          <w:tcPr>
            <w:tcW w:type="dxa" w:w="2419"/>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×1.00 · قياسي</w:t>
            </w:r>
          </w:p>
        </w:tc>
        <w:tc>
          <w:tcPr>
            <w:tcW w:type="dxa" w:w="2265"/>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×1.35 · مركّب</w:t>
            </w:r>
          </w:p>
        </w:tc>
        <w:tc>
          <w:tcPr>
            <w:tcW w:type="dxa" w:w="3160"/>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×1.75 · معقّد</w:t>
            </w:r>
          </w:p>
        </w:tc>
      </w:tr>
      <w:tr>
        <w:tc>
          <w:tcPr>
            <w:tcW w:type="dxa" w:w="1516"/>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كيان واحد، جدول ملكية بلا أدوات تحويل، نموذج إيراد واحد، سوق واحد، بيانات مكتملة عند البدء.</w:t>
            </w:r>
          </w:p>
        </w:tc>
        <w:tc>
          <w:tcPr>
            <w:tcW w:type="dxa" w:w="2419"/>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الحالة المرجعية التي بُنيت عليها تقديرات الأيام: كيان أو اثنان، أداة تحويل واحدة (SAFE أو سند)، نموذج إيراد رئيسي، سوق أو سوقان، بيانات متاحة جزئياً.</w:t>
            </w:r>
          </w:p>
        </w:tc>
        <w:tc>
          <w:tcPr>
            <w:tcW w:type="dxa" w:w="2265"/>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كيانات متعددة أو هيكل قابض، أدوات تحويل متعددة بسقوف وخصومات مختلفة، نموذجا إيراد أو أكثر، أسواق متعددة، بيانات تحتاج إعادة بناء من المصدر.</w:t>
            </w:r>
          </w:p>
        </w:tc>
        <w:tc>
          <w:tcPr>
            <w:tcW w:type="dxa" w:w="316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هيكل عابر للحدود أو نقل مقر إلى كايمان أو أبوظبي أو دبي، جولة سابقة متعثرة أو نزاع قائم بين المساهمين، جدول ملكية غير موثق يُعاد بناؤه من العقود، قطاع خاضع لتنظيم مالي أو صحي. </w:t>
            </w:r>
            <w:r>
              <w:rPr>
                <w:rFonts w:ascii="Arial" w:cs="Arial" w:eastAsia="Arial" w:hAnsi="Arial"/>
                <w:b/>
                <w:bCs/>
                <w:i w:val="false"/>
                <w:iCs w:val="false"/>
                <w:color w:val="15171C"/>
                <w:sz w:val="18"/>
                <w:szCs w:val="18"/>
                <w:rtl/>
              </w:rPr>
              <w:t xml:space="preserve">يستوجب موافقة الشريك.</w:t>
            </w:r>
          </w:p>
        </w:tc>
      </w:tr>
    </w:tbl>
    <w:p>
      <w:pPr>
        <w:spacing w:after="120"/>
      </w:pPr>
    </w:p>
    <w:p>
      <w:pPr>
        <w:bidi/>
        <w:spacing w:after="120" w:before="80" w:line="300"/>
        <w:jc w:val="both"/>
      </w:pPr>
      <w:r>
        <w:rPr>
          <w:rFonts w:ascii="Arial" w:cs="Arial" w:eastAsia="Arial" w:hAnsi="Arial"/>
          <w:b/>
          <w:bCs/>
          <w:i w:val="false"/>
          <w:iCs w:val="false"/>
          <w:color w:val="15171C"/>
          <w:sz w:val="20"/>
          <w:szCs w:val="20"/>
          <w:rtl/>
        </w:rPr>
        <w:t xml:space="preserve">قاعدة الحسم عند التردد.</w:t>
      </w:r>
      <w:r>
        <w:rPr>
          <w:rFonts w:ascii="Arial" w:cs="Arial" w:eastAsia="Arial" w:hAnsi="Arial"/>
          <w:b w:val="false"/>
          <w:bCs w:val="false"/>
          <w:i w:val="false"/>
          <w:iCs w:val="false"/>
          <w:color w:val="15171C"/>
          <w:sz w:val="20"/>
          <w:szCs w:val="20"/>
          <w:rtl/>
        </w:rPr>
        <w:t xml:space="preserve"> عند التردد بين درجتين تُختار الأدنى، ويُضاف بند صريح في العرض ينص على إعادة التسعير إذا ظهرت أثناء التنفيذ عوامل ترفع الدرجة. وهذا أسلم من رفع السعر ابتداءً وخسارة التكليف. والدرجة تُثبَّت في ملف العرض مع سبب اختيارها في سطر واحد.</w:t>
      </w:r>
    </w:p>
    <w:p>
      <w:pPr>
        <w:pStyle w:val="Heading3"/>
        <w:bidi/>
        <w:spacing w:after="100" w:before="240"/>
        <w:jc w:val="right"/>
        <w:outlineLvl w:val="2"/>
      </w:pPr>
      <w:r>
        <w:rPr>
          <w:rFonts w:ascii="Arial" w:cs="Arial" w:eastAsia="Arial" w:hAnsi="Arial"/>
          <w:b/>
          <w:bCs/>
          <w:color w:val="0F5C4A"/>
          <w:sz w:val="24"/>
          <w:szCs w:val="24"/>
          <w:rtl/>
        </w:rPr>
        <w:t xml:space="preserve">ما لا يدخل في درجة التعقيد</w:t>
      </w:r>
    </w:p>
    <w:p>
      <w:pPr>
        <w:pStyle w:val="ListParagraph"/>
        <w:numPr>
          <w:ilvl w:val="0"/>
          <w:numId w:val="1"/>
        </w:numPr>
        <w:bidi/>
        <w:spacing w:after="60" w:before="80" w:line="300"/>
        <w:jc w:val="both"/>
      </w:pPr>
      <w:r>
        <w:rPr>
          <w:rFonts w:ascii="Arial" w:cs="Arial" w:eastAsia="Arial" w:hAnsi="Arial"/>
          <w:b/>
          <w:bCs/>
          <w:i w:val="false"/>
          <w:iCs w:val="false"/>
          <w:color w:val="15171C"/>
          <w:sz w:val="20"/>
          <w:szCs w:val="20"/>
          <w:rtl/>
        </w:rPr>
        <w:t xml:space="preserve">حجم الجولة المستهدفة أو التقييم المطلوب لا يرفعان الدرجة بذاتهما.</w:t>
      </w:r>
      <w:r>
        <w:rPr>
          <w:rFonts w:ascii="Arial" w:cs="Arial" w:eastAsia="Arial" w:hAnsi="Arial"/>
          <w:b w:val="false"/>
          <w:bCs w:val="false"/>
          <w:i w:val="false"/>
          <w:iCs w:val="false"/>
          <w:color w:val="15171C"/>
          <w:sz w:val="20"/>
          <w:szCs w:val="20"/>
          <w:rtl/>
        </w:rPr>
        <w:t xml:space="preserve"> فنموذج مالي لجولة بعشرين مليون دولار قد يكون أبسط من نموذج لجولة بمليونين إذا كانت الأولى بنموذج إيراد واحد وسجلات منضبطة. وحجم الجولة موضعه أتعاب النجاح، لا معامل التعقيد.</w:t>
      </w:r>
    </w:p>
    <w:p>
      <w:pPr>
        <w:pStyle w:val="ListParagraph"/>
        <w:numPr>
          <w:ilvl w:val="0"/>
          <w:numId w:val="1"/>
        </w:numPr>
        <w:bidi/>
        <w:spacing w:after="60" w:before="80" w:line="300"/>
        <w:jc w:val="both"/>
      </w:pPr>
      <w:r>
        <w:rPr>
          <w:rFonts w:ascii="Arial" w:cs="Arial" w:eastAsia="Arial" w:hAnsi="Arial"/>
          <w:b/>
          <w:bCs/>
          <w:i w:val="false"/>
          <w:iCs w:val="false"/>
          <w:color w:val="15171C"/>
          <w:sz w:val="20"/>
          <w:szCs w:val="20"/>
          <w:rtl/>
        </w:rPr>
        <w:t xml:space="preserve">شهرة الشركة أو المؤسس</w:t>
      </w:r>
      <w:r>
        <w:rPr>
          <w:rFonts w:ascii="Arial" w:cs="Arial" w:eastAsia="Arial" w:hAnsi="Arial"/>
          <w:b w:val="false"/>
          <w:bCs w:val="false"/>
          <w:i w:val="false"/>
          <w:iCs w:val="false"/>
          <w:color w:val="15171C"/>
          <w:sz w:val="20"/>
          <w:szCs w:val="20"/>
          <w:rtl/>
        </w:rPr>
        <w:t xml:space="preserve"> لا ترفع الدرجة ولا تخفضها.</w:t>
      </w:r>
    </w:p>
    <w:p>
      <w:pPr>
        <w:pStyle w:val="ListParagraph"/>
        <w:numPr>
          <w:ilvl w:val="0"/>
          <w:numId w:val="1"/>
        </w:numPr>
        <w:bidi/>
        <w:spacing w:after="60" w:before="80" w:line="300"/>
        <w:jc w:val="both"/>
      </w:pPr>
      <w:r>
        <w:rPr>
          <w:rFonts w:ascii="Arial" w:cs="Arial" w:eastAsia="Arial" w:hAnsi="Arial"/>
          <w:b/>
          <w:bCs/>
          <w:i w:val="false"/>
          <w:iCs w:val="false"/>
          <w:color w:val="15171C"/>
          <w:sz w:val="20"/>
          <w:szCs w:val="20"/>
          <w:rtl/>
        </w:rPr>
        <w:t xml:space="preserve">قِدَم العلاقة بالعميل لا يخفض الدرجة.</w:t>
      </w:r>
      <w:r>
        <w:rPr>
          <w:rFonts w:ascii="Arial" w:cs="Arial" w:eastAsia="Arial" w:hAnsi="Arial"/>
          <w:b w:val="false"/>
          <w:bCs w:val="false"/>
          <w:i w:val="false"/>
          <w:iCs w:val="false"/>
          <w:color w:val="15171C"/>
          <w:sz w:val="20"/>
          <w:szCs w:val="20"/>
          <w:rtl/>
        </w:rPr>
        <w:t xml:space="preserve"> فالخصم أداة تجارية موضعها قواعد التفاوض، وخلطهما يفسد معايرة النموذج.</w:t>
      </w:r>
    </w:p>
    <w:p>
      <w:pPr>
        <w:pStyle w:val="ListParagraph"/>
        <w:numPr>
          <w:ilvl w:val="0"/>
          <w:numId w:val="1"/>
        </w:numPr>
        <w:bidi/>
        <w:spacing w:after="60" w:before="80" w:line="300"/>
        <w:jc w:val="both"/>
      </w:pPr>
      <w:r>
        <w:rPr>
          <w:rFonts w:ascii="Arial" w:cs="Arial" w:eastAsia="Arial" w:hAnsi="Arial"/>
          <w:b/>
          <w:bCs/>
          <w:i w:val="false"/>
          <w:iCs w:val="false"/>
          <w:color w:val="15171C"/>
          <w:sz w:val="20"/>
          <w:szCs w:val="20"/>
          <w:rtl/>
        </w:rPr>
        <w:t xml:space="preserve">صعوبة السوق التمويلي ليست تعقيداً.</w:t>
      </w:r>
      <w:r>
        <w:rPr>
          <w:rFonts w:ascii="Arial" w:cs="Arial" w:eastAsia="Arial" w:hAnsi="Arial"/>
          <w:b w:val="false"/>
          <w:bCs w:val="false"/>
          <w:i w:val="false"/>
          <w:iCs w:val="false"/>
          <w:color w:val="15171C"/>
          <w:sz w:val="20"/>
          <w:szCs w:val="20"/>
          <w:rtl/>
        </w:rPr>
        <w:t xml:space="preserve"> الجولة التي تُفتح في سوق متحفظ تحتاج جهد تواصل أطول، لكن العمل التحليلي نفسه لم يتغير. وهذه مخاطرة في النتيجة لا في العمل، وموضعها أتعاب النجاح ومدة التكليف — لا معامل التعقيد.</w:t>
      </w:r>
    </w:p>
    <w:p>
      <w:pPr>
        <w:pStyle w:val="Heading2"/>
        <w:pageBreakBefore/>
        <w:pBdr>
          <w:top w:val="single" w:color="15171C" w:sz="12" w:space="8"/>
        </w:pBdr>
        <w:bidi/>
        <w:spacing w:after="160" w:before="360"/>
        <w:jc w:val="right"/>
        <w:outlineLvl w:val="1"/>
      </w:pPr>
      <w:r>
        <w:rPr>
          <w:rFonts w:ascii="Arial" w:cs="Arial" w:eastAsia="Arial" w:hAnsi="Arial"/>
          <w:b/>
          <w:bCs/>
          <w:color w:val="0F5C4A"/>
          <w:sz w:val="30"/>
          <w:szCs w:val="30"/>
          <w:rtl/>
        </w:rPr>
        <w:t xml:space="preserve">المثال المحسوب</w:t>
      </w:r>
    </w:p>
    <w:p>
      <w:pPr>
        <w:bidi/>
        <w:spacing w:after="120" w:before="80" w:line="300"/>
        <w:jc w:val="both"/>
      </w:pPr>
      <w:r>
        <w:rPr>
          <w:rFonts w:ascii="Arial" w:cs="Arial" w:eastAsia="Arial" w:hAnsi="Arial"/>
          <w:b/>
          <w:bCs/>
          <w:i w:val="false"/>
          <w:iCs w:val="false"/>
          <w:color w:val="15171C"/>
          <w:sz w:val="20"/>
          <w:szCs w:val="20"/>
          <w:rtl/>
        </w:rPr>
        <w:t xml:space="preserve">النموذج المالي للشركات الناشئة (02.1)</w:t>
      </w:r>
      <w:r>
        <w:rPr>
          <w:rFonts w:ascii="Arial" w:cs="Arial" w:eastAsia="Arial" w:hAnsi="Arial"/>
          <w:b w:val="false"/>
          <w:bCs w:val="false"/>
          <w:i w:val="false"/>
          <w:iCs w:val="false"/>
          <w:color w:val="15171C"/>
          <w:sz w:val="20"/>
          <w:szCs w:val="20"/>
          <w:rtl/>
        </w:rPr>
        <w:t xml:space="preserve"> — درجة تعقيد قياسية، السوق السعودي، جولة أولى، لغة واحدة، جدول زمني عادي.</w:t>
      </w:r>
    </w:p>
    <w:p>
      <w:pPr>
        <w:pStyle w:val="Heading3"/>
        <w:bidi/>
        <w:spacing w:after="100" w:before="240"/>
        <w:jc w:val="right"/>
        <w:outlineLvl w:val="2"/>
      </w:pPr>
      <w:r>
        <w:rPr>
          <w:rFonts w:ascii="Arial" w:cs="Arial" w:eastAsia="Arial" w:hAnsi="Arial"/>
          <w:b/>
          <w:bCs/>
          <w:color w:val="0F5C4A"/>
          <w:sz w:val="24"/>
          <w:szCs w:val="24"/>
          <w:rtl/>
        </w:rPr>
        <w:t xml:space="preserve">توزيع أيام العمل</w:t>
      </w:r>
    </w:p>
    <w:tbl>
      <w:tblPr>
        <w:bidiVisual/>
        <w:tblW w:type="dxa" w:w="9360"/>
        <w:tblBorders>
          <w:top w:val="single" w:color="D8D5CC" w:sz="4"/>
          <w:left w:val="single" w:color="D8D5CC" w:sz="4"/>
          <w:bottom w:val="single" w:color="D8D5CC" w:sz="4"/>
          <w:right w:val="single" w:color="D8D5CC" w:sz="4"/>
          <w:insideH w:val="single" w:color="EAE7E0" w:sz="2"/>
          <w:insideV w:val="single" w:color="EAE7E0" w:sz="2"/>
        </w:tblBorders>
      </w:tblPr>
      <w:tblGrid>
        <w:gridCol w:w="6309"/>
        <w:gridCol w:w="3051"/>
      </w:tblGrid>
      <w:tr>
        <w:trPr>
          <w:tblHeader/>
        </w:trPr>
        <w:tc>
          <w:tcPr>
            <w:tcW w:type="dxa" w:w="6309"/>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المستوى</w:t>
            </w:r>
          </w:p>
        </w:tc>
        <w:tc>
          <w:tcPr>
            <w:tcW w:type="dxa" w:w="3051"/>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الأيام</w:t>
            </w:r>
          </w:p>
        </w:tc>
      </w:tr>
      <w:tr>
        <w:tc>
          <w:tcPr>
            <w:tcW w:type="dxa" w:w="6309"/>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شريك / مدير تنفيذي</w:t>
            </w:r>
          </w:p>
        </w:tc>
        <w:tc>
          <w:tcPr>
            <w:tcW w:type="dxa" w:w="3051"/>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1.5</w:t>
            </w:r>
          </w:p>
        </w:tc>
      </w:tr>
      <w:tr>
        <w:tc>
          <w:tcPr>
            <w:tcW w:type="dxa" w:w="6309"/>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مدير تكليف</w:t>
            </w:r>
          </w:p>
        </w:tc>
        <w:tc>
          <w:tcPr>
            <w:tcW w:type="dxa" w:w="3051"/>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4</w:t>
            </w:r>
          </w:p>
        </w:tc>
      </w:tr>
      <w:tr>
        <w:tc>
          <w:tcPr>
            <w:tcW w:type="dxa" w:w="6309"/>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محلل أول</w:t>
            </w:r>
          </w:p>
        </w:tc>
        <w:tc>
          <w:tcPr>
            <w:tcW w:type="dxa" w:w="3051"/>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8</w:t>
            </w:r>
          </w:p>
        </w:tc>
      </w:tr>
      <w:tr>
        <w:tc>
          <w:tcPr>
            <w:tcW w:type="dxa" w:w="6309"/>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محلل</w:t>
            </w:r>
          </w:p>
        </w:tc>
        <w:tc>
          <w:tcPr>
            <w:tcW w:type="dxa" w:w="3051"/>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2.5</w:t>
            </w:r>
          </w:p>
        </w:tc>
      </w:tr>
      <w:tr>
        <w:tc>
          <w:tcPr>
            <w:tcW w:type="dxa" w:w="6309"/>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الإجمالي</w:t>
            </w:r>
          </w:p>
        </w:tc>
        <w:tc>
          <w:tcPr>
            <w:tcW w:type="dxa" w:w="3051"/>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16 يوم عمل</w:t>
            </w:r>
          </w:p>
        </w:tc>
      </w:tr>
    </w:tbl>
    <w:p>
      <w:pPr>
        <w:spacing w:after="120"/>
      </w:pPr>
    </w:p>
    <w:p>
      <w:pPr>
        <w:pStyle w:val="Heading3"/>
        <w:bidi/>
        <w:spacing w:after="100" w:before="240"/>
        <w:jc w:val="right"/>
        <w:outlineLvl w:val="2"/>
      </w:pPr>
      <w:r>
        <w:rPr>
          <w:rFonts w:ascii="Arial" w:cs="Arial" w:eastAsia="Arial" w:hAnsi="Arial"/>
          <w:b/>
          <w:bCs/>
          <w:color w:val="0F5C4A"/>
          <w:sz w:val="24"/>
          <w:szCs w:val="24"/>
          <w:rtl/>
        </w:rPr>
        <w:t xml:space="preserve">احتساب الأتعاب</w:t>
      </w:r>
    </w:p>
    <w:tbl>
      <w:tblPr>
        <w:bidiVisual/>
        <w:tblW w:type="dxa" w:w="9360"/>
        <w:tblBorders>
          <w:top w:val="single" w:color="D8D5CC" w:sz="4"/>
          <w:left w:val="single" w:color="D8D5CC" w:sz="4"/>
          <w:bottom w:val="single" w:color="D8D5CC" w:sz="4"/>
          <w:right w:val="single" w:color="D8D5CC" w:sz="4"/>
          <w:insideH w:val="single" w:color="EAE7E0" w:sz="2"/>
          <w:insideV w:val="single" w:color="EAE7E0" w:sz="2"/>
        </w:tblBorders>
      </w:tblPr>
      <w:tblGrid>
        <w:gridCol w:w="4612"/>
        <w:gridCol w:w="2607"/>
        <w:gridCol w:w="2141"/>
      </w:tblGrid>
      <w:tr>
        <w:trPr>
          <w:tblHeader/>
        </w:trPr>
        <w:tc>
          <w:tcPr>
            <w:tcW w:type="dxa" w:w="4612"/>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البند</w:t>
            </w:r>
          </w:p>
        </w:tc>
        <w:tc>
          <w:tcPr>
            <w:tcW w:type="dxa" w:w="2607"/>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الأساس</w:t>
            </w:r>
          </w:p>
        </w:tc>
        <w:tc>
          <w:tcPr>
            <w:tcW w:type="dxa" w:w="2141"/>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القيمة (دولار)</w:t>
            </w:r>
          </w:p>
        </w:tc>
      </w:tr>
      <w:tr>
        <w:tc>
          <w:tcPr>
            <w:tcW w:type="dxa" w:w="461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شريك / مدير تنفيذي</w:t>
            </w:r>
          </w:p>
        </w:tc>
        <w:tc>
          <w:tcPr>
            <w:tcW w:type="dxa" w:w="260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1.5 × 1,600</w:t>
            </w:r>
          </w:p>
        </w:tc>
        <w:tc>
          <w:tcPr>
            <w:tcW w:type="dxa" w:w="2141"/>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2,400</w:t>
            </w:r>
          </w:p>
        </w:tc>
      </w:tr>
      <w:tr>
        <w:tc>
          <w:tcPr>
            <w:tcW w:type="dxa" w:w="461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مدير تكليف</w:t>
            </w:r>
          </w:p>
        </w:tc>
        <w:tc>
          <w:tcPr>
            <w:tcW w:type="dxa" w:w="260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4 × 1,000</w:t>
            </w:r>
          </w:p>
        </w:tc>
        <w:tc>
          <w:tcPr>
            <w:tcW w:type="dxa" w:w="2141"/>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4,000</w:t>
            </w:r>
          </w:p>
        </w:tc>
      </w:tr>
      <w:tr>
        <w:tc>
          <w:tcPr>
            <w:tcW w:type="dxa" w:w="461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محلل أول</w:t>
            </w:r>
          </w:p>
        </w:tc>
        <w:tc>
          <w:tcPr>
            <w:tcW w:type="dxa" w:w="260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8 × 620</w:t>
            </w:r>
          </w:p>
        </w:tc>
        <w:tc>
          <w:tcPr>
            <w:tcW w:type="dxa" w:w="2141"/>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4,960</w:t>
            </w:r>
          </w:p>
        </w:tc>
      </w:tr>
      <w:tr>
        <w:tc>
          <w:tcPr>
            <w:tcW w:type="dxa" w:w="461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محلل</w:t>
            </w:r>
          </w:p>
        </w:tc>
        <w:tc>
          <w:tcPr>
            <w:tcW w:type="dxa" w:w="260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2.5 × 380</w:t>
            </w:r>
          </w:p>
        </w:tc>
        <w:tc>
          <w:tcPr>
            <w:tcW w:type="dxa" w:w="2141"/>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950</w:t>
            </w:r>
          </w:p>
        </w:tc>
      </w:tr>
      <w:tr>
        <w:tc>
          <w:tcPr>
            <w:tcW w:type="dxa" w:w="4612"/>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الأتعاب المهنية</w:t>
            </w:r>
          </w:p>
        </w:tc>
        <w:tc>
          <w:tcPr>
            <w:tcW w:type="dxa" w:w="2607"/>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c>
          <w:tcPr>
            <w:tcW w:type="dxa" w:w="2141"/>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12,310</w:t>
            </w:r>
          </w:p>
        </w:tc>
      </w:tr>
      <w:tr>
        <w:tc>
          <w:tcPr>
            <w:tcW w:type="dxa" w:w="461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المصروفات المباشرة التقديرية</w:t>
            </w:r>
          </w:p>
        </w:tc>
        <w:tc>
          <w:tcPr>
            <w:tcW w:type="dxa" w:w="260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4%</w:t>
            </w:r>
          </w:p>
        </w:tc>
        <w:tc>
          <w:tcPr>
            <w:tcW w:type="dxa" w:w="2141"/>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492</w:t>
            </w:r>
          </w:p>
        </w:tc>
      </w:tr>
      <w:tr>
        <w:tc>
          <w:tcPr>
            <w:tcW w:type="dxa" w:w="4612"/>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إجمالي قيمة التكليف</w:t>
            </w:r>
          </w:p>
        </w:tc>
        <w:tc>
          <w:tcPr>
            <w:tcW w:type="dxa" w:w="260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المدة 3–4 أسابيع</w:t>
            </w:r>
          </w:p>
        </w:tc>
        <w:tc>
          <w:tcPr>
            <w:tcW w:type="dxa" w:w="2141"/>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12,802</w:t>
            </w:r>
          </w:p>
        </w:tc>
      </w:tr>
    </w:tbl>
    <w:p>
      <w:pPr>
        <w:spacing w:after="120"/>
      </w:pPr>
    </w:p>
    <w:p>
      <w:pPr>
        <w:pStyle w:val="Heading3"/>
        <w:bidi/>
        <w:spacing w:after="100" w:before="240"/>
        <w:jc w:val="right"/>
        <w:outlineLvl w:val="2"/>
      </w:pPr>
      <w:r>
        <w:rPr>
          <w:rFonts w:ascii="Arial" w:cs="Arial" w:eastAsia="Arial" w:hAnsi="Arial"/>
          <w:b/>
          <w:bCs/>
          <w:color w:val="0F5C4A"/>
          <w:sz w:val="24"/>
          <w:szCs w:val="24"/>
          <w:rtl/>
        </w:rPr>
        <w:t xml:space="preserve">التحقق من الهامش</w:t>
      </w:r>
    </w:p>
    <w:tbl>
      <w:tblPr>
        <w:bidiVisual/>
        <w:tblW w:type="dxa" w:w="9360"/>
        <w:tblBorders>
          <w:top w:val="single" w:color="D8D5CC" w:sz="4"/>
          <w:left w:val="single" w:color="D8D5CC" w:sz="4"/>
          <w:bottom w:val="single" w:color="D8D5CC" w:sz="4"/>
          <w:right w:val="single" w:color="D8D5CC" w:sz="4"/>
          <w:insideH w:val="single" w:color="EAE7E0" w:sz="2"/>
          <w:insideV w:val="single" w:color="EAE7E0" w:sz="2"/>
        </w:tblBorders>
      </w:tblPr>
      <w:tblGrid>
        <w:gridCol w:w="6828"/>
        <w:gridCol w:w="2532"/>
      </w:tblGrid>
      <w:tr>
        <w:trPr>
          <w:tblHeader/>
        </w:trPr>
        <w:tc>
          <w:tcPr>
            <w:tcW w:type="dxa" w:w="6828"/>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البند</w:t>
            </w:r>
          </w:p>
        </w:tc>
        <w:tc>
          <w:tcPr>
            <w:tcW w:type="dxa" w:w="2532"/>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القيمة</w:t>
            </w:r>
          </w:p>
        </w:tc>
      </w:tr>
      <w:tr>
        <w:tc>
          <w:tcPr>
            <w:tcW w:type="dxa" w:w="682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التكلفة المباشرة</w:t>
            </w:r>
          </w:p>
        </w:tc>
        <w:tc>
          <w:tcPr>
            <w:tcW w:type="dxa" w:w="253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4,793</w:t>
            </w:r>
          </w:p>
        </w:tc>
      </w:tr>
      <w:tr>
        <w:tc>
          <w:tcPr>
            <w:tcW w:type="dxa" w:w="682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غير مباشرة (18%)</w:t>
            </w:r>
          </w:p>
        </w:tc>
        <w:tc>
          <w:tcPr>
            <w:tcW w:type="dxa" w:w="253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863</w:t>
            </w:r>
          </w:p>
        </w:tc>
      </w:tr>
      <w:tr>
        <w:tc>
          <w:tcPr>
            <w:tcW w:type="dxa" w:w="682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إجمالي التكلفة</w:t>
            </w:r>
          </w:p>
        </w:tc>
        <w:tc>
          <w:tcPr>
            <w:tcW w:type="dxa" w:w="253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5,656</w:t>
            </w:r>
          </w:p>
        </w:tc>
      </w:tr>
      <w:tr>
        <w:tc>
          <w:tcPr>
            <w:tcW w:type="dxa" w:w="6828"/>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الهامش المتحقق</w:t>
            </w:r>
          </w:p>
        </w:tc>
        <w:tc>
          <w:tcPr>
            <w:tcW w:type="dxa" w:w="2532"/>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54.1%</w:t>
            </w:r>
          </w:p>
        </w:tc>
      </w:tr>
    </w:tbl>
    <w:p>
      <w:pPr>
        <w:spacing w:after="120"/>
      </w:pPr>
    </w:p>
    <w:p>
      <w:pPr>
        <w:bidi/>
        <w:spacing w:after="120" w:before="80" w:line="300"/>
        <w:jc w:val="both"/>
      </w:pPr>
      <w:r>
        <w:rPr>
          <w:rFonts w:ascii="Arial" w:cs="Arial" w:eastAsia="Arial" w:hAnsi="Arial"/>
          <w:b/>
          <w:bCs/>
          <w:i w:val="false"/>
          <w:iCs w:val="false"/>
          <w:color w:val="15171C"/>
          <w:sz w:val="20"/>
          <w:szCs w:val="20"/>
          <w:rtl/>
        </w:rPr>
        <w:t xml:space="preserve">القراءة.</w:t>
      </w:r>
      <w:r>
        <w:rPr>
          <w:rFonts w:ascii="Arial" w:cs="Arial" w:eastAsia="Arial" w:hAnsi="Arial"/>
          <w:b w:val="false"/>
          <w:bCs w:val="false"/>
          <w:i w:val="false"/>
          <w:iCs w:val="false"/>
          <w:color w:val="15171C"/>
          <w:sz w:val="20"/>
          <w:szCs w:val="20"/>
          <w:rtl/>
        </w:rPr>
        <w:t xml:space="preserve"> الهامش المتحقق 54.1% مقابل مستهدف </w:t>
      </w:r>
      <w:r>
        <w:rPr>
          <w:rFonts w:ascii="Arial" w:cs="Arial" w:eastAsia="Arial" w:hAnsi="Arial"/>
          <w:b/>
          <w:bCs/>
          <w:i w:val="false"/>
          <w:iCs w:val="false"/>
          <w:color w:val="15171C"/>
          <w:sz w:val="20"/>
          <w:szCs w:val="20"/>
          <w:rtl w:val="false"/>
        </w:rPr>
        <w:t xml:space="preserve">50%</w:t>
      </w:r>
      <w:r>
        <w:rPr>
          <w:rFonts w:ascii="Arial" w:cs="Arial" w:eastAsia="Arial" w:hAnsi="Arial"/>
          <w:b w:val="false"/>
          <w:bCs w:val="false"/>
          <w:i w:val="false"/>
          <w:iCs w:val="false"/>
          <w:color w:val="15171C"/>
          <w:sz w:val="20"/>
          <w:szCs w:val="20"/>
          <w:rtl/>
        </w:rPr>
        <w:t xml:space="preserve">، أي فارق 4.1 نقطة لصالح الشركة. والفارق في هذا الحد صحي ويترك مساحة للتفاوض. واتساعه عن خمس نقاط يعني أن تكلفة اليوم مقدَّرة بأقل من الواقع وتحتاج مراجعة.</w:t>
      </w:r>
    </w:p>
    <w:p>
      <w:pPr>
        <w:bidi/>
        <w:spacing w:after="120" w:before="80" w:line="300"/>
        <w:jc w:val="both"/>
      </w:pPr>
      <w:r>
        <w:rPr>
          <w:rFonts w:ascii="Arial" w:cs="Arial" w:eastAsia="Arial" w:hAnsi="Arial"/>
          <w:b w:val="false"/>
          <w:bCs w:val="false"/>
          <w:i/>
          <w:iCs/>
          <w:color w:val="4A4F5A"/>
          <w:sz w:val="20"/>
          <w:szCs w:val="20"/>
          <w:rtl/>
        </w:rPr>
        <w:t xml:space="preserve">(المستهدف هنا 50% مقابل 45% في خط العقار، للسببين المذكورين في جدول الأجور: قاعدة تكلفة أدنى، وإعادة استخدام أعلى للأدوات.)</w:t>
      </w:r>
    </w:p>
    <w:p>
      <w:pPr>
        <w:pStyle w:val="Heading2"/>
        <w:pageBreakBefore/>
        <w:pBdr>
          <w:top w:val="single" w:color="15171C" w:sz="12" w:space="8"/>
        </w:pBdr>
        <w:bidi/>
        <w:spacing w:after="160" w:before="360"/>
        <w:jc w:val="right"/>
        <w:outlineLvl w:val="1"/>
      </w:pPr>
      <w:r>
        <w:rPr>
          <w:rFonts w:ascii="Arial" w:cs="Arial" w:eastAsia="Arial" w:hAnsi="Arial"/>
          <w:b/>
          <w:bCs/>
          <w:color w:val="0F5C4A"/>
          <w:sz w:val="30"/>
          <w:szCs w:val="30"/>
          <w:rtl/>
        </w:rPr>
        <w:t xml:space="preserve">أيام العمل والمدد والأتعاب — الخدمات الأربع والعشرون</w:t>
      </w:r>
    </w:p>
    <w:p>
      <w:pPr>
        <w:bidi/>
        <w:spacing w:after="120" w:before="80" w:line="300"/>
        <w:jc w:val="both"/>
      </w:pPr>
      <w:r>
        <w:rPr>
          <w:rFonts w:ascii="Arial" w:cs="Arial" w:eastAsia="Arial" w:hAnsi="Arial"/>
          <w:b w:val="false"/>
          <w:bCs w:val="false"/>
          <w:i w:val="false"/>
          <w:iCs w:val="false"/>
          <w:color w:val="15171C"/>
          <w:sz w:val="20"/>
          <w:szCs w:val="20"/>
          <w:rtl/>
        </w:rPr>
        <w:t xml:space="preserve">عند درجة تعقيد قياسية، جولة أولى، والسوق السعودي كأساس. الأيام بأيام العمل الفعلية لا التقويمية، </w:t>
      </w:r>
      <w:r>
        <w:rPr>
          <w:rFonts w:ascii="Arial" w:cs="Arial" w:eastAsia="Arial" w:hAnsi="Arial"/>
          <w:b/>
          <w:bCs/>
          <w:i w:val="false"/>
          <w:iCs w:val="false"/>
          <w:color w:val="15171C"/>
          <w:sz w:val="20"/>
          <w:szCs w:val="20"/>
          <w:rtl/>
        </w:rPr>
        <w:t xml:space="preserve">والمدة تبدأ من تاريخ استيفاء مدخلات العميل لا من تاريخ التوقيع.</w:t>
      </w:r>
    </w:p>
    <w:tbl>
      <w:tblPr>
        <w:bidiVisual/>
        <w:tblW w:type="dxa" w:w="9360"/>
        <w:tblBorders>
          <w:top w:val="single" w:color="D8D5CC" w:sz="4"/>
          <w:left w:val="single" w:color="D8D5CC" w:sz="4"/>
          <w:bottom w:val="single" w:color="D8D5CC" w:sz="4"/>
          <w:right w:val="single" w:color="D8D5CC" w:sz="4"/>
          <w:insideH w:val="single" w:color="EAE7E0" w:sz="2"/>
          <w:insideV w:val="single" w:color="EAE7E0" w:sz="2"/>
        </w:tblBorders>
      </w:tblPr>
      <w:tblGrid>
        <w:gridCol w:w="624"/>
        <w:gridCol w:w="5347"/>
        <w:gridCol w:w="624"/>
        <w:gridCol w:w="892"/>
        <w:gridCol w:w="1873"/>
      </w:tblGrid>
      <w:tr>
        <w:trPr>
          <w:tblHeader/>
        </w:trPr>
        <w:tc>
          <w:tcPr>
            <w:tcW w:type="dxa" w:w="624"/>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الكود</w:t>
            </w:r>
          </w:p>
        </w:tc>
        <w:tc>
          <w:tcPr>
            <w:tcW w:type="dxa" w:w="5347"/>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الخدمة</w:t>
            </w:r>
          </w:p>
        </w:tc>
        <w:tc>
          <w:tcPr>
            <w:tcW w:type="dxa" w:w="624"/>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أيام العمل</w:t>
            </w:r>
          </w:p>
        </w:tc>
        <w:tc>
          <w:tcPr>
            <w:tcW w:type="dxa" w:w="892"/>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المدة (أسبوع)</w:t>
            </w:r>
          </w:p>
        </w:tc>
        <w:tc>
          <w:tcPr>
            <w:tcW w:type="dxa" w:w="1873"/>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الأتعاب القياسية ($)</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01 · تقييم الفرصة والسوق</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c>
          <w:tcPr>
            <w:tcW w:type="dxa" w:w="892"/>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c>
          <w:tcPr>
            <w:tcW w:type="dxa" w:w="1873"/>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01.1</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دراسة السوق وتحجيم الفرصة</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14</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3–4</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10,100</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01.2</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التحليل التنافسي والتموضع</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11</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2–3</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7,800</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01.3</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دراسة جدوى المشروعات الناشئة</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19</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4–6</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14,300</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01.4</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تقييم جاهزية الاستثمار</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9</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2–3</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7,800</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02 · النمذجة المالية والتقييم</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c>
          <w:tcPr>
            <w:tcW w:type="dxa" w:w="892"/>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c>
          <w:tcPr>
            <w:tcW w:type="dxa" w:w="1873"/>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02.1</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النموذج المالي للشركات الناشئة</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16</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3–4</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12,300</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02.2</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اقتصاديات الوحدة ومؤشرات التشغيل</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11</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2–3</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8,000</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02.3</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تقييم الشركة</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11</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2–3</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9,700</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02.4</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جدول الملكية ونمذجة التخفيف</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9</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2–3</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7,800</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03 · الفحص النافي للجهالة</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c>
          <w:tcPr>
            <w:tcW w:type="dxa" w:w="892"/>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c>
          <w:tcPr>
            <w:tcW w:type="dxa" w:w="1873"/>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03.1</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الفحص التجاري والمالي</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27</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5–7</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21,100</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03.2</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مراجعة النماذج والافتراضات المقدَّمة</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10</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2–3</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8,100</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03.3</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فحص الصفقات للمستثمرين</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9</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2–3</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6,800 </w:t>
            </w:r>
            <w:r>
              <w:rPr>
                <w:rFonts w:ascii="Arial" w:cs="Arial" w:eastAsia="Arial" w:hAnsi="Arial"/>
                <w:b/>
                <w:bCs/>
                <w:i w:val="false"/>
                <w:iCs w:val="false"/>
                <w:color w:val="15171C"/>
                <w:sz w:val="18"/>
                <w:szCs w:val="18"/>
                <w:rtl/>
              </w:rPr>
              <w:t xml:space="preserve">لكل دفعة</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04 · مواد الاستثمار</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c>
          <w:tcPr>
            <w:tcW w:type="dxa" w:w="892"/>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c>
          <w:tcPr>
            <w:tcW w:type="dxa" w:w="1873"/>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04.1</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غرفة بيانات المستثمرين</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13</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3–4</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9,200</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04.2</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عرض الاستثمار</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12</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3–4</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9,300</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04.3</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مذكرة المعلومات والملخص التمهيدي</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13</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3–5</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10,400</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04.4</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صياغة سرد الاستثمار</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7</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2–3</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6,500</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05 · جمع التمويل وإغلاق الجولة</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c>
          <w:tcPr>
            <w:tcW w:type="dxa" w:w="892"/>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c>
          <w:tcPr>
            <w:tcW w:type="dxa" w:w="1873"/>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05.1</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استراتيجية جمع التمويل وخارطة الجولة</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9</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2–3</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8,400</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05.2</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استهداف المستثمرين وبناء خط الفرص</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13</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3–4</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9,200</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05.3</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إدارة عملية الجولة والتفاوض</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3–6 شهور</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9,500 شهرياً</w:t>
            </w:r>
            <w:r>
              <w:rPr>
                <w:rFonts w:ascii="Arial" w:cs="Arial" w:eastAsia="Arial" w:hAnsi="Arial"/>
                <w:b w:val="false"/>
                <w:bCs w:val="false"/>
                <w:i w:val="false"/>
                <w:iCs w:val="false"/>
                <w:color w:val="15171C"/>
                <w:sz w:val="18"/>
                <w:szCs w:val="18"/>
                <w:rtl/>
              </w:rPr>
              <w:t xml:space="preserve"> + أتعاب نجاح</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05.4</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هيكلة الأدوات والشروط</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9</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2–3</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9,100</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06 · ما بعد الإغلاق وعلاقات المستثمرين</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c>
          <w:tcPr>
            <w:tcW w:type="dxa" w:w="892"/>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c>
          <w:tcPr>
            <w:tcW w:type="dxa" w:w="1873"/>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06.1</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تقارير المستثمرين ولوحات الأداء</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12</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3–4</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8,300 + اشتراك</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06.2</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متابعة المحفظة</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14</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3–5</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9,800 + اشتراك</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07 · خدمات الصناديق وبناء القدرات</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c>
          <w:tcPr>
            <w:tcW w:type="dxa" w:w="892"/>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c>
          <w:tcPr>
            <w:tcW w:type="dxa" w:w="1873"/>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07.1</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أطروحة الصندوق ونمذجة أدائه</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17</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4–6</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14,900</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07.2</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هيكلة التجمعات الاستثمارية ومواد الشركاء المحدودين</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13</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3–4</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11,100</w:t>
            </w:r>
          </w:p>
        </w:tc>
      </w:tr>
      <w:tr>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07.3</w:t>
            </w:r>
          </w:p>
        </w:tc>
        <w:tc>
          <w:tcPr>
            <w:tcW w:type="dxa" w:w="534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برامج التدريب والإرشاد</w:t>
            </w:r>
          </w:p>
        </w:tc>
        <w:tc>
          <w:tcPr>
            <w:tcW w:type="dxa" w:w="624"/>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w:t>
            </w:r>
          </w:p>
        </w:tc>
        <w:tc>
          <w:tcPr>
            <w:tcW w:type="dxa" w:w="892"/>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w:t>
            </w:r>
          </w:p>
        </w:tc>
        <w:tc>
          <w:tcPr>
            <w:tcW w:type="dxa" w:w="1873"/>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2,800 لليوم التدريبي</w:t>
            </w:r>
          </w:p>
        </w:tc>
      </w:tr>
    </w:tbl>
    <w:p>
      <w:pPr>
        <w:spacing w:after="120"/>
      </w:pPr>
    </w:p>
    <w:p>
      <w:pPr>
        <w:bidi/>
        <w:spacing w:after="120" w:before="80" w:line="300"/>
        <w:jc w:val="both"/>
      </w:pPr>
      <w:r>
        <w:rPr>
          <w:rFonts w:ascii="Arial" w:cs="Arial" w:eastAsia="Arial" w:hAnsi="Arial"/>
          <w:b/>
          <w:bCs/>
          <w:i w:val="false"/>
          <w:iCs w:val="false"/>
          <w:color w:val="15171C"/>
          <w:sz w:val="20"/>
          <w:szCs w:val="20"/>
          <w:rtl/>
        </w:rPr>
        <w:t xml:space="preserve">تكليف الجولة الكاملة.</w:t>
      </w:r>
      <w:r>
        <w:rPr>
          <w:rFonts w:ascii="Arial" w:cs="Arial" w:eastAsia="Arial" w:hAnsi="Arial"/>
          <w:b w:val="false"/>
          <w:bCs w:val="false"/>
          <w:i w:val="false"/>
          <w:iCs w:val="false"/>
          <w:color w:val="15171C"/>
          <w:sz w:val="20"/>
          <w:szCs w:val="20"/>
          <w:rtl/>
        </w:rPr>
        <w:t xml:space="preserve"> يجمع 01.4 و02.1 و02.3 و02.4 و04.1 و04.2 و04.4 و05.1 و05.2، مع إدارة الجولة (05.3) لأربعة أشهر:</w:t>
      </w:r>
    </w:p>
    <w:tbl>
      <w:tblPr>
        <w:bidiVisual/>
        <w:tblW w:type="dxa" w:w="9360"/>
        <w:tblBorders>
          <w:top w:val="single" w:color="D8D5CC" w:sz="4"/>
          <w:left w:val="single" w:color="D8D5CC" w:sz="4"/>
          <w:bottom w:val="single" w:color="D8D5CC" w:sz="4"/>
          <w:right w:val="single" w:color="D8D5CC" w:sz="4"/>
          <w:insideH w:val="single" w:color="EAE7E0" w:sz="2"/>
          <w:insideV w:val="single" w:color="EAE7E0" w:sz="2"/>
        </w:tblBorders>
      </w:tblPr>
      <w:tblGrid>
        <w:gridCol w:w="5843"/>
        <w:gridCol w:w="3517"/>
      </w:tblGrid>
      <w:tr>
        <w:trPr>
          <w:tblHeader/>
        </w:trPr>
        <w:tc>
          <w:tcPr>
            <w:tcW w:type="dxa" w:w="5843"/>
            <w:shd w:fill="F5F4F0" w:color="auto" w:val="clear"/>
            <w:tcMar>
              <w:top w:type="dxa" w:w="70"/>
              <w:left w:type="dxa" w:w="100"/>
              <w:bottom w:type="dxa" w:w="70"/>
              <w:right w:type="dxa" w:w="100"/>
            </w:tcMar>
          </w:tcPr>
          <w:p>
            <w:pPr>
              <w:bidi/>
              <w:spacing w:after="0" w:before="0" w:line="260"/>
              <w:jc w:val="right"/>
            </w:pPr>
            <w:r>
              <w:rPr>
                <w:rFonts w:ascii="Arial" w:cs="Arial" w:eastAsia="Arial" w:hAnsi="Arial"/>
                <w:sz w:val="16"/>
                <w:szCs w:val="16"/>
              </w:rPr>
              <w:t xml:space="preserve"/>
            </w:r>
          </w:p>
        </w:tc>
        <w:tc>
          <w:tcPr>
            <w:tcW w:type="dxa" w:w="3517"/>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القيمة ($)</w:t>
            </w:r>
          </w:p>
        </w:tc>
      </w:tr>
      <w:tr>
        <w:tc>
          <w:tcPr>
            <w:tcW w:type="dxa" w:w="584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مجموع الخدمات التسع</w:t>
            </w:r>
          </w:p>
        </w:tc>
        <w:tc>
          <w:tcPr>
            <w:tcW w:type="dxa" w:w="351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80,200</w:t>
            </w:r>
          </w:p>
        </w:tc>
      </w:tr>
      <w:tr>
        <w:tc>
          <w:tcPr>
            <w:tcW w:type="dxa" w:w="584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إدارة الجولة — 4 أشهر</w:t>
            </w:r>
          </w:p>
        </w:tc>
        <w:tc>
          <w:tcPr>
            <w:tcW w:type="dxa" w:w="351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38,000</w:t>
            </w:r>
          </w:p>
        </w:tc>
      </w:tr>
      <w:tr>
        <w:tc>
          <w:tcPr>
            <w:tcW w:type="dxa" w:w="5843"/>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المجموع قبل الخصم</w:t>
            </w:r>
          </w:p>
        </w:tc>
        <w:tc>
          <w:tcPr>
            <w:tcW w:type="dxa" w:w="3517"/>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118,200</w:t>
            </w:r>
          </w:p>
        </w:tc>
      </w:tr>
      <w:tr>
        <w:tc>
          <w:tcPr>
            <w:tcW w:type="dxa" w:w="584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خصم الحزمة الكاملة (18%)</w:t>
            </w:r>
          </w:p>
        </w:tc>
        <w:tc>
          <w:tcPr>
            <w:tcW w:type="dxa" w:w="351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(21,276)</w:t>
            </w:r>
          </w:p>
        </w:tc>
      </w:tr>
      <w:tr>
        <w:tc>
          <w:tcPr>
            <w:tcW w:type="dxa" w:w="5843"/>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قيمة التكليف</w:t>
            </w:r>
          </w:p>
        </w:tc>
        <w:tc>
          <w:tcPr>
            <w:tcW w:type="dxa" w:w="3517"/>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96,924</w:t>
            </w:r>
          </w:p>
        </w:tc>
      </w:tr>
      <w:tr>
        <w:tc>
          <w:tcPr>
            <w:tcW w:type="dxa" w:w="5843"/>
            <w:tcMar>
              <w:top w:type="dxa" w:w="70"/>
              <w:left w:type="dxa" w:w="100"/>
              <w:bottom w:type="dxa" w:w="70"/>
              <w:right w:type="dxa" w:w="100"/>
            </w:tcMar>
          </w:tcPr>
          <w:p>
            <w:pPr>
              <w:bidi/>
              <w:spacing w:after="0" w:before="0" w:line="260"/>
              <w:jc w:val="right"/>
            </w:pPr>
            <w:r>
              <w:rPr>
                <w:rFonts w:ascii="Arial" w:cs="Arial" w:eastAsia="Arial" w:hAnsi="Arial"/>
                <w:sz w:val="18"/>
                <w:szCs w:val="18"/>
              </w:rPr>
              <w:t xml:space="preserve"/>
            </w:r>
          </w:p>
        </w:tc>
        <w:tc>
          <w:tcPr>
            <w:tcW w:type="dxa" w:w="3517"/>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 أتعاب النجاح</w:t>
            </w:r>
          </w:p>
        </w:tc>
      </w:tr>
    </w:tbl>
    <w:p>
      <w:pPr>
        <w:spacing w:after="120"/>
      </w:pPr>
    </w:p>
    <w:p>
      <w:pPr>
        <w:bidi/>
        <w:spacing w:after="120" w:before="80" w:line="300"/>
        <w:jc w:val="both"/>
      </w:pPr>
      <w:r>
        <w:rPr>
          <w:rFonts w:ascii="Arial" w:cs="Arial" w:eastAsia="Arial" w:hAnsi="Arial"/>
          <w:b w:val="false"/>
          <w:bCs w:val="false"/>
          <w:i w:val="false"/>
          <w:iCs w:val="false"/>
          <w:color w:val="15171C"/>
          <w:sz w:val="20"/>
          <w:szCs w:val="20"/>
          <w:rtl/>
        </w:rPr>
        <w:t xml:space="preserve">عند شركة بذرة في السوق المصري: </w:t>
      </w:r>
      <w:r>
        <w:rPr>
          <w:rFonts w:ascii="Consolas" w:cs="Consolas" w:eastAsia="Consolas" w:hAnsi="Consolas"/>
          <w:b w:val="false"/>
          <w:bCs w:val="false"/>
          <w:i w:val="false"/>
          <w:iCs w:val="false"/>
          <w:color w:val="0F5C4A"/>
          <w:sz w:val="20"/>
          <w:szCs w:val="20"/>
          <w:rtl w:val="false"/>
        </w:rPr>
        <w:t xml:space="preserve">118,200 × 0.70 × 0.85 = 70,329</w:t>
      </w:r>
      <w:r>
        <w:rPr>
          <w:rFonts w:ascii="Arial" w:cs="Arial" w:eastAsia="Arial" w:hAnsi="Arial"/>
          <w:b w:val="false"/>
          <w:bCs w:val="false"/>
          <w:i w:val="false"/>
          <w:iCs w:val="false"/>
          <w:color w:val="15171C"/>
          <w:sz w:val="20"/>
          <w:szCs w:val="20"/>
          <w:rtl/>
        </w:rPr>
        <w:t xml:space="preserve"> ثم خصم 18% = </w:t>
      </w:r>
      <w:r>
        <w:rPr>
          <w:rFonts w:ascii="Arial" w:cs="Arial" w:eastAsia="Arial" w:hAnsi="Arial"/>
          <w:b/>
          <w:bCs/>
          <w:i w:val="false"/>
          <w:iCs w:val="false"/>
          <w:color w:val="15171C"/>
          <w:sz w:val="20"/>
          <w:szCs w:val="20"/>
          <w:rtl/>
        </w:rPr>
        <w:t xml:space="preserve">57,670 دولار</w:t>
      </w:r>
      <w:r>
        <w:rPr>
          <w:rFonts w:ascii="Arial" w:cs="Arial" w:eastAsia="Arial" w:hAnsi="Arial"/>
          <w:b w:val="false"/>
          <w:bCs w:val="false"/>
          <w:i w:val="false"/>
          <w:iCs w:val="false"/>
          <w:color w:val="15171C"/>
          <w:sz w:val="20"/>
          <w:szCs w:val="20"/>
          <w:rtl w:val="false"/>
        </w:rPr>
        <w:t xml:space="preserve">.</w:t>
      </w:r>
    </w:p>
    <w:p>
      <w:pPr>
        <w:pStyle w:val="Heading2"/>
        <w:pageBreakBefore/>
        <w:pBdr>
          <w:top w:val="single" w:color="15171C" w:sz="12" w:space="8"/>
        </w:pBdr>
        <w:bidi/>
        <w:spacing w:after="160" w:before="360"/>
        <w:jc w:val="right"/>
        <w:outlineLvl w:val="1"/>
      </w:pPr>
      <w:r>
        <w:rPr>
          <w:rFonts w:ascii="Arial" w:cs="Arial" w:eastAsia="Arial" w:hAnsi="Arial"/>
          <w:b/>
          <w:bCs/>
          <w:color w:val="0F5C4A"/>
          <w:sz w:val="30"/>
          <w:szCs w:val="30"/>
          <w:rtl/>
        </w:rPr>
        <w:t xml:space="preserve">أتعاب النجاح</w:t>
      </w:r>
    </w:p>
    <w:p>
      <w:pPr>
        <w:bidi/>
        <w:spacing w:after="120" w:before="80" w:line="300"/>
        <w:jc w:val="both"/>
      </w:pPr>
      <w:r>
        <w:rPr>
          <w:rFonts w:ascii="Arial" w:cs="Arial" w:eastAsia="Arial" w:hAnsi="Arial"/>
          <w:b w:val="false"/>
          <w:bCs w:val="false"/>
          <w:i w:val="false"/>
          <w:iCs w:val="false"/>
          <w:color w:val="15171C"/>
          <w:sz w:val="20"/>
          <w:szCs w:val="20"/>
          <w:rtl/>
        </w:rPr>
        <w:t xml:space="preserve">هذا القسم لا مقابل له في منهجية العقار، وهو أهم ما يميز تسعير هذا الخط. ويخص المحور الخامس وحده.</w:t>
      </w:r>
    </w:p>
    <w:p>
      <w:pPr>
        <w:pStyle w:val="Heading3"/>
        <w:bidi/>
        <w:spacing w:after="100" w:before="240"/>
        <w:jc w:val="right"/>
        <w:outlineLvl w:val="2"/>
      </w:pPr>
      <w:r>
        <w:rPr>
          <w:rFonts w:ascii="Arial" w:cs="Arial" w:eastAsia="Arial" w:hAnsi="Arial"/>
          <w:b/>
          <w:bCs/>
          <w:color w:val="0F5C4A"/>
          <w:sz w:val="24"/>
          <w:szCs w:val="24"/>
          <w:rtl/>
        </w:rPr>
        <w:t xml:space="preserve">الجدول المتدرج</w:t>
      </w:r>
    </w:p>
    <w:p>
      <w:pPr>
        <w:bidi/>
        <w:spacing w:after="120" w:before="80" w:line="300"/>
        <w:jc w:val="both"/>
      </w:pPr>
      <w:r>
        <w:rPr>
          <w:rFonts w:ascii="Arial" w:cs="Arial" w:eastAsia="Arial" w:hAnsi="Arial"/>
          <w:b w:val="false"/>
          <w:bCs w:val="false"/>
          <w:i w:val="false"/>
          <w:iCs w:val="false"/>
          <w:color w:val="15171C"/>
          <w:sz w:val="20"/>
          <w:szCs w:val="20"/>
          <w:rtl/>
        </w:rPr>
        <w:t xml:space="preserve">النسبة تُطبَّق </w:t>
      </w:r>
      <w:r>
        <w:rPr>
          <w:rFonts w:ascii="Arial" w:cs="Arial" w:eastAsia="Arial" w:hAnsi="Arial"/>
          <w:b/>
          <w:bCs/>
          <w:i w:val="false"/>
          <w:iCs w:val="false"/>
          <w:color w:val="15171C"/>
          <w:sz w:val="20"/>
          <w:szCs w:val="20"/>
          <w:rtl/>
        </w:rPr>
        <w:t xml:space="preserve">على شرائح</w:t>
      </w:r>
      <w:r>
        <w:rPr>
          <w:rFonts w:ascii="Arial" w:cs="Arial" w:eastAsia="Arial" w:hAnsi="Arial"/>
          <w:b w:val="false"/>
          <w:bCs w:val="false"/>
          <w:i w:val="false"/>
          <w:iCs w:val="false"/>
          <w:color w:val="15171C"/>
          <w:sz w:val="20"/>
          <w:szCs w:val="20"/>
          <w:rtl/>
        </w:rPr>
        <w:t xml:space="preserve">، أي أن كل شريحة تأخذ نسبتها على الجزء الواقع داخلها فقط — لا على المبلغ كله. وبغير التدرج ينشأ حدٌّ قافز يجعل جولة بثلاثة ملايين وواحد دولار أرخص في الأتعاب من جولة بثلاثة ملايين.</w:t>
      </w:r>
    </w:p>
    <w:tbl>
      <w:tblPr>
        <w:bidiVisual/>
        <w:tblW w:type="dxa" w:w="9360"/>
        <w:tblBorders>
          <w:top w:val="single" w:color="D8D5CC" w:sz="4"/>
          <w:left w:val="single" w:color="D8D5CC" w:sz="4"/>
          <w:bottom w:val="single" w:color="D8D5CC" w:sz="4"/>
          <w:right w:val="single" w:color="D8D5CC" w:sz="4"/>
          <w:insideH w:val="single" w:color="EAE7E0" w:sz="2"/>
          <w:insideV w:val="single" w:color="EAE7E0" w:sz="2"/>
        </w:tblBorders>
      </w:tblPr>
      <w:tblGrid>
        <w:gridCol w:w="7800"/>
        <w:gridCol w:w="1560"/>
      </w:tblGrid>
      <w:tr>
        <w:trPr>
          <w:tblHeader/>
        </w:trPr>
        <w:tc>
          <w:tcPr>
            <w:tcW w:type="dxa" w:w="7800"/>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شريحة التمويل المُغلق</w:t>
            </w:r>
          </w:p>
        </w:tc>
        <w:tc>
          <w:tcPr>
            <w:tcW w:type="dxa" w:w="1560"/>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النسبة</w:t>
            </w:r>
          </w:p>
        </w:tc>
      </w:tr>
      <w:tr>
        <w:tc>
          <w:tcPr>
            <w:tcW w:type="dxa" w:w="780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حتى مليون دولار</w:t>
            </w:r>
          </w:p>
        </w:tc>
        <w:tc>
          <w:tcPr>
            <w:tcW w:type="dxa" w:w="156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6%</w:t>
            </w:r>
          </w:p>
        </w:tc>
      </w:tr>
      <w:tr>
        <w:tc>
          <w:tcPr>
            <w:tcW w:type="dxa" w:w="780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من 1 إلى 3 مليون</w:t>
            </w:r>
          </w:p>
        </w:tc>
        <w:tc>
          <w:tcPr>
            <w:tcW w:type="dxa" w:w="156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5%</w:t>
            </w:r>
          </w:p>
        </w:tc>
      </w:tr>
      <w:tr>
        <w:tc>
          <w:tcPr>
            <w:tcW w:type="dxa" w:w="780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من 3 إلى 7 مليون</w:t>
            </w:r>
          </w:p>
        </w:tc>
        <w:tc>
          <w:tcPr>
            <w:tcW w:type="dxa" w:w="156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4%</w:t>
            </w:r>
          </w:p>
        </w:tc>
      </w:tr>
      <w:tr>
        <w:tc>
          <w:tcPr>
            <w:tcW w:type="dxa" w:w="780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من 7 إلى 15 مليون</w:t>
            </w:r>
          </w:p>
        </w:tc>
        <w:tc>
          <w:tcPr>
            <w:tcW w:type="dxa" w:w="156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3%</w:t>
            </w:r>
          </w:p>
        </w:tc>
      </w:tr>
      <w:tr>
        <w:tc>
          <w:tcPr>
            <w:tcW w:type="dxa" w:w="780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ما زاد على 15 مليون</w:t>
            </w:r>
          </w:p>
        </w:tc>
        <w:tc>
          <w:tcPr>
            <w:tcW w:type="dxa" w:w="156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2%</w:t>
            </w:r>
          </w:p>
        </w:tc>
      </w:tr>
    </w:tbl>
    <w:p>
      <w:pPr>
        <w:spacing w:after="120"/>
      </w:pPr>
    </w:p>
    <w:p>
      <w:pPr>
        <w:bidi/>
        <w:spacing w:after="120" w:before="80" w:line="300"/>
        <w:jc w:val="both"/>
      </w:pPr>
      <w:r>
        <w:rPr>
          <w:rFonts w:ascii="Arial" w:cs="Arial" w:eastAsia="Arial" w:hAnsi="Arial"/>
          <w:b/>
          <w:bCs/>
          <w:i w:val="false"/>
          <w:iCs w:val="false"/>
          <w:color w:val="15171C"/>
          <w:sz w:val="20"/>
          <w:szCs w:val="20"/>
          <w:rtl/>
        </w:rPr>
        <w:t xml:space="preserve">مثال:</w:t>
      </w:r>
      <w:r>
        <w:rPr>
          <w:rFonts w:ascii="Arial" w:cs="Arial" w:eastAsia="Arial" w:hAnsi="Arial"/>
          <w:b w:val="false"/>
          <w:bCs w:val="false"/>
          <w:i w:val="false"/>
          <w:iCs w:val="false"/>
          <w:color w:val="15171C"/>
          <w:sz w:val="20"/>
          <w:szCs w:val="20"/>
          <w:rtl/>
        </w:rPr>
        <w:t xml:space="preserve"> جولة أُغلقت بخمسة ملايين دولار </w:t>
      </w:r>
      <w:r>
        <w:rPr>
          <w:rFonts w:ascii="Consolas" w:cs="Consolas" w:eastAsia="Consolas" w:hAnsi="Consolas"/>
          <w:b w:val="false"/>
          <w:bCs w:val="false"/>
          <w:i w:val="false"/>
          <w:iCs w:val="false"/>
          <w:color w:val="0F5C4A"/>
          <w:sz w:val="20"/>
          <w:szCs w:val="20"/>
          <w:rtl/>
        </w:rPr>
        <w:t xml:space="preserve">(1م × 6%) + (2م × 5%) + (2م × 4%) = 60,000 + 100,000 + 80,000 = 240,000 دولار</w:t>
      </w:r>
      <w:r>
        <w:rPr>
          <w:rFonts w:ascii="Arial" w:cs="Arial" w:eastAsia="Arial" w:hAnsi="Arial"/>
          <w:b w:val="false"/>
          <w:bCs w:val="false"/>
          <w:i w:val="false"/>
          <w:iCs w:val="false"/>
          <w:color w:val="15171C"/>
          <w:sz w:val="20"/>
          <w:szCs w:val="20"/>
          <w:rtl/>
        </w:rPr>
        <w:t xml:space="preserve"> أي 4.8% فعلية على الجولة.</w:t>
      </w:r>
    </w:p>
    <w:p>
      <w:pPr>
        <w:pStyle w:val="Heading3"/>
        <w:bidi/>
        <w:spacing w:after="100" w:before="240"/>
        <w:jc w:val="right"/>
        <w:outlineLvl w:val="2"/>
      </w:pPr>
      <w:r>
        <w:rPr>
          <w:rFonts w:ascii="Arial" w:cs="Arial" w:eastAsia="Arial" w:hAnsi="Arial"/>
          <w:b/>
          <w:bCs/>
          <w:color w:val="0F5C4A"/>
          <w:sz w:val="24"/>
          <w:szCs w:val="24"/>
          <w:rtl/>
        </w:rPr>
        <w:t xml:space="preserve">سبع قواعد لا يُخرج عنها</w:t>
      </w:r>
    </w:p>
    <w:p>
      <w:pPr>
        <w:pStyle w:val="ListParagraph"/>
        <w:numPr>
          <w:ilvl w:val="0"/>
          <w:numId w:val="2"/>
        </w:numPr>
        <w:bidi/>
        <w:spacing w:after="60" w:before="80" w:line="300"/>
        <w:jc w:val="both"/>
      </w:pPr>
      <w:r>
        <w:rPr>
          <w:rFonts w:ascii="Arial" w:cs="Arial" w:eastAsia="Arial" w:hAnsi="Arial"/>
          <w:b/>
          <w:bCs/>
          <w:i w:val="false"/>
          <w:iCs w:val="false"/>
          <w:color w:val="15171C"/>
          <w:sz w:val="20"/>
          <w:szCs w:val="20"/>
          <w:rtl/>
        </w:rPr>
        <w:t xml:space="preserve">لا تُقدَّم منفردة أبداً.</w:t>
      </w:r>
      <w:r>
        <w:rPr>
          <w:rFonts w:ascii="Arial" w:cs="Arial" w:eastAsia="Arial" w:hAnsi="Arial"/>
          <w:b w:val="false"/>
          <w:bCs w:val="false"/>
          <w:i w:val="false"/>
          <w:iCs w:val="false"/>
          <w:color w:val="15171C"/>
          <w:sz w:val="20"/>
          <w:szCs w:val="20"/>
          <w:rtl/>
        </w:rPr>
        <w:t xml:space="preserve"> تقترن دائماً بأتعاب أساسية تغطي التكلفة، لأن نجاح الجولة يعتمد على عوامل خارج سيطرة المستشار. وهذه القاعدة منقولة كما هي من منهجية العقار وتنطبق هنا بقوة أكبر.</w:t>
      </w:r>
    </w:p>
    <w:p>
      <w:pPr>
        <w:pStyle w:val="ListParagraph"/>
        <w:numPr>
          <w:ilvl w:val="0"/>
          <w:numId w:val="2"/>
        </w:numPr>
        <w:bidi/>
        <w:spacing w:after="60" w:before="80" w:line="300"/>
        <w:jc w:val="both"/>
      </w:pPr>
      <w:r>
        <w:rPr>
          <w:rFonts w:ascii="Arial" w:cs="Arial" w:eastAsia="Arial" w:hAnsi="Arial"/>
          <w:b/>
          <w:bCs/>
          <w:i w:val="false"/>
          <w:iCs w:val="false"/>
          <w:color w:val="15171C"/>
          <w:sz w:val="20"/>
          <w:szCs w:val="20"/>
          <w:rtl/>
        </w:rPr>
        <w:t xml:space="preserve">تُخصم 50% من الأتعاب الأساسية المدفوعة</w:t>
      </w:r>
      <w:r>
        <w:rPr>
          <w:rFonts w:ascii="Arial" w:cs="Arial" w:eastAsia="Arial" w:hAnsi="Arial"/>
          <w:b w:val="false"/>
          <w:bCs w:val="false"/>
          <w:i w:val="false"/>
          <w:iCs w:val="false"/>
          <w:color w:val="15171C"/>
          <w:sz w:val="20"/>
          <w:szCs w:val="20"/>
          <w:rtl/>
        </w:rPr>
        <w:t xml:space="preserve"> من أتعاب النجاح المستحقة. وهذا هو العرف السائد، ويجعل العرض تنافسياً دون التنازل عن تغطية التكلفة.</w:t>
      </w:r>
    </w:p>
    <w:p>
      <w:pPr>
        <w:pStyle w:val="ListParagraph"/>
        <w:numPr>
          <w:ilvl w:val="0"/>
          <w:numId w:val="2"/>
        </w:numPr>
        <w:bidi/>
        <w:spacing w:after="60" w:before="80" w:line="300"/>
        <w:jc w:val="both"/>
      </w:pPr>
      <w:r>
        <w:rPr>
          <w:rFonts w:ascii="Arial" w:cs="Arial" w:eastAsia="Arial" w:hAnsi="Arial"/>
          <w:b/>
          <w:bCs/>
          <w:i w:val="false"/>
          <w:iCs w:val="false"/>
          <w:color w:val="15171C"/>
          <w:sz w:val="20"/>
          <w:szCs w:val="20"/>
          <w:rtl/>
        </w:rPr>
        <w:t xml:space="preserve">تُربط بالإغلاق الفعلي ووصول الأموال</w:t>
      </w:r>
      <w:r>
        <w:rPr>
          <w:rFonts w:ascii="Arial" w:cs="Arial" w:eastAsia="Arial" w:hAnsi="Arial"/>
          <w:b w:val="false"/>
          <w:bCs w:val="false"/>
          <w:i w:val="false"/>
          <w:iCs w:val="false"/>
          <w:color w:val="15171C"/>
          <w:sz w:val="20"/>
          <w:szCs w:val="20"/>
          <w:rtl/>
        </w:rPr>
        <w:t xml:space="preserve">، لا بتوقيع ورقة الشروط. وأوراق الشروط تسقط، والأتعاب المربوطة بها تتحول إلى نزاع.</w:t>
      </w:r>
    </w:p>
    <w:p>
      <w:pPr>
        <w:pStyle w:val="ListParagraph"/>
        <w:numPr>
          <w:ilvl w:val="0"/>
          <w:numId w:val="2"/>
        </w:numPr>
        <w:bidi/>
        <w:spacing w:after="60" w:before="80" w:line="300"/>
        <w:jc w:val="both"/>
      </w:pPr>
      <w:r>
        <w:rPr>
          <w:rFonts w:ascii="Arial" w:cs="Arial" w:eastAsia="Arial" w:hAnsi="Arial"/>
          <w:b/>
          <w:bCs/>
          <w:i w:val="false"/>
          <w:iCs w:val="false"/>
          <w:color w:val="15171C"/>
          <w:sz w:val="20"/>
          <w:szCs w:val="20"/>
          <w:rtl/>
        </w:rPr>
        <w:t xml:space="preserve">استثناءات لا تدخل الوعاء:</w:t>
      </w:r>
      <w:r>
        <w:rPr>
          <w:rFonts w:ascii="Arial" w:cs="Arial" w:eastAsia="Arial" w:hAnsi="Arial"/>
          <w:b w:val="false"/>
          <w:bCs w:val="false"/>
          <w:i w:val="false"/>
          <w:iCs w:val="false"/>
          <w:color w:val="15171C"/>
          <w:sz w:val="20"/>
          <w:szCs w:val="20"/>
          <w:rtl/>
        </w:rPr>
        <w:t xml:space="preserve"> رأس المال من مستثمرين قائمين في جدول الملكية، وأموال المؤسسين وذويهم، والمنح، والتمويل الحكومي المدعوم. وإن أُدرجت بطلب العميل فبنصف النسبة.</w:t>
      </w:r>
    </w:p>
    <w:p>
      <w:pPr>
        <w:pStyle w:val="ListParagraph"/>
        <w:numPr>
          <w:ilvl w:val="0"/>
          <w:numId w:val="2"/>
        </w:numPr>
        <w:bidi/>
        <w:spacing w:after="60" w:before="80" w:line="300"/>
        <w:jc w:val="both"/>
      </w:pPr>
      <w:r>
        <w:rPr>
          <w:rFonts w:ascii="Arial" w:cs="Arial" w:eastAsia="Arial" w:hAnsi="Arial"/>
          <w:b/>
          <w:bCs/>
          <w:i w:val="false"/>
          <w:iCs w:val="false"/>
          <w:color w:val="15171C"/>
          <w:sz w:val="20"/>
          <w:szCs w:val="20"/>
          <w:rtl/>
        </w:rPr>
        <w:t xml:space="preserve">فترة الذيل تسعة أشهر</w:t>
      </w:r>
      <w:r>
        <w:rPr>
          <w:rFonts w:ascii="Arial" w:cs="Arial" w:eastAsia="Arial" w:hAnsi="Arial"/>
          <w:b w:val="false"/>
          <w:bCs w:val="false"/>
          <w:i w:val="false"/>
          <w:iCs w:val="false"/>
          <w:color w:val="15171C"/>
          <w:sz w:val="20"/>
          <w:szCs w:val="20"/>
          <w:rtl/>
        </w:rPr>
        <w:t xml:space="preserve">، وتقتصر على مستثمرين وردت أسماؤهم في </w:t>
      </w:r>
      <w:r>
        <w:rPr>
          <w:rFonts w:ascii="Arial" w:cs="Arial" w:eastAsia="Arial" w:hAnsi="Arial"/>
          <w:b/>
          <w:bCs/>
          <w:i w:val="false"/>
          <w:iCs w:val="false"/>
          <w:color w:val="15171C"/>
          <w:sz w:val="20"/>
          <w:szCs w:val="20"/>
          <w:rtl/>
        </w:rPr>
        <w:t xml:space="preserve">قائمة مكتوبة مرفقة بالعقد عند بدء التكليف</w:t>
      </w:r>
      <w:r>
        <w:rPr>
          <w:rFonts w:ascii="Arial" w:cs="Arial" w:eastAsia="Arial" w:hAnsi="Arial"/>
          <w:b w:val="false"/>
          <w:bCs w:val="false"/>
          <w:i w:val="false"/>
          <w:iCs w:val="false"/>
          <w:color w:val="15171C"/>
          <w:sz w:val="20"/>
          <w:szCs w:val="20"/>
          <w:rtl/>
        </w:rPr>
        <w:t xml:space="preserve">. والذيل المفتوح على كل مستثمر في السوق شرط لا يُقبل ولا يُطلب.</w:t>
      </w:r>
    </w:p>
    <w:p>
      <w:pPr>
        <w:pStyle w:val="ListParagraph"/>
        <w:numPr>
          <w:ilvl w:val="0"/>
          <w:numId w:val="2"/>
        </w:numPr>
        <w:bidi/>
        <w:spacing w:after="60" w:before="80" w:line="300"/>
        <w:jc w:val="both"/>
      </w:pPr>
      <w:r>
        <w:rPr>
          <w:rFonts w:ascii="Arial" w:cs="Arial" w:eastAsia="Arial" w:hAnsi="Arial"/>
          <w:b/>
          <w:bCs/>
          <w:i w:val="false"/>
          <w:iCs w:val="false"/>
          <w:color w:val="15171C"/>
          <w:sz w:val="20"/>
          <w:szCs w:val="20"/>
          <w:rtl/>
        </w:rPr>
        <w:t xml:space="preserve">سقف مطلق:</w:t>
      </w:r>
      <w:r>
        <w:rPr>
          <w:rFonts w:ascii="Arial" w:cs="Arial" w:eastAsia="Arial" w:hAnsi="Arial"/>
          <w:b w:val="false"/>
          <w:bCs w:val="false"/>
          <w:i w:val="false"/>
          <w:iCs w:val="false"/>
          <w:color w:val="15171C"/>
          <w:sz w:val="20"/>
          <w:szCs w:val="20"/>
          <w:rtl/>
        </w:rPr>
        <w:t xml:space="preserve"> مجموع الأتعاب الأساسية وأتعاب النجاح لا يتجاوز </w:t>
      </w:r>
      <w:r>
        <w:rPr>
          <w:rFonts w:ascii="Arial" w:cs="Arial" w:eastAsia="Arial" w:hAnsi="Arial"/>
          <w:b/>
          <w:bCs/>
          <w:i w:val="false"/>
          <w:iCs w:val="false"/>
          <w:color w:val="15171C"/>
          <w:sz w:val="20"/>
          <w:szCs w:val="20"/>
          <w:rtl w:val="false"/>
        </w:rPr>
        <w:t xml:space="preserve">8%</w:t>
      </w:r>
      <w:r>
        <w:rPr>
          <w:rFonts w:ascii="Arial" w:cs="Arial" w:eastAsia="Arial" w:hAnsi="Arial"/>
          <w:b w:val="false"/>
          <w:bCs w:val="false"/>
          <w:i w:val="false"/>
          <w:iCs w:val="false"/>
          <w:color w:val="15171C"/>
          <w:sz w:val="20"/>
          <w:szCs w:val="20"/>
          <w:rtl/>
        </w:rPr>
        <w:t xml:space="preserve"> من قيمة الجولة المُغلقة.</w:t>
      </w:r>
    </w:p>
    <w:p>
      <w:pPr>
        <w:pStyle w:val="ListParagraph"/>
        <w:numPr>
          <w:ilvl w:val="0"/>
          <w:numId w:val="2"/>
        </w:numPr>
        <w:bidi/>
        <w:spacing w:after="60" w:before="80" w:line="300"/>
        <w:jc w:val="both"/>
      </w:pPr>
      <w:r>
        <w:rPr>
          <w:rFonts w:ascii="Arial" w:cs="Arial" w:eastAsia="Arial" w:hAnsi="Arial"/>
          <w:b/>
          <w:bCs/>
          <w:i w:val="false"/>
          <w:iCs w:val="false"/>
          <w:color w:val="15171C"/>
          <w:sz w:val="20"/>
          <w:szCs w:val="20"/>
          <w:rtl/>
        </w:rPr>
        <w:t xml:space="preserve">لا خصم على أتعاب النجاح.</w:t>
      </w:r>
      <w:r>
        <w:rPr>
          <w:rFonts w:ascii="Arial" w:cs="Arial" w:eastAsia="Arial" w:hAnsi="Arial"/>
          <w:b w:val="false"/>
          <w:bCs w:val="false"/>
          <w:i w:val="false"/>
          <w:iCs w:val="false"/>
          <w:color w:val="15171C"/>
          <w:sz w:val="20"/>
          <w:szCs w:val="20"/>
          <w:rtl/>
        </w:rPr>
        <w:t xml:space="preserve"> الخصم أداة تُستخدم على الأتعاب الأساسية وحدها.</w:t>
      </w:r>
    </w:p>
    <w:p>
      <w:pPr>
        <w:pStyle w:val="Heading3"/>
        <w:bidi/>
        <w:spacing w:after="100" w:before="240"/>
        <w:jc w:val="right"/>
        <w:outlineLvl w:val="2"/>
      </w:pPr>
      <w:r>
        <w:rPr>
          <w:rFonts w:ascii="Arial" w:cs="Arial" w:eastAsia="Arial" w:hAnsi="Arial"/>
          <w:b/>
          <w:bCs/>
          <w:color w:val="0F5C4A"/>
          <w:sz w:val="24"/>
          <w:szCs w:val="24"/>
          <w:rtl/>
        </w:rPr>
        <w:t xml:space="preserve">الضابط التنظيمي — قاعدة توقف داخلية</w:t>
      </w:r>
    </w:p>
    <w:p>
      <w:pPr>
        <w:bidi/>
        <w:spacing w:after="120" w:before="80" w:line="300"/>
        <w:jc w:val="both"/>
      </w:pPr>
      <w:r>
        <w:rPr>
          <w:rFonts w:ascii="Arial" w:cs="Arial" w:eastAsia="Arial" w:hAnsi="Arial"/>
          <w:b w:val="false"/>
          <w:bCs w:val="false"/>
          <w:i w:val="false"/>
          <w:iCs w:val="false"/>
          <w:color w:val="15171C"/>
          <w:sz w:val="20"/>
          <w:szCs w:val="20"/>
          <w:rtl/>
        </w:rPr>
        <w:t xml:space="preserve">جمع التمويل نشاط منظَّم في عدة أسواق نعمل فيها. في مصر يشترط تنظيم الهيئة العامة للرقابة المالية ترخيصاً لأدوار محددة في السوق الأولية، وفي السعودية يُصنَّف </w:t>
      </w:r>
      <w:r>
        <w:rPr>
          <w:rFonts w:ascii="Arial" w:cs="Arial" w:eastAsia="Arial" w:hAnsi="Arial"/>
          <w:b/>
          <w:bCs/>
          <w:i w:val="false"/>
          <w:iCs w:val="false"/>
          <w:color w:val="15171C"/>
          <w:sz w:val="20"/>
          <w:szCs w:val="20"/>
          <w:rtl/>
        </w:rPr>
        <w:t xml:space="preserve">الترتيب</w:t>
      </w:r>
      <w:r>
        <w:rPr>
          <w:rFonts w:ascii="Arial" w:cs="Arial" w:eastAsia="Arial" w:hAnsi="Arial"/>
          <w:b w:val="false"/>
          <w:bCs w:val="false"/>
          <w:i w:val="false"/>
          <w:iCs w:val="false"/>
          <w:color w:val="15171C"/>
          <w:sz w:val="20"/>
          <w:szCs w:val="20"/>
          <w:rtl/>
        </w:rPr>
        <w:t xml:space="preserve"> (arranging) — أي التوسط بين الأطراف في أعمال الأوراق المالية — نشاطاً يستوجب ترخيص هيئة السوق المالية.</w:t>
      </w:r>
    </w:p>
    <w:p>
      <w:pPr>
        <w:bidi/>
        <w:spacing w:after="120" w:before="80" w:line="300"/>
        <w:jc w:val="both"/>
      </w:pPr>
      <w:r>
        <w:rPr>
          <w:rFonts w:ascii="Arial" w:cs="Arial" w:eastAsia="Arial" w:hAnsi="Arial"/>
          <w:b w:val="false"/>
          <w:bCs w:val="false"/>
          <w:i w:val="false"/>
          <w:iCs w:val="false"/>
          <w:color w:val="15171C"/>
          <w:sz w:val="20"/>
          <w:szCs w:val="20"/>
          <w:rtl/>
        </w:rPr>
        <w:t xml:space="preserve">ولذلك تُصاغ خدمات المحور الخامس </w:t>
      </w:r>
      <w:r>
        <w:rPr>
          <w:rFonts w:ascii="Arial" w:cs="Arial" w:eastAsia="Arial" w:hAnsi="Arial"/>
          <w:b/>
          <w:bCs/>
          <w:i w:val="false"/>
          <w:iCs w:val="false"/>
          <w:color w:val="15171C"/>
          <w:sz w:val="20"/>
          <w:szCs w:val="20"/>
          <w:rtl/>
        </w:rPr>
        <w:t xml:space="preserve">استشارية بطبيعتها</w:t>
      </w:r>
      <w:r>
        <w:rPr>
          <w:rFonts w:ascii="Arial" w:cs="Arial" w:eastAsia="Arial" w:hAnsi="Arial"/>
          <w:b w:val="false"/>
          <w:bCs w:val="false"/>
          <w:i w:val="false"/>
          <w:iCs w:val="false"/>
          <w:color w:val="15171C"/>
          <w:sz w:val="20"/>
          <w:szCs w:val="20"/>
          <w:rtl/>
        </w:rPr>
        <w:t xml:space="preserve">: إعداد، وتحليل، وتمثيل تحليلي في التفاوض، وإدارة عملية — لا وساطة في إصدار أو طرح، ولا تسويق أوراق مالية لحساب الغير.</w:t>
      </w:r>
    </w:p>
    <w:p>
      <w:pPr>
        <w:bidi/>
        <w:spacing w:after="120" w:before="80" w:line="300"/>
        <w:jc w:val="both"/>
      </w:pPr>
      <w:r>
        <w:rPr>
          <w:rFonts w:ascii="Arial" w:cs="Arial" w:eastAsia="Arial" w:hAnsi="Arial"/>
          <w:b/>
          <w:bCs/>
          <w:i w:val="false"/>
          <w:iCs w:val="false"/>
          <w:color w:val="15171C"/>
          <w:sz w:val="20"/>
          <w:szCs w:val="20"/>
          <w:rtl/>
        </w:rPr>
        <w:t xml:space="preserve">وأي تكليف يقترب من حد الترتيب أو الطرح يستوجب مراجعة قانونية قبل التوقيع، أو العمل بالشراكة مع جهة مرخصة في السوق المعني.</w:t>
      </w:r>
      <w:r>
        <w:rPr>
          <w:rFonts w:ascii="Arial" w:cs="Arial" w:eastAsia="Arial" w:hAnsi="Arial"/>
          <w:b w:val="false"/>
          <w:bCs w:val="false"/>
          <w:i w:val="false"/>
          <w:iCs w:val="false"/>
          <w:color w:val="15171C"/>
          <w:sz w:val="20"/>
          <w:szCs w:val="20"/>
          <w:rtl/>
        </w:rPr>
        <w:t xml:space="preserve"> وهذا ليس رأياً قانونياً، وإنما قاعدة داخلية للتوقف والمراجعة، وموضعها قائمة فحص العرض لا حاشية في العقد.</w:t>
      </w:r>
    </w:p>
    <w:p>
      <w:pPr>
        <w:pStyle w:val="Heading2"/>
        <w:pageBreakBefore/>
        <w:pBdr>
          <w:top w:val="single" w:color="15171C" w:sz="12" w:space="8"/>
        </w:pBdr>
        <w:bidi/>
        <w:spacing w:after="160" w:before="360"/>
        <w:jc w:val="right"/>
        <w:outlineLvl w:val="1"/>
      </w:pPr>
      <w:r>
        <w:rPr>
          <w:rFonts w:ascii="Arial" w:cs="Arial" w:eastAsia="Arial" w:hAnsi="Arial"/>
          <w:b/>
          <w:bCs/>
          <w:color w:val="0F5C4A"/>
          <w:sz w:val="30"/>
          <w:szCs w:val="30"/>
          <w:rtl/>
        </w:rPr>
        <w:t xml:space="preserve">قواعد التفاوض والخصم</w:t>
      </w:r>
    </w:p>
    <w:p>
      <w:pPr>
        <w:bidi/>
        <w:spacing w:after="120" w:before="80" w:line="300"/>
        <w:jc w:val="both"/>
      </w:pPr>
      <w:r>
        <w:rPr>
          <w:rFonts w:ascii="Arial" w:cs="Arial" w:eastAsia="Arial" w:hAnsi="Arial"/>
          <w:b w:val="false"/>
          <w:bCs w:val="false"/>
          <w:i w:val="false"/>
          <w:iCs w:val="false"/>
          <w:color w:val="15171C"/>
          <w:sz w:val="20"/>
          <w:szCs w:val="20"/>
          <w:rtl/>
        </w:rPr>
        <w:t xml:space="preserve">التنازل عن السعر دون مقابل يضعف الموقف في التكليف التالي مع العميل نفسه. ولذلك ترتبط كل درجة خصم هنا بتنازل مقابل من جانب العميل، في النطاق أو التوقيت أو الالتزام.</w:t>
      </w:r>
    </w:p>
    <w:tbl>
      <w:tblPr>
        <w:bidiVisual/>
        <w:tblW w:type="dxa" w:w="9360"/>
        <w:tblBorders>
          <w:top w:val="single" w:color="D8D5CC" w:sz="4"/>
          <w:left w:val="single" w:color="D8D5CC" w:sz="4"/>
          <w:bottom w:val="single" w:color="D8D5CC" w:sz="4"/>
          <w:right w:val="single" w:color="D8D5CC" w:sz="4"/>
          <w:insideH w:val="single" w:color="EAE7E0" w:sz="2"/>
          <w:insideV w:val="single" w:color="EAE7E0" w:sz="2"/>
        </w:tblBorders>
      </w:tblPr>
      <w:tblGrid>
        <w:gridCol w:w="2453"/>
        <w:gridCol w:w="1040"/>
        <w:gridCol w:w="5867"/>
      </w:tblGrid>
      <w:tr>
        <w:trPr>
          <w:tblHeader/>
        </w:trPr>
        <w:tc>
          <w:tcPr>
            <w:tcW w:type="dxa" w:w="2453"/>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الحالة</w:t>
            </w:r>
          </w:p>
        </w:tc>
        <w:tc>
          <w:tcPr>
            <w:tcW w:type="dxa" w:w="1040"/>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حد الخصم</w:t>
            </w:r>
          </w:p>
        </w:tc>
        <w:tc>
          <w:tcPr>
            <w:tcW w:type="dxa" w:w="5867"/>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المقابل المطلوب</w:t>
            </w:r>
          </w:p>
        </w:tc>
      </w:tr>
      <w:tr>
        <w:tc>
          <w:tcPr>
            <w:tcW w:type="dxa" w:w="245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تكليف من ثلاث خدمات</w:t>
            </w:r>
          </w:p>
        </w:tc>
        <w:tc>
          <w:tcPr>
            <w:tcW w:type="dxa" w:w="104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10%</w:t>
            </w:r>
          </w:p>
        </w:tc>
        <w:tc>
          <w:tcPr>
            <w:tcW w:type="dxa" w:w="586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التعاقد على الثلاث في مستند واحد وجدول واحد</w:t>
            </w:r>
          </w:p>
        </w:tc>
      </w:tr>
      <w:tr>
        <w:tc>
          <w:tcPr>
            <w:tcW w:type="dxa" w:w="2453"/>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تكليف الجولة الكاملة</w:t>
            </w:r>
          </w:p>
        </w:tc>
        <w:tc>
          <w:tcPr>
            <w:tcW w:type="dxa" w:w="1040"/>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18%</w:t>
            </w:r>
          </w:p>
        </w:tc>
        <w:tc>
          <w:tcPr>
            <w:tcW w:type="dxa" w:w="586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التعاقد على المسار كاملاً من الجاهزية حتى الإغلاق، مقترناً بأتعاب نجاح</w:t>
            </w:r>
          </w:p>
        </w:tc>
      </w:tr>
      <w:tr>
        <w:tc>
          <w:tcPr>
            <w:tcW w:type="dxa" w:w="2453"/>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اتفاق إطاري لصندوق أو مستثمر نشط</w:t>
            </w:r>
          </w:p>
        </w:tc>
        <w:tc>
          <w:tcPr>
            <w:tcW w:type="dxa" w:w="1040"/>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20%</w:t>
            </w:r>
          </w:p>
        </w:tc>
        <w:tc>
          <w:tcPr>
            <w:tcW w:type="dxa" w:w="586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حد أدنى متعاقد عليه من الصفقات خلال السنة</w:t>
            </w:r>
          </w:p>
        </w:tc>
      </w:tr>
      <w:tr>
        <w:tc>
          <w:tcPr>
            <w:tcW w:type="dxa" w:w="245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عميل متكرر</w:t>
            </w:r>
          </w:p>
        </w:tc>
        <w:tc>
          <w:tcPr>
            <w:tcW w:type="dxa" w:w="104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8%</w:t>
            </w:r>
          </w:p>
        </w:tc>
        <w:tc>
          <w:tcPr>
            <w:tcW w:type="dxa" w:w="586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لا مقابل — تقدير لتكلفة اكتساب أقل ومنحنى تعلم أقصر</w:t>
            </w:r>
          </w:p>
        </w:tc>
      </w:tr>
      <w:tr>
        <w:tc>
          <w:tcPr>
            <w:tcW w:type="dxa" w:w="245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مشروع مرجعي</w:t>
            </w:r>
          </w:p>
        </w:tc>
        <w:tc>
          <w:tcPr>
            <w:tcW w:type="dxa" w:w="104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15%</w:t>
            </w:r>
          </w:p>
        </w:tc>
        <w:tc>
          <w:tcPr>
            <w:tcW w:type="dxa" w:w="586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حق نشر الحالة باسم العميل وتقديم تزكية مكتوبة</w:t>
            </w:r>
          </w:p>
        </w:tc>
      </w:tr>
      <w:tr>
        <w:tc>
          <w:tcPr>
            <w:tcW w:type="dxa" w:w="245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جدول زمني ممتد</w:t>
            </w:r>
          </w:p>
        </w:tc>
        <w:tc>
          <w:tcPr>
            <w:tcW w:type="dxa" w:w="104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10%</w:t>
            </w:r>
          </w:p>
        </w:tc>
        <w:tc>
          <w:tcPr>
            <w:tcW w:type="dxa" w:w="586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قبول مدة أطول تتيح توزيع العمل على فترات هدوء الفريق</w:t>
            </w:r>
          </w:p>
        </w:tc>
      </w:tr>
      <w:tr>
        <w:tc>
          <w:tcPr>
            <w:tcW w:type="dxa" w:w="2453"/>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دفعة حاضنة أو مسرّعة</w:t>
            </w:r>
          </w:p>
        </w:tc>
        <w:tc>
          <w:tcPr>
            <w:tcW w:type="dxa" w:w="1040"/>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25%</w:t>
            </w:r>
          </w:p>
        </w:tc>
        <w:tc>
          <w:tcPr>
            <w:tcW w:type="dxa" w:w="586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عدد متعاقد عليه لا يقل عن ثماني شركات في الدفعة، بمخرج موحد</w:t>
            </w:r>
          </w:p>
        </w:tc>
      </w:tr>
    </w:tbl>
    <w:p>
      <w:pPr>
        <w:spacing w:after="120"/>
      </w:pPr>
    </w:p>
    <w:p>
      <w:pPr>
        <w:pStyle w:val="Heading3"/>
        <w:bidi/>
        <w:spacing w:after="100" w:before="240"/>
        <w:jc w:val="right"/>
        <w:outlineLvl w:val="2"/>
      </w:pPr>
      <w:r>
        <w:rPr>
          <w:rFonts w:ascii="Arial" w:cs="Arial" w:eastAsia="Arial" w:hAnsi="Arial"/>
          <w:b/>
          <w:bCs/>
          <w:color w:val="0F5C4A"/>
          <w:sz w:val="24"/>
          <w:szCs w:val="24"/>
          <w:rtl/>
        </w:rPr>
        <w:t xml:space="preserve">حدود لا يُنزل عنها</w:t>
      </w:r>
    </w:p>
    <w:p>
      <w:pPr>
        <w:pStyle w:val="ListParagraph"/>
        <w:numPr>
          <w:ilvl w:val="0"/>
          <w:numId w:val="1"/>
        </w:numPr>
        <w:bidi/>
        <w:spacing w:after="60" w:before="80" w:line="300"/>
        <w:jc w:val="both"/>
      </w:pPr>
      <w:r>
        <w:rPr>
          <w:rFonts w:ascii="Arial" w:cs="Arial" w:eastAsia="Arial" w:hAnsi="Arial"/>
          <w:b w:val="false"/>
          <w:bCs w:val="false"/>
          <w:i w:val="false"/>
          <w:iCs w:val="false"/>
          <w:color w:val="15171C"/>
          <w:sz w:val="20"/>
          <w:szCs w:val="20"/>
          <w:rtl/>
        </w:rPr>
        <w:t xml:space="preserve">الهامش المتحقق بعد الخصم </w:t>
      </w:r>
      <w:r>
        <w:rPr>
          <w:rFonts w:ascii="Arial" w:cs="Arial" w:eastAsia="Arial" w:hAnsi="Arial"/>
          <w:b/>
          <w:bCs/>
          <w:i w:val="false"/>
          <w:iCs w:val="false"/>
          <w:color w:val="15171C"/>
          <w:sz w:val="20"/>
          <w:szCs w:val="20"/>
          <w:rtl/>
        </w:rPr>
        <w:t xml:space="preserve">لا ينزل عن 35%</w:t>
      </w:r>
      <w:r>
        <w:rPr>
          <w:rFonts w:ascii="Arial" w:cs="Arial" w:eastAsia="Arial" w:hAnsi="Arial"/>
          <w:b w:val="false"/>
          <w:bCs w:val="false"/>
          <w:i w:val="false"/>
          <w:iCs w:val="false"/>
          <w:color w:val="15171C"/>
          <w:sz w:val="20"/>
          <w:szCs w:val="20"/>
          <w:rtl/>
        </w:rPr>
        <w:t xml:space="preserve"> إلا بموافقة صريحة من الشريك. </w:t>
      </w:r>
      <w:r>
        <w:rPr>
          <w:rFonts w:ascii="Arial" w:cs="Arial" w:eastAsia="Arial" w:hAnsi="Arial"/>
          <w:b w:val="false"/>
          <w:bCs w:val="false"/>
          <w:i/>
          <w:iCs/>
          <w:color w:val="4A4F5A"/>
          <w:sz w:val="20"/>
          <w:szCs w:val="20"/>
          <w:rtl/>
        </w:rPr>
        <w:t xml:space="preserve">(الحد أعلى من نظيره العقاري البالغ 30%، لأن الهامش الأساس هنا أعلى، فالنزول إلى 30% يعني تنازلاً أكبر بالنقاط.)</w:t>
      </w:r>
    </w:p>
    <w:p>
      <w:pPr>
        <w:pStyle w:val="ListParagraph"/>
        <w:numPr>
          <w:ilvl w:val="0"/>
          <w:numId w:val="1"/>
        </w:numPr>
        <w:bidi/>
        <w:spacing w:after="60" w:before="80" w:line="300"/>
        <w:jc w:val="both"/>
      </w:pPr>
      <w:r>
        <w:rPr>
          <w:rFonts w:ascii="Arial" w:cs="Arial" w:eastAsia="Arial" w:hAnsi="Arial"/>
          <w:b w:val="false"/>
          <w:bCs w:val="false"/>
          <w:i w:val="false"/>
          <w:iCs w:val="false"/>
          <w:color w:val="15171C"/>
          <w:sz w:val="20"/>
          <w:szCs w:val="20"/>
          <w:rtl/>
        </w:rPr>
        <w:t xml:space="preserve">ولا يُقبل تكليف بهامش سالب مهما كانت قيمته التسويقية.</w:t>
      </w:r>
    </w:p>
    <w:p>
      <w:pPr>
        <w:pStyle w:val="ListParagraph"/>
        <w:numPr>
          <w:ilvl w:val="0"/>
          <w:numId w:val="1"/>
        </w:numPr>
        <w:bidi/>
        <w:spacing w:after="60" w:before="80" w:line="300"/>
        <w:jc w:val="both"/>
      </w:pPr>
      <w:r>
        <w:rPr>
          <w:rFonts w:ascii="Arial" w:cs="Arial" w:eastAsia="Arial" w:hAnsi="Arial"/>
          <w:b w:val="false"/>
          <w:bCs w:val="false"/>
          <w:i w:val="false"/>
          <w:iCs w:val="false"/>
          <w:color w:val="15171C"/>
          <w:sz w:val="20"/>
          <w:szCs w:val="20"/>
          <w:rtl/>
        </w:rPr>
        <w:t xml:space="preserve">الخصم يُطبَّق على </w:t>
      </w:r>
      <w:r>
        <w:rPr>
          <w:rFonts w:ascii="Arial" w:cs="Arial" w:eastAsia="Arial" w:hAnsi="Arial"/>
          <w:b/>
          <w:bCs/>
          <w:i w:val="false"/>
          <w:iCs w:val="false"/>
          <w:color w:val="15171C"/>
          <w:sz w:val="20"/>
          <w:szCs w:val="20"/>
          <w:rtl/>
        </w:rPr>
        <w:t xml:space="preserve">الأتعاب المهنية وحدها</w:t>
      </w:r>
      <w:r>
        <w:rPr>
          <w:rFonts w:ascii="Arial" w:cs="Arial" w:eastAsia="Arial" w:hAnsi="Arial"/>
          <w:b w:val="false"/>
          <w:bCs w:val="false"/>
          <w:i w:val="false"/>
          <w:iCs w:val="false"/>
          <w:color w:val="15171C"/>
          <w:sz w:val="20"/>
          <w:szCs w:val="20"/>
          <w:rtl/>
        </w:rPr>
        <w:t xml:space="preserve">، ولا يمتد إلى المصروفات المباشرة لأنها تكلفة منقولة لا ربح فيها، ولا إلى أتعاب النجاح.</w:t>
      </w:r>
    </w:p>
    <w:p>
      <w:pPr>
        <w:pStyle w:val="Heading3"/>
        <w:bidi/>
        <w:spacing w:after="100" w:before="240"/>
        <w:jc w:val="right"/>
        <w:outlineLvl w:val="2"/>
      </w:pPr>
      <w:r>
        <w:rPr>
          <w:rFonts w:ascii="Arial" w:cs="Arial" w:eastAsia="Arial" w:hAnsi="Arial"/>
          <w:b/>
          <w:bCs/>
          <w:color w:val="0F5C4A"/>
          <w:sz w:val="24"/>
          <w:szCs w:val="24"/>
          <w:rtl/>
        </w:rPr>
        <w:t xml:space="preserve">ترتيب التنازلات</w:t>
      </w:r>
    </w:p>
    <w:p>
      <w:pPr>
        <w:bidi/>
        <w:spacing w:after="120" w:before="80" w:line="300"/>
        <w:jc w:val="both"/>
      </w:pPr>
      <w:r>
        <w:rPr>
          <w:rFonts w:ascii="Arial" w:cs="Arial" w:eastAsia="Arial" w:hAnsi="Arial"/>
          <w:b w:val="false"/>
          <w:bCs w:val="false"/>
          <w:i w:val="false"/>
          <w:iCs w:val="false"/>
          <w:color w:val="15171C"/>
          <w:sz w:val="20"/>
          <w:szCs w:val="20"/>
          <w:rtl/>
        </w:rPr>
        <w:t xml:space="preserve">قبل خفض السعر تُعرض بدائل لا تمسه: تقليص النطاق، أو إطالة الجدول، أو تأجيل جزء من العمل إلى مرحلة ثانية. ولا يُعرض الخصم في أول عرض — فالسعر الأول هو المرجع الذي يُقاس عليه كل تنازل لاحق، والبدء بسعر مخفَّض يلغي هذا المرجع.</w:t>
      </w:r>
    </w:p>
    <w:p>
      <w:pPr>
        <w:pStyle w:val="Heading3"/>
        <w:bidi/>
        <w:spacing w:after="100" w:before="240"/>
        <w:jc w:val="right"/>
        <w:outlineLvl w:val="2"/>
      </w:pPr>
      <w:r>
        <w:rPr>
          <w:rFonts w:ascii="Arial" w:cs="Arial" w:eastAsia="Arial" w:hAnsi="Arial"/>
          <w:b/>
          <w:bCs/>
          <w:color w:val="0F5C4A"/>
          <w:sz w:val="24"/>
          <w:szCs w:val="24"/>
          <w:rtl/>
        </w:rPr>
        <w:t xml:space="preserve">الحصة في رأس المال بدلاً من الأتعاب</w:t>
      </w:r>
    </w:p>
    <w:p>
      <w:pPr>
        <w:bidi/>
        <w:spacing w:after="120" w:before="80" w:line="300"/>
        <w:jc w:val="both"/>
      </w:pPr>
      <w:r>
        <w:rPr>
          <w:rFonts w:ascii="Arial" w:cs="Arial" w:eastAsia="Arial" w:hAnsi="Arial"/>
          <w:b w:val="false"/>
          <w:bCs w:val="false"/>
          <w:i w:val="false"/>
          <w:iCs w:val="false"/>
          <w:color w:val="15171C"/>
          <w:sz w:val="20"/>
          <w:szCs w:val="20"/>
          <w:rtl/>
        </w:rPr>
        <w:t xml:space="preserve">هذا طلب متكرر من الشركات الناشئة، وله قاعدة صريحة:</w:t>
      </w:r>
    </w:p>
    <w:p>
      <w:pPr>
        <w:bidi/>
        <w:spacing w:after="120" w:before="80" w:line="300"/>
        <w:jc w:val="both"/>
      </w:pPr>
      <w:r>
        <w:rPr>
          <w:rFonts w:ascii="Arial" w:cs="Arial" w:eastAsia="Arial" w:hAnsi="Arial"/>
          <w:b/>
          <w:bCs/>
          <w:i w:val="false"/>
          <w:iCs w:val="false"/>
          <w:color w:val="15171C"/>
          <w:sz w:val="20"/>
          <w:szCs w:val="20"/>
          <w:rtl/>
        </w:rPr>
        <w:t xml:space="preserve">المبدأ أن تُرفض.</w:t>
      </w:r>
      <w:r>
        <w:rPr>
          <w:rFonts w:ascii="Arial" w:cs="Arial" w:eastAsia="Arial" w:hAnsi="Arial"/>
          <w:b w:val="false"/>
          <w:bCs w:val="false"/>
          <w:i w:val="false"/>
          <w:iCs w:val="false"/>
          <w:color w:val="15171C"/>
          <w:sz w:val="20"/>
          <w:szCs w:val="20"/>
          <w:rtl/>
        </w:rPr>
        <w:t xml:space="preserve"> المستشار الذي يملك حصة يفقد استقلال رأيه في التقييم، وهو بالضبط ما يبيعه — والكتالوج نفسه يقوم على أن الأرقام تصمد أمام فحص لجان الاستثمار.</w:t>
      </w:r>
    </w:p>
    <w:p>
      <w:pPr>
        <w:bidi/>
        <w:spacing w:after="120" w:before="80" w:line="300"/>
        <w:jc w:val="both"/>
      </w:pPr>
      <w:r>
        <w:rPr>
          <w:rFonts w:ascii="Arial" w:cs="Arial" w:eastAsia="Arial" w:hAnsi="Arial"/>
          <w:b w:val="false"/>
          <w:bCs w:val="false"/>
          <w:i w:val="false"/>
          <w:iCs w:val="false"/>
          <w:color w:val="15171C"/>
          <w:sz w:val="20"/>
          <w:szCs w:val="20"/>
          <w:rtl/>
        </w:rPr>
        <w:t xml:space="preserve">وإن قُبلت استثناءً، فبأربعة شروط مجتمعة: </w:t>
      </w:r>
      <w:r>
        <w:rPr>
          <w:rFonts w:ascii="Arial" w:cs="Arial" w:eastAsia="Arial" w:hAnsi="Arial"/>
          <w:b/>
          <w:bCs/>
          <w:i w:val="false"/>
          <w:iCs w:val="false"/>
          <w:color w:val="15171C"/>
          <w:sz w:val="20"/>
          <w:szCs w:val="20"/>
          <w:rtl/>
        </w:rPr>
        <w:t xml:space="preserve">مكمِّلة لا بديلة</w:t>
      </w:r>
      <w:r>
        <w:rPr>
          <w:rFonts w:ascii="Arial" w:cs="Arial" w:eastAsia="Arial" w:hAnsi="Arial"/>
          <w:b w:val="false"/>
          <w:bCs w:val="false"/>
          <w:i w:val="false"/>
          <w:iCs w:val="false"/>
          <w:color w:val="15171C"/>
          <w:sz w:val="20"/>
          <w:szCs w:val="20"/>
          <w:rtl/>
        </w:rPr>
        <w:t xml:space="preserve">، وبحد أقصى </w:t>
      </w:r>
      <w:r>
        <w:rPr>
          <w:rFonts w:ascii="Arial" w:cs="Arial" w:eastAsia="Arial" w:hAnsi="Arial"/>
          <w:b/>
          <w:bCs/>
          <w:i w:val="false"/>
          <w:iCs w:val="false"/>
          <w:color w:val="15171C"/>
          <w:sz w:val="20"/>
          <w:szCs w:val="20"/>
          <w:rtl w:val="false"/>
        </w:rPr>
        <w:t xml:space="preserve">40%</w:t>
      </w:r>
      <w:r>
        <w:rPr>
          <w:rFonts w:ascii="Arial" w:cs="Arial" w:eastAsia="Arial" w:hAnsi="Arial"/>
          <w:b w:val="false"/>
          <w:bCs w:val="false"/>
          <w:i w:val="false"/>
          <w:iCs w:val="false"/>
          <w:color w:val="15171C"/>
          <w:sz w:val="20"/>
          <w:szCs w:val="20"/>
          <w:rtl/>
        </w:rPr>
        <w:t xml:space="preserve"> من قيمة التكليف، وبتقييم الجولة نفسها لا بتقييم تفضيلي، وبموافقة الشريك مكتوبة. ولا تُقبل مطلقاً في خدمات المحور الثاني (التقييم والنمذجة) ولا الثالث (الفحص) — لأن الاستقلال فيهما هو المنتج.</w:t>
      </w:r>
    </w:p>
    <w:p>
      <w:pPr>
        <w:pStyle w:val="Heading2"/>
        <w:pageBreakBefore/>
        <w:pBdr>
          <w:top w:val="single" w:color="15171C" w:sz="12" w:space="8"/>
        </w:pBdr>
        <w:bidi/>
        <w:spacing w:after="160" w:before="360"/>
        <w:jc w:val="right"/>
        <w:outlineLvl w:val="1"/>
      </w:pPr>
      <w:r>
        <w:rPr>
          <w:rFonts w:ascii="Arial" w:cs="Arial" w:eastAsia="Arial" w:hAnsi="Arial"/>
          <w:b/>
          <w:bCs/>
          <w:color w:val="0F5C4A"/>
          <w:sz w:val="30"/>
          <w:szCs w:val="30"/>
          <w:rtl/>
        </w:rPr>
        <w:t xml:space="preserve">أسس تعاقد بديلة</w:t>
      </w:r>
    </w:p>
    <w:p>
      <w:pPr>
        <w:bidi/>
        <w:spacing w:after="120" w:before="80" w:line="300"/>
        <w:jc w:val="both"/>
      </w:pPr>
      <w:r>
        <w:rPr>
          <w:rFonts w:ascii="Arial" w:cs="Arial" w:eastAsia="Arial" w:hAnsi="Arial"/>
          <w:b w:val="false"/>
          <w:bCs w:val="false"/>
          <w:i w:val="false"/>
          <w:iCs w:val="false"/>
          <w:color w:val="15171C"/>
          <w:sz w:val="20"/>
          <w:szCs w:val="20"/>
          <w:rtl/>
        </w:rPr>
        <w:t xml:space="preserve">نموذج الأيام يناسب التكليفات محددة النطاق والمخرجات. وثمة ست حالات لا ينطبق عليها فتُسعَّر بأساس مختلف يُذكر صراحةً في العرض.</w:t>
      </w:r>
    </w:p>
    <w:tbl>
      <w:tblPr>
        <w:bidiVisual/>
        <w:tblW w:type="dxa" w:w="9360"/>
        <w:tblBorders>
          <w:top w:val="single" w:color="D8D5CC" w:sz="4"/>
          <w:left w:val="single" w:color="D8D5CC" w:sz="4"/>
          <w:bottom w:val="single" w:color="D8D5CC" w:sz="4"/>
          <w:right w:val="single" w:color="D8D5CC" w:sz="4"/>
          <w:insideH w:val="single" w:color="EAE7E0" w:sz="2"/>
          <w:insideV w:val="single" w:color="EAE7E0" w:sz="2"/>
        </w:tblBorders>
      </w:tblPr>
      <w:tblGrid>
        <w:gridCol w:w="1090"/>
        <w:gridCol w:w="2533"/>
        <w:gridCol w:w="5737"/>
      </w:tblGrid>
      <w:tr>
        <w:trPr>
          <w:tblHeader/>
        </w:trPr>
        <w:tc>
          <w:tcPr>
            <w:tcW w:type="dxa" w:w="1090"/>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الأساس</w:t>
            </w:r>
          </w:p>
        </w:tc>
        <w:tc>
          <w:tcPr>
            <w:tcW w:type="dxa" w:w="2533"/>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ينطبق على</w:t>
            </w:r>
          </w:p>
        </w:tc>
        <w:tc>
          <w:tcPr>
            <w:tcW w:type="dxa" w:w="5737"/>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القاعدة</w:t>
            </w:r>
          </w:p>
        </w:tc>
      </w:tr>
      <w:tr>
        <w:tc>
          <w:tcPr>
            <w:tcW w:type="dxa" w:w="1090"/>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الأتعاب الشهرية</w:t>
            </w:r>
          </w:p>
        </w:tc>
        <w:tc>
          <w:tcPr>
            <w:tcW w:type="dxa" w:w="253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05.3 إدارة الجولة · إسناد القدرة · الاتفاقات الإطارية</w:t>
            </w:r>
          </w:p>
        </w:tc>
        <w:tc>
          <w:tcPr>
            <w:tcW w:type="dxa" w:w="573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عدد أيام شهرية متفق عليها × سعر اليوم للمستوى، بخصم بين 10% و15% مقابل ضمان الاستمرار. تُراجع كل ستة أشهر.</w:t>
            </w:r>
          </w:p>
        </w:tc>
      </w:tr>
      <w:tr>
        <w:tc>
          <w:tcPr>
            <w:tcW w:type="dxa" w:w="1090"/>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الفحص بالدفعة</w:t>
            </w:r>
          </w:p>
        </w:tc>
        <w:tc>
          <w:tcPr>
            <w:tcW w:type="dxa" w:w="253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03.3 فحص الصفقات للمستثمرين</w:t>
            </w:r>
          </w:p>
        </w:tc>
        <w:tc>
          <w:tcPr>
            <w:tcW w:type="dxa" w:w="573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تُسعَّر بالدفعة لا بالفرصة، بحد أقصى </w:t>
            </w:r>
            <w:r>
              <w:rPr>
                <w:rFonts w:ascii="Arial" w:cs="Arial" w:eastAsia="Arial" w:hAnsi="Arial"/>
                <w:b/>
                <w:bCs/>
                <w:i w:val="false"/>
                <w:iCs w:val="false"/>
                <w:color w:val="15171C"/>
                <w:sz w:val="18"/>
                <w:szCs w:val="18"/>
                <w:rtl/>
              </w:rPr>
              <w:t xml:space="preserve">خمس فرص</w:t>
            </w:r>
            <w:r>
              <w:rPr>
                <w:rFonts w:ascii="Arial" w:cs="Arial" w:eastAsia="Arial" w:hAnsi="Arial"/>
                <w:b w:val="false"/>
                <w:bCs w:val="false"/>
                <w:i w:val="false"/>
                <w:iCs w:val="false"/>
                <w:color w:val="15171C"/>
                <w:sz w:val="18"/>
                <w:szCs w:val="18"/>
                <w:rtl/>
              </w:rPr>
              <w:t xml:space="preserve">، مع سعر إضافي لكل فرصة تتجاوز الحد.</w:t>
            </w:r>
          </w:p>
        </w:tc>
      </w:tr>
      <w:tr>
        <w:tc>
          <w:tcPr>
            <w:tcW w:type="dxa" w:w="1090"/>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الاشتراك الدوري</w:t>
            </w:r>
          </w:p>
        </w:tc>
        <w:tc>
          <w:tcPr>
            <w:tcW w:type="dxa" w:w="253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06.1 و06.2 لوحات الأداء ومتابعة المحفظة</w:t>
            </w:r>
          </w:p>
        </w:tc>
        <w:tc>
          <w:tcPr>
            <w:tcW w:type="dxa" w:w="573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أتعاب بناء تُدفع مرة واحدة، واشتراك سنوي للتحديث والصيانة بين </w:t>
            </w:r>
            <w:r>
              <w:rPr>
                <w:rFonts w:ascii="Arial" w:cs="Arial" w:eastAsia="Arial" w:hAnsi="Arial"/>
                <w:b/>
                <w:bCs/>
                <w:i w:val="false"/>
                <w:iCs w:val="false"/>
                <w:color w:val="15171C"/>
                <w:sz w:val="18"/>
                <w:szCs w:val="18"/>
                <w:rtl/>
              </w:rPr>
              <w:t xml:space="preserve">15% و25%</w:t>
            </w:r>
            <w:r>
              <w:rPr>
                <w:rFonts w:ascii="Arial" w:cs="Arial" w:eastAsia="Arial" w:hAnsi="Arial"/>
                <w:b w:val="false"/>
                <w:bCs w:val="false"/>
                <w:i w:val="false"/>
                <w:iCs w:val="false"/>
                <w:color w:val="15171C"/>
                <w:sz w:val="18"/>
                <w:szCs w:val="18"/>
                <w:rtl/>
              </w:rPr>
              <w:t xml:space="preserve"> من أتعاب البناء.</w:t>
            </w:r>
          </w:p>
        </w:tc>
      </w:tr>
      <w:tr>
        <w:tc>
          <w:tcPr>
            <w:tcW w:type="dxa" w:w="1090"/>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اليوم التدريبي</w:t>
            </w:r>
          </w:p>
        </w:tc>
        <w:tc>
          <w:tcPr>
            <w:tcW w:type="dxa" w:w="253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07.3 برامج التدريب والإرشاد</w:t>
            </w:r>
          </w:p>
        </w:tc>
        <w:tc>
          <w:tcPr>
            <w:tcW w:type="dxa" w:w="573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سعر اليوم التدريبي، زائد إعداد المادة مرة واحدة، زائد سعر لكل مشارك يتجاوز الحد المتفق عليه.</w:t>
            </w:r>
          </w:p>
        </w:tc>
      </w:tr>
      <w:tr>
        <w:tc>
          <w:tcPr>
            <w:tcW w:type="dxa" w:w="1090"/>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أتعاب النجاح</w:t>
            </w:r>
          </w:p>
        </w:tc>
        <w:tc>
          <w:tcPr>
            <w:tcW w:type="dxa" w:w="253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المحور الخامس</w:t>
            </w:r>
          </w:p>
        </w:tc>
        <w:tc>
          <w:tcPr>
            <w:tcW w:type="dxa" w:w="573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وفق الجدول المتدرج وقواعده السبع.</w:t>
            </w:r>
          </w:p>
        </w:tc>
      </w:tr>
      <w:tr>
        <w:tc>
          <w:tcPr>
            <w:tcW w:type="dxa" w:w="1090"/>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الحصة في رأس المال</w:t>
            </w:r>
          </w:p>
        </w:tc>
        <w:tc>
          <w:tcPr>
            <w:tcW w:type="dxa" w:w="2533"/>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استثناء بموافقة الشريك</w:t>
            </w:r>
          </w:p>
        </w:tc>
        <w:tc>
          <w:tcPr>
            <w:tcW w:type="dxa" w:w="5737"/>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بالشروط الأربعة أعلاه، وممنوعة في المحورين الثاني والثالث.</w:t>
            </w:r>
          </w:p>
        </w:tc>
      </w:tr>
    </w:tbl>
    <w:p>
      <w:pPr>
        <w:spacing w:after="120"/>
      </w:pPr>
    </w:p>
    <w:p>
      <w:pPr>
        <w:pStyle w:val="Heading2"/>
        <w:pageBreakBefore/>
        <w:pBdr>
          <w:top w:val="single" w:color="15171C" w:sz="12" w:space="8"/>
        </w:pBdr>
        <w:bidi/>
        <w:spacing w:after="160" w:before="360"/>
        <w:jc w:val="right"/>
        <w:outlineLvl w:val="1"/>
      </w:pPr>
      <w:r>
        <w:rPr>
          <w:rFonts w:ascii="Arial" w:cs="Arial" w:eastAsia="Arial" w:hAnsi="Arial"/>
          <w:b/>
          <w:bCs/>
          <w:color w:val="0F5C4A"/>
          <w:sz w:val="30"/>
          <w:szCs w:val="30"/>
          <w:rtl/>
        </w:rPr>
        <w:t xml:space="preserve">شروط السداد</w:t>
      </w:r>
    </w:p>
    <w:tbl>
      <w:tblPr>
        <w:bidiVisual/>
        <w:tblW w:type="dxa" w:w="9360"/>
        <w:tblBorders>
          <w:top w:val="single" w:color="D8D5CC" w:sz="4"/>
          <w:left w:val="single" w:color="D8D5CC" w:sz="4"/>
          <w:bottom w:val="single" w:color="D8D5CC" w:sz="4"/>
          <w:right w:val="single" w:color="D8D5CC" w:sz="4"/>
          <w:insideH w:val="single" w:color="EAE7E0" w:sz="2"/>
          <w:insideV w:val="single" w:color="EAE7E0" w:sz="2"/>
        </w:tblBorders>
      </w:tblPr>
      <w:tblGrid>
        <w:gridCol w:w="2399"/>
        <w:gridCol w:w="1040"/>
        <w:gridCol w:w="5921"/>
      </w:tblGrid>
      <w:tr>
        <w:trPr>
          <w:tblHeader/>
        </w:trPr>
        <w:tc>
          <w:tcPr>
            <w:tcW w:type="dxa" w:w="2399"/>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الدفعة</w:t>
            </w:r>
          </w:p>
        </w:tc>
        <w:tc>
          <w:tcPr>
            <w:tcW w:type="dxa" w:w="1040"/>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النسبة</w:t>
            </w:r>
          </w:p>
        </w:tc>
        <w:tc>
          <w:tcPr>
            <w:tcW w:type="dxa" w:w="5921"/>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الاستحقاق</w:t>
            </w:r>
          </w:p>
        </w:tc>
      </w:tr>
      <w:tr>
        <w:tc>
          <w:tcPr>
            <w:tcW w:type="dxa" w:w="2399"/>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الأولى</w:t>
            </w:r>
          </w:p>
        </w:tc>
        <w:tc>
          <w:tcPr>
            <w:tcW w:type="dxa" w:w="1040"/>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50%</w:t>
            </w:r>
          </w:p>
        </w:tc>
        <w:tc>
          <w:tcPr>
            <w:tcW w:type="dxa" w:w="5921"/>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عند التوقيع — ويبدأ العمل باستلامها واستيفاء المدخلات</w:t>
            </w:r>
          </w:p>
        </w:tc>
      </w:tr>
      <w:tr>
        <w:tc>
          <w:tcPr>
            <w:tcW w:type="dxa" w:w="2399"/>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الثانية</w:t>
            </w:r>
          </w:p>
        </w:tc>
        <w:tc>
          <w:tcPr>
            <w:tcW w:type="dxa" w:w="104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30%</w:t>
            </w:r>
          </w:p>
        </w:tc>
        <w:tc>
          <w:tcPr>
            <w:tcW w:type="dxa" w:w="5921"/>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عند تسليم المسودة الأولى للمراجعة</w:t>
            </w:r>
          </w:p>
        </w:tc>
      </w:tr>
      <w:tr>
        <w:tc>
          <w:tcPr>
            <w:tcW w:type="dxa" w:w="2399"/>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الثالثة</w:t>
            </w:r>
          </w:p>
        </w:tc>
        <w:tc>
          <w:tcPr>
            <w:tcW w:type="dxa" w:w="104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20%</w:t>
            </w:r>
          </w:p>
        </w:tc>
        <w:tc>
          <w:tcPr>
            <w:tcW w:type="dxa" w:w="5921"/>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عند التسليم النهائي بعد استيفاء المراجعات</w:t>
            </w:r>
          </w:p>
        </w:tc>
      </w:tr>
      <w:tr>
        <w:tc>
          <w:tcPr>
            <w:tcW w:type="dxa" w:w="2399"/>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التكليفات الممتدة</w:t>
            </w:r>
          </w:p>
        </w:tc>
        <w:tc>
          <w:tcPr>
            <w:tcW w:type="dxa" w:w="104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شهرياً</w:t>
            </w:r>
          </w:p>
        </w:tc>
        <w:tc>
          <w:tcPr>
            <w:tcW w:type="dxa" w:w="5921"/>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ما يتجاوز </w:t>
            </w:r>
            <w:r>
              <w:rPr>
                <w:rFonts w:ascii="Arial" w:cs="Arial" w:eastAsia="Arial" w:hAnsi="Arial"/>
                <w:b/>
                <w:bCs/>
                <w:i w:val="false"/>
                <w:iCs w:val="false"/>
                <w:color w:val="15171C"/>
                <w:sz w:val="18"/>
                <w:szCs w:val="18"/>
                <w:rtl/>
              </w:rPr>
              <w:t xml:space="preserve">ثمانية أسابيع</w:t>
            </w:r>
            <w:r>
              <w:rPr>
                <w:rFonts w:ascii="Arial" w:cs="Arial" w:eastAsia="Arial" w:hAnsi="Arial"/>
                <w:b w:val="false"/>
                <w:bCs w:val="false"/>
                <w:i w:val="false"/>
                <w:iCs w:val="false"/>
                <w:color w:val="15171C"/>
                <w:sz w:val="18"/>
                <w:szCs w:val="18"/>
                <w:rtl/>
              </w:rPr>
              <w:t xml:space="preserve"> يُفوتر على أساس نسبة الإنجاز</w:t>
            </w:r>
          </w:p>
        </w:tc>
      </w:tr>
      <w:tr>
        <w:tc>
          <w:tcPr>
            <w:tcW w:type="dxa" w:w="2399"/>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الاشتراكات والأتعاب الشهرية</w:t>
            </w:r>
          </w:p>
        </w:tc>
        <w:tc>
          <w:tcPr>
            <w:tcW w:type="dxa" w:w="104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مقدماً</w:t>
            </w:r>
          </w:p>
        </w:tc>
        <w:tc>
          <w:tcPr>
            <w:tcW w:type="dxa" w:w="5921"/>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في بداية كل شهر</w:t>
            </w:r>
          </w:p>
        </w:tc>
      </w:tr>
      <w:tr>
        <w:tc>
          <w:tcPr>
            <w:tcW w:type="dxa" w:w="2399"/>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أتعاب النجاح</w:t>
            </w:r>
          </w:p>
        </w:tc>
        <w:tc>
          <w:tcPr>
            <w:tcW w:type="dxa" w:w="1040"/>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val="false"/>
              </w:rPr>
              <w:t xml:space="preserve">—</w:t>
            </w:r>
          </w:p>
        </w:tc>
        <w:tc>
          <w:tcPr>
            <w:tcW w:type="dxa" w:w="5921"/>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خلال 15 يوم عمل من وصول أموال الجولة إلى حساب الشركة</w:t>
            </w:r>
          </w:p>
        </w:tc>
      </w:tr>
    </w:tbl>
    <w:p>
      <w:pPr>
        <w:spacing w:after="120"/>
      </w:pPr>
    </w:p>
    <w:p>
      <w:pPr>
        <w:bidi/>
        <w:spacing w:after="120" w:before="80" w:line="300"/>
        <w:jc w:val="both"/>
      </w:pPr>
      <w:r>
        <w:rPr>
          <w:rFonts w:ascii="Arial" w:cs="Arial" w:eastAsia="Arial" w:hAnsi="Arial"/>
          <w:b w:val="false"/>
          <w:bCs w:val="false"/>
          <w:i w:val="false"/>
          <w:iCs w:val="false"/>
          <w:color w:val="15171C"/>
          <w:sz w:val="20"/>
          <w:szCs w:val="20"/>
          <w:rtl/>
        </w:rPr>
        <w:t xml:space="preserve">المصروفات المباشرة تُفوتر على التكلفة الفعلية عند تجاوزها التقدير بأكثر من 20%، وتُرفق بها مستنداتها.</w:t>
      </w:r>
    </w:p>
    <w:p>
      <w:pPr>
        <w:pStyle w:val="Heading3"/>
        <w:bidi/>
        <w:spacing w:after="100" w:before="240"/>
        <w:jc w:val="right"/>
        <w:outlineLvl w:val="2"/>
      </w:pPr>
      <w:r>
        <w:rPr>
          <w:rFonts w:ascii="Arial" w:cs="Arial" w:eastAsia="Arial" w:hAnsi="Arial"/>
          <w:b/>
          <w:bCs/>
          <w:color w:val="0F5C4A"/>
          <w:sz w:val="24"/>
          <w:szCs w:val="24"/>
          <w:rtl/>
        </w:rPr>
        <w:t xml:space="preserve">قاعدة مخاطر الائتمان</w:t>
      </w:r>
    </w:p>
    <w:p>
      <w:pPr>
        <w:bidi/>
        <w:spacing w:after="120" w:before="80" w:line="300"/>
        <w:jc w:val="both"/>
      </w:pPr>
      <w:r>
        <w:rPr>
          <w:rFonts w:ascii="Arial" w:cs="Arial" w:eastAsia="Arial" w:hAnsi="Arial"/>
          <w:b w:val="false"/>
          <w:bCs w:val="false"/>
          <w:i w:val="false"/>
          <w:iCs w:val="false"/>
          <w:color w:val="15171C"/>
          <w:sz w:val="20"/>
          <w:szCs w:val="20"/>
          <w:rtl/>
        </w:rPr>
        <w:t xml:space="preserve">المقدمة 50% هنا مقابل 40% في خط العقار، والسبب تجاري لا فني: عميل هذا الخط قد يكون شركة ما قبل الإيراد مدرجها النقدي خمسة أشهر، وإن لم تُغلق جولتها فقد لا تسدد الرصيد.</w:t>
      </w:r>
    </w:p>
    <w:p>
      <w:pPr>
        <w:bidi/>
        <w:spacing w:after="120" w:before="80" w:line="300"/>
        <w:jc w:val="both"/>
      </w:pPr>
      <w:r>
        <w:rPr>
          <w:rFonts w:ascii="Arial" w:cs="Arial" w:eastAsia="Arial" w:hAnsi="Arial"/>
          <w:b/>
          <w:bCs/>
          <w:i w:val="false"/>
          <w:iCs w:val="false"/>
          <w:color w:val="15171C"/>
          <w:sz w:val="20"/>
          <w:szCs w:val="20"/>
          <w:rtl/>
        </w:rPr>
        <w:t xml:space="preserve">وتُستكمل القاعدة بضابط تسليم:</w:t>
      </w:r>
      <w:r>
        <w:rPr>
          <w:rFonts w:ascii="Arial" w:cs="Arial" w:eastAsia="Arial" w:hAnsi="Arial"/>
          <w:b w:val="false"/>
          <w:bCs w:val="false"/>
          <w:i w:val="false"/>
          <w:iCs w:val="false"/>
          <w:color w:val="15171C"/>
          <w:sz w:val="20"/>
          <w:szCs w:val="20"/>
          <w:rtl/>
        </w:rPr>
        <w:t xml:space="preserve"> النسخة المقروءة من المخرج تُسلَّم عند المراجعة، </w:t>
      </w:r>
      <w:r>
        <w:rPr>
          <w:rFonts w:ascii="Arial" w:cs="Arial" w:eastAsia="Arial" w:hAnsi="Arial"/>
          <w:b/>
          <w:bCs/>
          <w:i w:val="false"/>
          <w:iCs w:val="false"/>
          <w:color w:val="15171C"/>
          <w:sz w:val="20"/>
          <w:szCs w:val="20"/>
          <w:rtl/>
        </w:rPr>
        <w:t xml:space="preserve">والملف المفتوح القابل للتعديل — نموذج Excel بصيغه، أو ملف العرض المصدري — لا يُسلَّم قبل تحصيل كامل الأتعاب.</w:t>
      </w:r>
      <w:r>
        <w:rPr>
          <w:rFonts w:ascii="Arial" w:cs="Arial" w:eastAsia="Arial" w:hAnsi="Arial"/>
          <w:b w:val="false"/>
          <w:bCs w:val="false"/>
          <w:i w:val="false"/>
          <w:iCs w:val="false"/>
          <w:color w:val="15171C"/>
          <w:sz w:val="20"/>
          <w:szCs w:val="20"/>
          <w:rtl/>
        </w:rPr>
        <w:t xml:space="preserve"> وهذا لا يمس معيار «النماذج المفتوحة» المعلن في الكتالوج؛ فالنموذج يُسلَّم مفتوح الصيغ كما وُعد العميل، وإنما يُسلَّم بعد السداد.</w:t>
      </w:r>
    </w:p>
    <w:p>
      <w:pPr>
        <w:pStyle w:val="Heading2"/>
        <w:pageBreakBefore/>
        <w:pBdr>
          <w:top w:val="single" w:color="15171C" w:sz="12" w:space="8"/>
        </w:pBdr>
        <w:bidi/>
        <w:spacing w:after="160" w:before="360"/>
        <w:jc w:val="right"/>
        <w:outlineLvl w:val="1"/>
      </w:pPr>
      <w:r>
        <w:rPr>
          <w:rFonts w:ascii="Arial" w:cs="Arial" w:eastAsia="Arial" w:hAnsi="Arial"/>
          <w:b/>
          <w:bCs/>
          <w:color w:val="0F5C4A"/>
          <w:sz w:val="30"/>
          <w:szCs w:val="30"/>
          <w:rtl/>
        </w:rPr>
        <w:t xml:space="preserve">المقارنة بالسوق</w:t>
      </w:r>
    </w:p>
    <w:p>
      <w:pPr>
        <w:bidi/>
        <w:spacing w:after="120" w:before="80" w:line="300"/>
        <w:jc w:val="both"/>
      </w:pPr>
      <w:r>
        <w:rPr>
          <w:rFonts w:ascii="Arial" w:cs="Arial" w:eastAsia="Arial" w:hAnsi="Arial"/>
          <w:b w:val="false"/>
          <w:bCs w:val="false"/>
          <w:i w:val="false"/>
          <w:iCs w:val="false"/>
          <w:color w:val="15171C"/>
          <w:sz w:val="20"/>
          <w:szCs w:val="20"/>
          <w:rtl/>
        </w:rPr>
        <w:t xml:space="preserve">الأسعار أعلاه لم تُبنَ من فراغ. هذه مراجع السوق التي قِيست عليها، وموضع LEAP منها.</w:t>
      </w:r>
    </w:p>
    <w:tbl>
      <w:tblPr>
        <w:bidiVisual/>
        <w:tblW w:type="dxa" w:w="9360"/>
        <w:tblBorders>
          <w:top w:val="single" w:color="D8D5CC" w:sz="4"/>
          <w:left w:val="single" w:color="D8D5CC" w:sz="4"/>
          <w:bottom w:val="single" w:color="D8D5CC" w:sz="4"/>
          <w:right w:val="single" w:color="D8D5CC" w:sz="4"/>
          <w:insideH w:val="single" w:color="EAE7E0" w:sz="2"/>
          <w:insideV w:val="single" w:color="EAE7E0" w:sz="2"/>
        </w:tblBorders>
      </w:tblPr>
      <w:tblGrid>
        <w:gridCol w:w="1209"/>
        <w:gridCol w:w="5319"/>
        <w:gridCol w:w="1534"/>
        <w:gridCol w:w="1298"/>
      </w:tblGrid>
      <w:tr>
        <w:trPr>
          <w:tblHeader/>
        </w:trPr>
        <w:tc>
          <w:tcPr>
            <w:tcW w:type="dxa" w:w="1209"/>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الخدمة</w:t>
            </w:r>
          </w:p>
        </w:tc>
        <w:tc>
          <w:tcPr>
            <w:tcW w:type="dxa" w:w="5319"/>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نطاق السوق المرجعي</w:t>
            </w:r>
          </w:p>
        </w:tc>
        <w:tc>
          <w:tcPr>
            <w:tcW w:type="dxa" w:w="1534"/>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سعر LEAP القياسي </w:t>
            </w:r>
            <w:r>
              <w:rPr>
                <w:rFonts w:ascii="Arial" w:cs="Arial" w:eastAsia="Arial" w:hAnsi="Arial"/>
                <w:b w:val="false"/>
                <w:bCs w:val="false"/>
                <w:i/>
                <w:iCs/>
                <w:color w:val="4A4F5A"/>
                <w:sz w:val="16"/>
                <w:szCs w:val="16"/>
                <w:rtl/>
              </w:rPr>
              <w:t xml:space="preserve">(السعودية · جولة أولى)</w:t>
            </w:r>
          </w:p>
        </w:tc>
        <w:tc>
          <w:tcPr>
            <w:tcW w:type="dxa" w:w="1298"/>
            <w:shd w:fill="F5F4F0" w:color="auto" w:val="clear"/>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6E7480"/>
                <w:sz w:val="16"/>
                <w:szCs w:val="16"/>
                <w:rtl/>
              </w:rPr>
              <w:t xml:space="preserve">الموضع</w:t>
            </w:r>
          </w:p>
        </w:tc>
      </w:tr>
      <w:tr>
        <w:tc>
          <w:tcPr>
            <w:tcW w:type="dxa" w:w="1209"/>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عرض الاستثمار</w:t>
            </w:r>
          </w:p>
        </w:tc>
        <w:tc>
          <w:tcPr>
            <w:tcW w:type="dxa" w:w="5319"/>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2,000–5,000 للمعتاد · 10,000–25,000 لجولة أولى · 15,000–50,000 للحزمة الشاملة</w:t>
            </w:r>
          </w:p>
        </w:tc>
        <w:tc>
          <w:tcPr>
            <w:tcW w:type="dxa" w:w="1534"/>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9,300</w:t>
            </w:r>
          </w:p>
        </w:tc>
        <w:tc>
          <w:tcPr>
            <w:tcW w:type="dxa" w:w="129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أسفل نطاق جولة أولى</w:t>
            </w:r>
          </w:p>
        </w:tc>
      </w:tr>
      <w:tr>
        <w:tc>
          <w:tcPr>
            <w:tcW w:type="dxa" w:w="1209"/>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النموذج المالي</w:t>
            </w:r>
          </w:p>
        </w:tc>
        <w:tc>
          <w:tcPr>
            <w:tcW w:type="dxa" w:w="5319"/>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يظهر عادة داخل حزم 15,000–50,000 شاملة العرض</w:t>
            </w:r>
          </w:p>
        </w:tc>
        <w:tc>
          <w:tcPr>
            <w:tcW w:type="dxa" w:w="1534"/>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12,300</w:t>
            </w:r>
          </w:p>
        </w:tc>
        <w:tc>
          <w:tcPr>
            <w:tcW w:type="dxa" w:w="129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مستقل، وتحت نطاق الحزمة</w:t>
            </w:r>
          </w:p>
        </w:tc>
      </w:tr>
      <w:tr>
        <w:tc>
          <w:tcPr>
            <w:tcW w:type="dxa" w:w="1209"/>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الفحص التجاري والمالي</w:t>
            </w:r>
          </w:p>
        </w:tc>
        <w:tc>
          <w:tcPr>
            <w:tcW w:type="dxa" w:w="5319"/>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50,000–150,000 للصفقات المتوسطة (10–100 مليون)، والمكاتب المتخصصة أقل من الأربعة الكبار بـ 30–50%</w:t>
            </w:r>
          </w:p>
        </w:tc>
        <w:tc>
          <w:tcPr>
            <w:tcW w:type="dxa" w:w="1534"/>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21,100</w:t>
            </w:r>
          </w:p>
        </w:tc>
        <w:tc>
          <w:tcPr>
            <w:tcW w:type="dxa" w:w="129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أسفل النطاق عمداً</w:t>
            </w:r>
          </w:p>
        </w:tc>
      </w:tr>
      <w:tr>
        <w:tc>
          <w:tcPr>
            <w:tcW w:type="dxa" w:w="1209"/>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أتعاب النجاح</w:t>
            </w:r>
          </w:p>
        </w:tc>
        <w:tc>
          <w:tcPr>
            <w:tcW w:type="dxa" w:w="5319"/>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3–8% للشركات الناشئة · 2–5% وسيطاً للجولات الأكبر · 1.5–2.5% لوكلاء الطرح لدى الصناديق</w:t>
            </w:r>
          </w:p>
        </w:tc>
        <w:tc>
          <w:tcPr>
            <w:tcW w:type="dxa" w:w="1534"/>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rPr>
              <w:t xml:space="preserve">2–6% متدرجة</w:t>
            </w:r>
          </w:p>
        </w:tc>
        <w:tc>
          <w:tcPr>
            <w:tcW w:type="dxa" w:w="129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داخل النطاق</w:t>
            </w:r>
          </w:p>
        </w:tc>
      </w:tr>
      <w:tr>
        <w:tc>
          <w:tcPr>
            <w:tcW w:type="dxa" w:w="1209"/>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الأتعاب الشهرية</w:t>
            </w:r>
          </w:p>
        </w:tc>
        <w:tc>
          <w:tcPr>
            <w:tcW w:type="dxa" w:w="5319"/>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5,000–20,000 دولار شهرياً</w:t>
            </w:r>
          </w:p>
        </w:tc>
        <w:tc>
          <w:tcPr>
            <w:tcW w:type="dxa" w:w="1534"/>
            <w:tcMar>
              <w:top w:type="dxa" w:w="70"/>
              <w:left w:type="dxa" w:w="100"/>
              <w:bottom w:type="dxa" w:w="70"/>
              <w:right w:type="dxa" w:w="100"/>
            </w:tcMar>
          </w:tcPr>
          <w:p>
            <w:pPr>
              <w:bidi/>
              <w:spacing w:after="0" w:before="0" w:line="260"/>
              <w:jc w:val="right"/>
            </w:pPr>
            <w:r>
              <w:rPr>
                <w:rFonts w:ascii="Arial" w:cs="Arial" w:eastAsia="Arial" w:hAnsi="Arial"/>
                <w:b/>
                <w:bCs/>
                <w:i w:val="false"/>
                <w:iCs w:val="false"/>
                <w:color w:val="15171C"/>
                <w:sz w:val="18"/>
                <w:szCs w:val="18"/>
                <w:rtl w:val="false"/>
              </w:rPr>
              <w:t xml:space="preserve">9,500</w:t>
            </w:r>
          </w:p>
        </w:tc>
        <w:tc>
          <w:tcPr>
            <w:tcW w:type="dxa" w:w="1298"/>
            <w:tcMar>
              <w:top w:type="dxa" w:w="70"/>
              <w:left w:type="dxa" w:w="100"/>
              <w:bottom w:type="dxa" w:w="70"/>
              <w:right w:type="dxa" w:w="100"/>
            </w:tcMar>
          </w:tcPr>
          <w:p>
            <w:pPr>
              <w:bidi/>
              <w:spacing w:after="0" w:before="0" w:line="260"/>
              <w:jc w:val="right"/>
            </w:pPr>
            <w:r>
              <w:rPr>
                <w:rFonts w:ascii="Arial" w:cs="Arial" w:eastAsia="Arial" w:hAnsi="Arial"/>
                <w:b w:val="false"/>
                <w:bCs w:val="false"/>
                <w:i w:val="false"/>
                <w:iCs w:val="false"/>
                <w:color w:val="15171C"/>
                <w:sz w:val="18"/>
                <w:szCs w:val="18"/>
                <w:rtl/>
              </w:rPr>
              <w:t xml:space="preserve">وسط النطاق</w:t>
            </w:r>
          </w:p>
        </w:tc>
      </w:tr>
    </w:tbl>
    <w:p>
      <w:pPr>
        <w:spacing w:after="120"/>
      </w:pPr>
    </w:p>
    <w:p>
      <w:pPr>
        <w:bidi/>
        <w:spacing w:after="120" w:before="80" w:line="300"/>
        <w:jc w:val="both"/>
      </w:pPr>
      <w:r>
        <w:rPr>
          <w:rFonts w:ascii="Arial" w:cs="Arial" w:eastAsia="Arial" w:hAnsi="Arial"/>
          <w:b/>
          <w:bCs/>
          <w:i w:val="false"/>
          <w:iCs w:val="false"/>
          <w:color w:val="15171C"/>
          <w:sz w:val="20"/>
          <w:szCs w:val="20"/>
          <w:rtl/>
        </w:rPr>
        <w:t xml:space="preserve">لماذا الفحص أسفل النطاق عمداً؟</w:t>
      </w:r>
      <w:r>
        <w:rPr>
          <w:rFonts w:ascii="Arial" w:cs="Arial" w:eastAsia="Arial" w:hAnsi="Arial"/>
          <w:b w:val="false"/>
          <w:bCs w:val="false"/>
          <w:i w:val="false"/>
          <w:iCs w:val="false"/>
          <w:color w:val="15171C"/>
          <w:sz w:val="20"/>
          <w:szCs w:val="20"/>
          <w:rtl/>
        </w:rPr>
        <w:t xml:space="preserve"> لأن مراجع السوق مبنية على صفقات استحواذ متوسطة الحجم تتراوح بين عشرة ومئة مليون دولار، ونطاق هذا الكتالوج صفقات رأس مال مخاطر في مراحل مبكرة — وهي أصغر نطاقاً وأقصر مدى. والسعر يتبع العمل لا اسم الخدمة.</w:t>
      </w:r>
    </w:p>
    <w:p>
      <w:pPr>
        <w:pStyle w:val="Heading3"/>
        <w:bidi/>
        <w:spacing w:after="100" w:before="240"/>
        <w:jc w:val="right"/>
        <w:outlineLvl w:val="2"/>
      </w:pPr>
      <w:r>
        <w:rPr>
          <w:rFonts w:ascii="Arial" w:cs="Arial" w:eastAsia="Arial" w:hAnsi="Arial"/>
          <w:b/>
          <w:bCs/>
          <w:color w:val="0F5C4A"/>
          <w:sz w:val="24"/>
          <w:szCs w:val="24"/>
          <w:rtl/>
        </w:rPr>
        <w:t xml:space="preserve">تحفظان على هذه المقارنة</w:t>
      </w:r>
    </w:p>
    <w:p>
      <w:pPr>
        <w:bidi/>
        <w:spacing w:after="120" w:before="80" w:line="300"/>
        <w:jc w:val="both"/>
      </w:pPr>
      <w:r>
        <w:rPr>
          <w:rFonts w:ascii="Arial" w:cs="Arial" w:eastAsia="Arial" w:hAnsi="Arial"/>
          <w:b w:val="false"/>
          <w:bCs w:val="false"/>
          <w:i w:val="false"/>
          <w:iCs w:val="false"/>
          <w:color w:val="15171C"/>
          <w:sz w:val="20"/>
          <w:szCs w:val="20"/>
          <w:rtl/>
        </w:rPr>
        <w:t xml:space="preserve">يجب أن يُقرآ مع الأرقام أعلاه:</w:t>
      </w:r>
    </w:p>
    <w:p>
      <w:pPr>
        <w:pStyle w:val="ListParagraph"/>
        <w:numPr>
          <w:ilvl w:val="0"/>
          <w:numId w:val="2"/>
        </w:numPr>
        <w:bidi/>
        <w:spacing w:after="60" w:before="80" w:line="300"/>
        <w:jc w:val="both"/>
      </w:pPr>
      <w:r>
        <w:rPr>
          <w:rFonts w:ascii="Arial" w:cs="Arial" w:eastAsia="Arial" w:hAnsi="Arial"/>
          <w:b/>
          <w:bCs/>
          <w:i w:val="false"/>
          <w:iCs w:val="false"/>
          <w:color w:val="15171C"/>
          <w:sz w:val="20"/>
          <w:szCs w:val="20"/>
          <w:rtl/>
        </w:rPr>
        <w:t xml:space="preserve">المراجع المتاحة أمريكية وأوروبية في أغلبها.</w:t>
      </w:r>
      <w:r>
        <w:rPr>
          <w:rFonts w:ascii="Arial" w:cs="Arial" w:eastAsia="Arial" w:hAnsi="Arial"/>
          <w:b w:val="false"/>
          <w:bCs w:val="false"/>
          <w:i w:val="false"/>
          <w:iCs w:val="false"/>
          <w:color w:val="15171C"/>
          <w:sz w:val="20"/>
          <w:szCs w:val="20"/>
          <w:rtl/>
        </w:rPr>
        <w:t xml:space="preserve"> لم أجد مسحاً منشوراً لأتعاب الاستشارات الاستثمارية في أسواق المنطقة تحديداً، ومكاتب الاستشارات لا تنشر جداول أجورها لأنها تعدّها سراً تجارياً. ومعامل السوق (مصر 0.70) هو ما يجسر هذه الفجوة، وهو تقدير مبني على فارق حجم التذاكر لا على مسح أتعاب مباشر.</w:t>
      </w:r>
    </w:p>
    <w:p>
      <w:pPr>
        <w:pStyle w:val="ListParagraph"/>
        <w:numPr>
          <w:ilvl w:val="0"/>
          <w:numId w:val="2"/>
        </w:numPr>
        <w:bidi/>
        <w:spacing w:after="60" w:before="80" w:line="300"/>
        <w:jc w:val="both"/>
      </w:pPr>
      <w:r>
        <w:rPr>
          <w:rFonts w:ascii="Arial" w:cs="Arial" w:eastAsia="Arial" w:hAnsi="Arial"/>
          <w:b/>
          <w:bCs/>
          <w:i w:val="false"/>
          <w:iCs w:val="false"/>
          <w:color w:val="15171C"/>
          <w:sz w:val="20"/>
          <w:szCs w:val="20"/>
          <w:rtl/>
        </w:rPr>
        <w:t xml:space="preserve">يلزم التحقق الميداني.</w:t>
      </w:r>
      <w:r>
        <w:rPr>
          <w:rFonts w:ascii="Arial" w:cs="Arial" w:eastAsia="Arial" w:hAnsi="Arial"/>
          <w:b w:val="false"/>
          <w:bCs w:val="false"/>
          <w:i w:val="false"/>
          <w:iCs w:val="false"/>
          <w:color w:val="15171C"/>
          <w:sz w:val="20"/>
          <w:szCs w:val="20"/>
          <w:rtl/>
        </w:rPr>
        <w:t xml:space="preserve"> أدق مصدر متاح لكم وغير متاح لي هو عروضكم المرفوضة: خمسة عروض خُسرت على السعر، وخمسة قُبلت دون تفاوض، تُخبر عن السوق أكثر من أي مسح منشور. </w:t>
      </w:r>
      <w:r>
        <w:rPr>
          <w:rFonts w:ascii="Arial" w:cs="Arial" w:eastAsia="Arial" w:hAnsi="Arial"/>
          <w:b/>
          <w:bCs/>
          <w:i w:val="false"/>
          <w:iCs w:val="false"/>
          <w:color w:val="15171C"/>
          <w:sz w:val="20"/>
          <w:szCs w:val="20"/>
          <w:rtl/>
        </w:rPr>
        <w:t xml:space="preserve">والعرض الذي يُقبل فوراً ودون نقاش دليل على أن سعره منخفض</w:t>
      </w:r>
      <w:r>
        <w:rPr>
          <w:rFonts w:ascii="Arial" w:cs="Arial" w:eastAsia="Arial" w:hAnsi="Arial"/>
          <w:b w:val="false"/>
          <w:bCs w:val="false"/>
          <w:i w:val="false"/>
          <w:iCs w:val="false"/>
          <w:color w:val="15171C"/>
          <w:sz w:val="20"/>
          <w:szCs w:val="20"/>
          <w:rtl/>
        </w:rPr>
        <w:t xml:space="preserve"> لا على جودة العرض.</w:t>
      </w:r>
    </w:p>
    <w:p>
      <w:pPr>
        <w:pStyle w:val="Heading2"/>
        <w:pageBreakBefore/>
        <w:pBdr>
          <w:top w:val="single" w:color="15171C" w:sz="12" w:space="8"/>
        </w:pBdr>
        <w:bidi/>
        <w:spacing w:after="160" w:before="360"/>
        <w:jc w:val="right"/>
        <w:outlineLvl w:val="1"/>
      </w:pPr>
      <w:r>
        <w:rPr>
          <w:rFonts w:ascii="Arial" w:cs="Arial" w:eastAsia="Arial" w:hAnsi="Arial"/>
          <w:b/>
          <w:bCs/>
          <w:color w:val="0F5C4A"/>
          <w:sz w:val="30"/>
          <w:szCs w:val="30"/>
          <w:rtl/>
        </w:rPr>
        <w:t xml:space="preserve">قائمة فحص قبل إصدار أي عرض</w:t>
      </w:r>
    </w:p>
    <w:p>
      <w:pPr>
        <w:bidi/>
        <w:spacing w:after="120" w:before="80" w:line="300"/>
        <w:jc w:val="both"/>
      </w:pPr>
      <w:r>
        <w:rPr>
          <w:rFonts w:ascii="Arial" w:cs="Arial" w:eastAsia="Arial" w:hAnsi="Arial"/>
          <w:b w:val="false"/>
          <w:bCs w:val="false"/>
          <w:i w:val="false"/>
          <w:iCs w:val="false"/>
          <w:color w:val="15171C"/>
          <w:sz w:val="20"/>
          <w:szCs w:val="20"/>
          <w:rtl/>
        </w:rPr>
        <w:t xml:space="preserve">سبعة أسطر تُراجَع قبل الإرسال:</w:t>
      </w:r>
    </w:p>
    <w:p>
      <w:pPr>
        <w:pStyle w:val="ListParagraph"/>
        <w:numPr>
          <w:ilvl w:val="0"/>
          <w:numId w:val="2"/>
        </w:numPr>
        <w:bidi/>
        <w:spacing w:after="60" w:before="80" w:line="300"/>
        <w:jc w:val="both"/>
      </w:pPr>
      <w:r>
        <w:rPr>
          <w:rFonts w:ascii="Arial" w:cs="Arial" w:eastAsia="Arial" w:hAnsi="Arial"/>
          <w:b w:val="false"/>
          <w:bCs w:val="false"/>
          <w:i w:val="false"/>
          <w:iCs w:val="false"/>
          <w:color w:val="15171C"/>
          <w:sz w:val="20"/>
          <w:szCs w:val="20"/>
          <w:rtl/>
        </w:rPr>
        <w:t xml:space="preserve">☐ أيام العمل مأخوذة من الجدول، وأي انحراف عنها مكتوب سببه في ملف العرض</w:t>
      </w:r>
    </w:p>
    <w:p>
      <w:pPr>
        <w:pStyle w:val="ListParagraph"/>
        <w:numPr>
          <w:ilvl w:val="0"/>
          <w:numId w:val="2"/>
        </w:numPr>
        <w:bidi/>
        <w:spacing w:after="60" w:before="80" w:line="300"/>
        <w:jc w:val="both"/>
      </w:pPr>
      <w:r>
        <w:rPr>
          <w:rFonts w:ascii="Arial" w:cs="Arial" w:eastAsia="Arial" w:hAnsi="Arial"/>
          <w:b w:val="false"/>
          <w:bCs w:val="false"/>
          <w:i w:val="false"/>
          <w:iCs w:val="false"/>
          <w:color w:val="15171C"/>
          <w:sz w:val="20"/>
          <w:szCs w:val="20"/>
          <w:rtl/>
        </w:rPr>
        <w:t xml:space="preserve">☐ درجة التعقيد مثبتة ومعها سبب اختيارها في سطر واحد</w:t>
      </w:r>
    </w:p>
    <w:p>
      <w:pPr>
        <w:pStyle w:val="ListParagraph"/>
        <w:numPr>
          <w:ilvl w:val="0"/>
          <w:numId w:val="2"/>
        </w:numPr>
        <w:bidi/>
        <w:spacing w:after="60" w:before="80" w:line="300"/>
        <w:jc w:val="both"/>
      </w:pPr>
      <w:r>
        <w:rPr>
          <w:rFonts w:ascii="Arial" w:cs="Arial" w:eastAsia="Arial" w:hAnsi="Arial"/>
          <w:b w:val="false"/>
          <w:bCs w:val="false"/>
          <w:i w:val="false"/>
          <w:iCs w:val="false"/>
          <w:color w:val="15171C"/>
          <w:sz w:val="20"/>
          <w:szCs w:val="20"/>
          <w:rtl/>
        </w:rPr>
        <w:t xml:space="preserve">☐ حاصل ضرب المعاملات محسوب، وإن تجاوز 3.0 فقد رُوجع</w:t>
      </w:r>
    </w:p>
    <w:p>
      <w:pPr>
        <w:pStyle w:val="ListParagraph"/>
        <w:numPr>
          <w:ilvl w:val="0"/>
          <w:numId w:val="2"/>
        </w:numPr>
        <w:bidi/>
        <w:spacing w:after="60" w:before="80" w:line="300"/>
        <w:jc w:val="both"/>
      </w:pPr>
      <w:r>
        <w:rPr>
          <w:rFonts w:ascii="Arial" w:cs="Arial" w:eastAsia="Arial" w:hAnsi="Arial"/>
          <w:b w:val="false"/>
          <w:bCs w:val="false"/>
          <w:i w:val="false"/>
          <w:iCs w:val="false"/>
          <w:color w:val="15171C"/>
          <w:sz w:val="20"/>
          <w:szCs w:val="20"/>
          <w:rtl/>
        </w:rPr>
        <w:t xml:space="preserve">☐ الهامش المتحقق محسوب، وفارقه عن 50% لا يتجاوز خمس نقاط في الاتجاهين</w:t>
      </w:r>
    </w:p>
    <w:p>
      <w:pPr>
        <w:pStyle w:val="ListParagraph"/>
        <w:numPr>
          <w:ilvl w:val="0"/>
          <w:numId w:val="2"/>
        </w:numPr>
        <w:bidi/>
        <w:spacing w:after="60" w:before="80" w:line="300"/>
        <w:jc w:val="both"/>
      </w:pPr>
      <w:r>
        <w:rPr>
          <w:rFonts w:ascii="Arial" w:cs="Arial" w:eastAsia="Arial" w:hAnsi="Arial"/>
          <w:b w:val="false"/>
          <w:bCs w:val="false"/>
          <w:i w:val="false"/>
          <w:iCs w:val="false"/>
          <w:color w:val="15171C"/>
          <w:sz w:val="20"/>
          <w:szCs w:val="20"/>
          <w:rtl/>
        </w:rPr>
        <w:t xml:space="preserve">☐ سعر الصرف المعتمد مذكور في العرض إن كان بغير الدولار</w:t>
      </w:r>
    </w:p>
    <w:p>
      <w:pPr>
        <w:pStyle w:val="ListParagraph"/>
        <w:numPr>
          <w:ilvl w:val="0"/>
          <w:numId w:val="2"/>
        </w:numPr>
        <w:bidi/>
        <w:spacing w:after="60" w:before="80" w:line="300"/>
        <w:jc w:val="both"/>
      </w:pPr>
      <w:r>
        <w:rPr>
          <w:rFonts w:ascii="Arial" w:cs="Arial" w:eastAsia="Arial" w:hAnsi="Arial"/>
          <w:b w:val="false"/>
          <w:bCs w:val="false"/>
          <w:i w:val="false"/>
          <w:iCs w:val="false"/>
          <w:color w:val="15171C"/>
          <w:sz w:val="20"/>
          <w:szCs w:val="20"/>
          <w:rtl/>
        </w:rPr>
        <w:t xml:space="preserve">☐ في تكليفات المحور الخامس: قائمة المستثمرين المسماة مرفقة، وحدود أتعاب النجاح وسقفها منصوص عليها</w:t>
      </w:r>
    </w:p>
    <w:p>
      <w:pPr>
        <w:pStyle w:val="ListParagraph"/>
        <w:numPr>
          <w:ilvl w:val="0"/>
          <w:numId w:val="2"/>
        </w:numPr>
        <w:bidi/>
        <w:spacing w:after="60" w:before="80" w:line="300"/>
        <w:jc w:val="both"/>
      </w:pPr>
      <w:r>
        <w:rPr>
          <w:rFonts w:ascii="Arial" w:cs="Arial" w:eastAsia="Arial" w:hAnsi="Arial"/>
          <w:b w:val="false"/>
          <w:bCs w:val="false"/>
          <w:i w:val="false"/>
          <w:iCs w:val="false"/>
          <w:color w:val="15171C"/>
          <w:sz w:val="20"/>
          <w:szCs w:val="20"/>
          <w:rtl/>
        </w:rPr>
        <w:t xml:space="preserve">☐ في التكليفات التي تقترب من حد الترتيب أو الطرح: تمت المراجعة التنظيمية</w:t>
      </w:r>
    </w:p>
    <w:p>
      <w:pPr>
        <w:pStyle w:val="Heading2"/>
        <w:pageBreakBefore/>
        <w:pBdr>
          <w:top w:val="single" w:color="15171C" w:sz="12" w:space="8"/>
        </w:pBdr>
        <w:bidi/>
        <w:spacing w:after="160" w:before="360"/>
        <w:jc w:val="right"/>
        <w:outlineLvl w:val="1"/>
      </w:pPr>
      <w:r>
        <w:rPr>
          <w:rFonts w:ascii="Arial" w:cs="Arial" w:eastAsia="Arial" w:hAnsi="Arial"/>
          <w:b/>
          <w:bCs/>
          <w:color w:val="0F5C4A"/>
          <w:sz w:val="30"/>
          <w:szCs w:val="30"/>
          <w:rtl/>
        </w:rPr>
        <w:t xml:space="preserve">ثلاثة قرارات تحتاج رأيكم</w:t>
      </w:r>
    </w:p>
    <w:p>
      <w:pPr>
        <w:bidi/>
        <w:spacing w:after="120" w:before="80" w:line="300"/>
        <w:jc w:val="both"/>
      </w:pPr>
      <w:r>
        <w:rPr>
          <w:rFonts w:ascii="Arial" w:cs="Arial" w:eastAsia="Arial" w:hAnsi="Arial"/>
          <w:b/>
          <w:bCs/>
          <w:i w:val="false"/>
          <w:iCs w:val="false"/>
          <w:color w:val="15171C"/>
          <w:sz w:val="20"/>
          <w:szCs w:val="20"/>
          <w:rtl/>
        </w:rPr>
        <w:t xml:space="preserve">1. قاعدة السوق الأساس.</w:t>
      </w:r>
      <w:r>
        <w:rPr>
          <w:rFonts w:ascii="Arial" w:cs="Arial" w:eastAsia="Arial" w:hAnsi="Arial"/>
          <w:b w:val="false"/>
          <w:bCs w:val="false"/>
          <w:i w:val="false"/>
          <w:iCs w:val="false"/>
          <w:color w:val="15171C"/>
          <w:sz w:val="20"/>
          <w:szCs w:val="20"/>
          <w:rtl/>
        </w:rPr>
        <w:t xml:space="preserve"> جعلتُ السعودية الأساس (1.00) لتبقى المقارنة ممكنة مع منهجية التطوير العقاري داخل الشركة. والبديل أن تكون مصر هي الأساس — وهو أقرب لواقع حجم أعمالكم إن كان أغلب التكليفات مصرياً — لكنه يقطع الاتساق بين المستندين. وأرى الإبقاء على السعودية، وإعادة النظر إذا تبيّن أن أكثر من 70% من التكليفات مصرية.</w:t>
      </w:r>
    </w:p>
    <w:p>
      <w:pPr>
        <w:bidi/>
        <w:spacing w:after="120" w:before="80" w:line="300"/>
        <w:jc w:val="both"/>
      </w:pPr>
      <w:r>
        <w:rPr>
          <w:rFonts w:ascii="Arial" w:cs="Arial" w:eastAsia="Arial" w:hAnsi="Arial"/>
          <w:b/>
          <w:bCs/>
          <w:i w:val="false"/>
          <w:iCs w:val="false"/>
          <w:color w:val="15171C"/>
          <w:sz w:val="20"/>
          <w:szCs w:val="20"/>
          <w:rtl/>
        </w:rPr>
        <w:t xml:space="preserve">2. الهامش المستهدف 50%.</w:t>
      </w:r>
      <w:r>
        <w:rPr>
          <w:rFonts w:ascii="Arial" w:cs="Arial" w:eastAsia="Arial" w:hAnsi="Arial"/>
          <w:b w:val="false"/>
          <w:bCs w:val="false"/>
          <w:i w:val="false"/>
          <w:iCs w:val="false"/>
          <w:color w:val="15171C"/>
          <w:sz w:val="20"/>
          <w:szCs w:val="20"/>
          <w:rtl/>
        </w:rPr>
        <w:t xml:space="preserve"> رفعته عن 45% في خط العقار بحجة إعادة استخدام الأدوات وقاعدة التكلفة الأدنى. وهذا يحتاج تحققاً من واقع أرقامكم: إن كانت نسبة التحميل الفعلية أقل من 60%، أو كان بناء كل نموذج يتم من الصفر فعلياً، فالمستهدف الصحيح 45% وتحتاج أسعار الجدول إلى رفع بنحو 8%.</w:t>
      </w:r>
    </w:p>
    <w:p>
      <w:pPr>
        <w:bidi/>
        <w:spacing w:after="120" w:before="80" w:line="300"/>
        <w:jc w:val="both"/>
      </w:pPr>
      <w:r>
        <w:rPr>
          <w:rFonts w:ascii="Arial" w:cs="Arial" w:eastAsia="Arial" w:hAnsi="Arial"/>
          <w:b/>
          <w:bCs/>
          <w:i w:val="false"/>
          <w:iCs w:val="false"/>
          <w:color w:val="15171C"/>
          <w:sz w:val="20"/>
          <w:szCs w:val="20"/>
          <w:rtl/>
        </w:rPr>
        <w:t xml:space="preserve">3. أتعاب النجاح — هل تُفعَّل أصلاً؟</w:t>
      </w:r>
      <w:r>
        <w:rPr>
          <w:rFonts w:ascii="Arial" w:cs="Arial" w:eastAsia="Arial" w:hAnsi="Arial"/>
          <w:b w:val="false"/>
          <w:bCs w:val="false"/>
          <w:i w:val="false"/>
          <w:iCs w:val="false"/>
          <w:color w:val="15171C"/>
          <w:sz w:val="20"/>
          <w:szCs w:val="20"/>
          <w:rtl/>
        </w:rPr>
        <w:t xml:space="preserve"> الجدول المتدرج جاهز وقواعده مضبوطة، لكن تفعيله قرار استراتيجي قبل أن يكون تسعيرياً: فهو يرفع العائد على الجولات الناجحة، ويضعكم في نطاق نشاط منظَّم يحتاج مراجعة قانونية في كل سوق. والبديل الأسلم — وهو ما أرشّحه للسنة الأولى — </w:t>
      </w:r>
      <w:r>
        <w:rPr>
          <w:rFonts w:ascii="Arial" w:cs="Arial" w:eastAsia="Arial" w:hAnsi="Arial"/>
          <w:b/>
          <w:bCs/>
          <w:i w:val="false"/>
          <w:iCs w:val="false"/>
          <w:color w:val="15171C"/>
          <w:sz w:val="20"/>
          <w:szCs w:val="20"/>
          <w:rtl/>
        </w:rPr>
        <w:t xml:space="preserve">الاكتفاء بالأتعاب الشهرية لإدارة الجولة دون أتعاب نجاح</w:t>
      </w:r>
      <w:r>
        <w:rPr>
          <w:rFonts w:ascii="Arial" w:cs="Arial" w:eastAsia="Arial" w:hAnsi="Arial"/>
          <w:b w:val="false"/>
          <w:bCs w:val="false"/>
          <w:i w:val="false"/>
          <w:iCs w:val="false"/>
          <w:color w:val="15171C"/>
          <w:sz w:val="20"/>
          <w:szCs w:val="20"/>
          <w:rtl/>
        </w:rPr>
        <w:t xml:space="preserve">، حتى تستقر المراجعة التنظيمية في أسواقكم الثلاثة الرئيسية.</w:t>
      </w:r>
    </w:p>
    <w:p>
      <w:pPr>
        <w:pStyle w:val="Heading3"/>
        <w:bidi/>
        <w:spacing w:after="100" w:before="240"/>
        <w:jc w:val="right"/>
        <w:outlineLvl w:val="2"/>
      </w:pPr>
      <w:r>
        <w:rPr>
          <w:rFonts w:ascii="Arial" w:cs="Arial" w:eastAsia="Arial" w:hAnsi="Arial"/>
          <w:b/>
          <w:bCs/>
          <w:color w:val="0F5C4A"/>
          <w:sz w:val="24"/>
          <w:szCs w:val="24"/>
          <w:rtl/>
        </w:rPr>
        <w:t xml:space="preserve">المصادر</w:t>
      </w:r>
    </w:p>
    <w:p>
      <w:pPr>
        <w:bidi/>
        <w:spacing w:after="120" w:before="80" w:line="300"/>
        <w:jc w:val="both"/>
      </w:pPr>
      <w:r>
        <w:rPr>
          <w:rFonts w:ascii="Arial" w:cs="Arial" w:eastAsia="Arial" w:hAnsi="Arial"/>
          <w:b w:val="false"/>
          <w:bCs w:val="false"/>
          <w:i w:val="false"/>
          <w:iCs w:val="false"/>
          <w:color w:val="15171C"/>
          <w:sz w:val="20"/>
          <w:szCs w:val="20"/>
          <w:rtl/>
        </w:rPr>
        <w:t xml:space="preserve">بحث الأسعار استند إلى المراجع التالية:</w:t>
      </w:r>
    </w:p>
    <w:p>
      <w:pPr>
        <w:pStyle w:val="ListParagraph"/>
        <w:numPr>
          <w:ilvl w:val="0"/>
          <w:numId w:val="1"/>
        </w:numPr>
        <w:bidi w:val="false"/>
        <w:spacing w:after="60" w:before="80" w:line="300"/>
        <w:jc w:val="left"/>
      </w:pPr>
      <w:r>
        <w:rPr>
          <w:rFonts w:ascii="Arial" w:cs="Arial" w:eastAsia="Arial" w:hAnsi="Arial"/>
          <w:b w:val="false"/>
          <w:bCs w:val="false"/>
          <w:i w:val="false"/>
          <w:iCs w:val="false"/>
          <w:color w:val="0F5C4A"/>
          <w:sz w:val="20"/>
          <w:szCs w:val="20"/>
          <w:rtl w:val="false"/>
        </w:rPr>
        <w:t xml:space="preserve">M&amp;A Advisor Fees in 2026: Retainers, Success Fees, Lehman — Waveup</w:t>
      </w:r>
    </w:p>
    <w:p>
      <w:pPr>
        <w:pStyle w:val="ListParagraph"/>
        <w:numPr>
          <w:ilvl w:val="0"/>
          <w:numId w:val="1"/>
        </w:numPr>
        <w:bidi w:val="false"/>
        <w:spacing w:after="60" w:before="80" w:line="300"/>
        <w:jc w:val="left"/>
      </w:pPr>
      <w:r>
        <w:rPr>
          <w:rFonts w:ascii="Arial" w:cs="Arial" w:eastAsia="Arial" w:hAnsi="Arial"/>
          <w:b w:val="false"/>
          <w:bCs w:val="false"/>
          <w:i w:val="false"/>
          <w:iCs w:val="false"/>
          <w:color w:val="0F5C4A"/>
          <w:sz w:val="20"/>
          <w:szCs w:val="20"/>
          <w:rtl w:val="false"/>
        </w:rPr>
        <w:t xml:space="preserve">Fundraising Consultant Fees 2026: Complete Cost Guide</w:t>
      </w:r>
    </w:p>
    <w:p>
      <w:pPr>
        <w:pStyle w:val="ListParagraph"/>
        <w:numPr>
          <w:ilvl w:val="0"/>
          <w:numId w:val="1"/>
        </w:numPr>
        <w:bidi w:val="false"/>
        <w:spacing w:after="60" w:before="80" w:line="300"/>
        <w:jc w:val="left"/>
      </w:pPr>
      <w:r>
        <w:rPr>
          <w:rFonts w:ascii="Arial" w:cs="Arial" w:eastAsia="Arial" w:hAnsi="Arial"/>
          <w:b w:val="false"/>
          <w:bCs w:val="false"/>
          <w:i w:val="false"/>
          <w:iCs w:val="false"/>
          <w:color w:val="0F5C4A"/>
          <w:sz w:val="20"/>
          <w:szCs w:val="20"/>
          <w:rtl w:val="false"/>
        </w:rPr>
        <w:t xml:space="preserve">Placement Agent Fees in 2026: What Fund Managers Actually Pay</w:t>
      </w:r>
    </w:p>
    <w:p>
      <w:pPr>
        <w:pStyle w:val="ListParagraph"/>
        <w:numPr>
          <w:ilvl w:val="0"/>
          <w:numId w:val="1"/>
        </w:numPr>
        <w:bidi w:val="false"/>
        <w:spacing w:after="60" w:before="80" w:line="300"/>
        <w:jc w:val="left"/>
      </w:pPr>
      <w:r>
        <w:rPr>
          <w:rFonts w:ascii="Arial" w:cs="Arial" w:eastAsia="Arial" w:hAnsi="Arial"/>
          <w:b w:val="false"/>
          <w:bCs w:val="false"/>
          <w:i w:val="false"/>
          <w:iCs w:val="false"/>
          <w:color w:val="0F5C4A"/>
          <w:sz w:val="20"/>
          <w:szCs w:val="20"/>
          <w:rtl w:val="false"/>
        </w:rPr>
        <w:t xml:space="preserve">How Much Does a Pitch Deck Cost in 2026? — spectup</w:t>
      </w:r>
    </w:p>
    <w:p>
      <w:pPr>
        <w:pStyle w:val="ListParagraph"/>
        <w:numPr>
          <w:ilvl w:val="0"/>
          <w:numId w:val="1"/>
        </w:numPr>
        <w:bidi w:val="false"/>
        <w:spacing w:after="60" w:before="80" w:line="300"/>
        <w:jc w:val="left"/>
      </w:pPr>
      <w:r>
        <w:rPr>
          <w:rFonts w:ascii="Arial" w:cs="Arial" w:eastAsia="Arial" w:hAnsi="Arial"/>
          <w:b w:val="false"/>
          <w:bCs w:val="false"/>
          <w:i w:val="false"/>
          <w:iCs w:val="false"/>
          <w:color w:val="0F5C4A"/>
          <w:sz w:val="20"/>
          <w:szCs w:val="20"/>
          <w:rtl w:val="false"/>
        </w:rPr>
        <w:t xml:space="preserve">Due Diligence Cost in 2026: Average Fees by Deal Type</w:t>
      </w:r>
    </w:p>
    <w:p>
      <w:pPr>
        <w:pStyle w:val="ListParagraph"/>
        <w:numPr>
          <w:ilvl w:val="0"/>
          <w:numId w:val="1"/>
        </w:numPr>
        <w:bidi w:val="false"/>
        <w:spacing w:after="60" w:before="80" w:line="300"/>
        <w:jc w:val="left"/>
      </w:pPr>
      <w:r>
        <w:rPr>
          <w:rFonts w:ascii="Arial" w:cs="Arial" w:eastAsia="Arial" w:hAnsi="Arial"/>
          <w:b w:val="false"/>
          <w:bCs w:val="false"/>
          <w:i w:val="false"/>
          <w:iCs w:val="false"/>
          <w:color w:val="0F5C4A"/>
          <w:sz w:val="20"/>
          <w:szCs w:val="20"/>
          <w:rtl w:val="false"/>
        </w:rPr>
        <w:t xml:space="preserve">Commercial Due Diligence Costs: Benchmarks</w:t>
      </w:r>
    </w:p>
    <w:p>
      <w:pPr>
        <w:pStyle w:val="ListParagraph"/>
        <w:numPr>
          <w:ilvl w:val="0"/>
          <w:numId w:val="1"/>
        </w:numPr>
        <w:bidi w:val="false"/>
        <w:spacing w:after="60" w:before="80" w:line="300"/>
        <w:jc w:val="left"/>
      </w:pPr>
      <w:r>
        <w:rPr>
          <w:rFonts w:ascii="Arial" w:cs="Arial" w:eastAsia="Arial" w:hAnsi="Arial"/>
          <w:b w:val="false"/>
          <w:bCs w:val="false"/>
          <w:i w:val="false"/>
          <w:iCs w:val="false"/>
          <w:color w:val="0F5C4A"/>
          <w:sz w:val="20"/>
          <w:szCs w:val="20"/>
          <w:rtl w:val="false"/>
        </w:rPr>
        <w:t xml:space="preserve">Record year for MENA startups as funding climbs to $7.5 billion in 2025 — Wamda</w:t>
      </w:r>
    </w:p>
    <w:p>
      <w:pPr>
        <w:pStyle w:val="ListParagraph"/>
        <w:numPr>
          <w:ilvl w:val="0"/>
          <w:numId w:val="1"/>
        </w:numPr>
        <w:bidi w:val="false"/>
        <w:spacing w:after="60" w:before="80" w:line="300"/>
        <w:jc w:val="left"/>
      </w:pPr>
      <w:r>
        <w:rPr>
          <w:rFonts w:ascii="Arial" w:cs="Arial" w:eastAsia="Arial" w:hAnsi="Arial"/>
          <w:b w:val="false"/>
          <w:bCs w:val="false"/>
          <w:i w:val="false"/>
          <w:iCs w:val="false"/>
          <w:color w:val="0F5C4A"/>
          <w:sz w:val="20"/>
          <w:szCs w:val="20"/>
          <w:rtl w:val="false"/>
        </w:rPr>
        <w:t xml:space="preserve">MENA Startup Funding Benchmark 2026 (round sizes by stage)</w:t>
      </w:r>
    </w:p>
    <w:p>
      <w:pPr>
        <w:pStyle w:val="ListParagraph"/>
        <w:numPr>
          <w:ilvl w:val="0"/>
          <w:numId w:val="1"/>
        </w:numPr>
        <w:bidi w:val="false"/>
        <w:spacing w:after="60" w:before="80" w:line="300"/>
        <w:jc w:val="left"/>
      </w:pPr>
      <w:r>
        <w:rPr>
          <w:rFonts w:ascii="Arial" w:cs="Arial" w:eastAsia="Arial" w:hAnsi="Arial"/>
          <w:b w:val="false"/>
          <w:bCs w:val="false"/>
          <w:i w:val="false"/>
          <w:iCs w:val="false"/>
          <w:color w:val="0F5C4A"/>
          <w:sz w:val="20"/>
          <w:szCs w:val="20"/>
          <w:rtl/>
        </w:rPr>
        <w:t xml:space="preserve">2023–2024 Egyptian financial crisis — سعر صرف الجنيه</w:t>
      </w:r>
    </w:p>
    <w:p>
      <w:pPr>
        <w:pStyle w:val="ListParagraph"/>
        <w:numPr>
          <w:ilvl w:val="0"/>
          <w:numId w:val="1"/>
        </w:numPr>
        <w:bidi w:val="false"/>
        <w:spacing w:after="60" w:before="80" w:line="300"/>
        <w:jc w:val="left"/>
      </w:pPr>
      <w:r>
        <w:rPr>
          <w:rFonts w:ascii="Arial" w:cs="Arial" w:eastAsia="Arial" w:hAnsi="Arial"/>
          <w:b w:val="false"/>
          <w:bCs w:val="false"/>
          <w:i w:val="false"/>
          <w:iCs w:val="false"/>
          <w:color w:val="0F5C4A"/>
          <w:sz w:val="20"/>
          <w:szCs w:val="20"/>
          <w:rtl/>
        </w:rPr>
        <w:t xml:space="preserve">Capital Markets Counsel Egypt Requirements 2026 — ترخيص الهيئة العامة للرقابة المالية</w:t>
      </w:r>
    </w:p>
    <w:p>
      <w:pPr>
        <w:pStyle w:val="ListParagraph"/>
        <w:numPr>
          <w:ilvl w:val="0"/>
          <w:numId w:val="1"/>
        </w:numPr>
        <w:bidi w:val="false"/>
        <w:spacing w:after="60" w:before="80" w:line="300"/>
        <w:jc w:val="left"/>
      </w:pPr>
      <w:r>
        <w:rPr>
          <w:rFonts w:ascii="Arial" w:cs="Arial" w:eastAsia="Arial" w:hAnsi="Arial"/>
          <w:b w:val="false"/>
          <w:bCs w:val="false"/>
          <w:i w:val="false"/>
          <w:iCs w:val="false"/>
          <w:color w:val="0F5C4A"/>
          <w:sz w:val="20"/>
          <w:szCs w:val="20"/>
          <w:rtl w:val="false"/>
        </w:rPr>
        <w:t xml:space="preserve">Global Financial Services Regulatory Guide — Saudi Arabia, Baker McKenzie</w:t>
      </w:r>
    </w:p>
    <w:p>
      <w:pPr>
        <w:pStyle w:val="ListParagraph"/>
        <w:numPr>
          <w:ilvl w:val="0"/>
          <w:numId w:val="1"/>
        </w:numPr>
        <w:bidi w:val="false"/>
        <w:spacing w:after="60" w:before="80" w:line="300"/>
        <w:jc w:val="left"/>
      </w:pPr>
      <w:r>
        <w:rPr>
          <w:rFonts w:ascii="Arial" w:cs="Arial" w:eastAsia="Arial" w:hAnsi="Arial"/>
          <w:b w:val="false"/>
          <w:bCs w:val="false"/>
          <w:i w:val="false"/>
          <w:iCs w:val="false"/>
          <w:color w:val="0F5C4A"/>
          <w:sz w:val="20"/>
          <w:szCs w:val="20"/>
          <w:rtl w:val="false"/>
        </w:rPr>
        <w:t xml:space="preserve">Consultancy Fees &amp; Rates — Consultancy.org</w:t>
      </w:r>
    </w:p>
    <w:sectPr>
      <w:footerReference w:type="default" r:id="rId6"/>
      <w:pgSz w:w="11906" w:h="16838" w:orient="portrait"/>
      <w:pgMar w:top="1440" w:right="1296" w:bottom="1440" w:left="129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5CC" w:sz="4" w:space="6"/>
      </w:pBdr>
      <w:spacing w:before="120"/>
      <w:jc w:val="center"/>
    </w:pPr>
    <w:r>
      <w:rPr>
        <w:rFonts w:ascii="Arial" w:cs="Arial" w:eastAsia="Arial" w:hAnsi="Arial"/>
        <w:color w:val="6E7480"/>
        <w:sz w:val="14"/>
        <w:szCs w:val="14"/>
      </w:rPr>
      <w:t xml:space="preserve">LEAP CONSULTING  ·  INTERNAL — INVESTMENT &amp; FUNDRAISING FEE METHODOLOGY        </w:t>
    </w:r>
    <w:r>
      <w:rPr>
        <w:rFonts w:ascii="Arial" w:cs="Arial" w:eastAsia="Arial" w:hAnsi="Arial"/>
        <w:color w:val="6E7480"/>
        <w:sz w:val="14"/>
        <w:szCs w:val="14"/>
      </w:rPr>
      <w:fldChar w:fldCharType="begin"/>
      <w:instrText xml:space="preserve">PAGE</w:instrText>
      <w:fldChar w:fldCharType="separate"/>
      <w:fldChar w:fldCharType="end"/>
    </w:r>
    <w:r>
      <w:rPr>
        <w:rFonts w:ascii="Arial" w:cs="Arial" w:eastAsia="Arial" w:hAnsi="Arial"/>
        <w:color w:val="6E7480"/>
        <w:sz w:val="14"/>
        <w:szCs w:val="14"/>
      </w:rPr>
      <w:t xml:space="preserve"> / </w:t>
    </w:r>
    <w:r>
      <w:rPr>
        <w:rFonts w:ascii="Arial" w:cs="Arial" w:eastAsia="Arial" w:hAnsi="Arial"/>
        <w:color w:val="6E74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star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آلية التسعير وتقدير المدد — خدمات الاستثمار وجمع التمويل</dc:title>
  <dc:creator>LEAP Consulting</dc:creator>
  <dc:description>Fee &amp; Duration Methodology — Investment &amp; Fundraising Advisory</dc:description>
  <cp:lastModifiedBy>Un-named</cp:lastModifiedBy>
  <cp:revision>1</cp:revision>
  <dcterms:created xsi:type="dcterms:W3CDTF">2026-09-29T16:24:06.457Z</dcterms:created>
  <dcterms:modified xsi:type="dcterms:W3CDTF">2026-09-29T16:24:06.457Z</dcterms:modified>
</cp:coreProperties>
</file>

<file path=docProps/custom.xml><?xml version="1.0" encoding="utf-8"?>
<Properties xmlns="http://schemas.openxmlformats.org/officeDocument/2006/custom-properties" xmlns:vt="http://schemas.openxmlformats.org/officeDocument/2006/docPropsVTypes"/>
</file>