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40"/>
        <w:jc w:val="center"/>
      </w:pPr>
      <w:r>
        <w:rPr>
          <w:rFonts w:ascii="Calibri" w:cs="Calibri" w:eastAsia="Calibri" w:hAnsi="Calibri"/>
          <w:b/>
          <w:bCs/>
          <w:color w:val="1F3A5F"/>
          <w:sz w:val="88"/>
          <w:szCs w:val="88"/>
        </w:rPr>
        <w:t xml:space="preserve">HOQOOQ</w:t>
      </w:r>
    </w:p>
    <w:p>
      <w:pPr>
        <w:spacing w:after="60"/>
        <w:jc w:val="center"/>
      </w:pPr>
      <w:r>
        <w:rPr>
          <w:rFonts w:ascii="Calibri" w:cs="Calibri" w:eastAsia="Calibri" w:hAnsi="Calibri"/>
          <w:b/>
          <w:bCs/>
          <w:color w:val="B08D57"/>
          <w:sz w:val="52"/>
          <w:szCs w:val="52"/>
        </w:rPr>
        <w:t xml:space="preserve">حقوق</w:t>
      </w:r>
    </w:p>
    <w:p>
      <w:pPr>
        <w:spacing w:after="30"/>
        <w:jc w:val="center"/>
      </w:pPr>
      <w:r>
        <w:rPr>
          <w:rFonts w:ascii="Calibri" w:cs="Calibri" w:eastAsia="Calibri" w:hAnsi="Calibri"/>
          <w:color w:val="2E5077"/>
          <w:sz w:val="30"/>
          <w:szCs w:val="30"/>
        </w:rPr>
        <w:t xml:space="preserve">Legal Practice Management Platform</w:t>
      </w:r>
    </w:p>
    <w:p>
      <w:pPr>
        <w:spacing w:after="400"/>
        <w:jc w:val="center"/>
      </w:pPr>
      <w:r>
        <w:rPr>
          <w:rFonts w:ascii="Calibri" w:cs="Calibri" w:eastAsia="Calibri" w:hAnsi="Calibri"/>
          <w:i/>
          <w:iCs/>
          <w:color w:val="5A6572"/>
          <w:sz w:val="24"/>
          <w:szCs w:val="24"/>
        </w:rPr>
        <w:t xml:space="preserve">Business Requirements Document — Version 1.0 (Developer-Ready)</w:t>
      </w:r>
    </w:p>
    <w:p>
      <w:pPr>
        <w:pBdr>
          <w:top w:val="single" w:color="B08D57" w:sz="8"/>
        </w:pBdr>
        <w:spacing w:after="0" w:before="200"/>
        <w:jc w:val="center"/>
      </w:pPr>
    </w:p>
    <w:p>
      <w:pPr>
        <w:spacing w:after="20" w:before="260"/>
        <w:jc w:val="center"/>
      </w:pPr>
      <w:r>
        <w:rPr>
          <w:rFonts w:ascii="Calibri" w:cs="Calibri" w:eastAsia="Calibri" w:hAnsi="Calibri"/>
          <w:color w:val="5A6572"/>
          <w:sz w:val="20"/>
          <w:szCs w:val="20"/>
        </w:rPr>
        <w:t xml:space="preserve">Prepared as a formal specification for engineering implementation.</w:t>
      </w:r>
    </w:p>
    <w:p>
      <w:pPr>
        <w:spacing w:after="20"/>
        <w:jc w:val="center"/>
      </w:pPr>
      <w:r>
        <w:rPr>
          <w:rFonts w:ascii="Calibri" w:cs="Calibri" w:eastAsia="Calibri" w:hAnsi="Calibri"/>
          <w:color w:val="5A6572"/>
          <w:sz w:val="20"/>
          <w:szCs w:val="20"/>
        </w:rPr>
        <w:t xml:space="preserve">Scope: Version 1  •  Invite-only  •  Multi-tenant SaaS  •  Bilingual EN / AR (RTL)</w:t>
      </w:r>
    </w:p>
    <w:p>
      <w:r>
        <w:br w:type="page"/>
      </w:r>
    </w:p>
    <w:p>
      <w:pPr>
        <w:spacing w:after="140"/>
      </w:pPr>
      <w:r>
        <w:rPr>
          <w:rFonts w:ascii="Calibri" w:cs="Calibri" w:eastAsia="Calibri" w:hAnsi="Calibri"/>
          <w:b/>
          <w:bCs/>
          <w:color w:val="1F3A5F"/>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t xml:space="preserve">0. Scope Lock — Confirmed v1 Decisions</w:t>
      </w:r>
    </w:p>
    <w:p>
      <w:pPr>
        <w:spacing w:after="120" w:line="276"/>
      </w:pPr>
      <w:r>
        <w:rPr>
          <w:rFonts w:ascii="Calibri" w:cs="Calibri" w:eastAsia="Calibri" w:hAnsi="Calibri"/>
          <w:color w:val="1A1A1A"/>
          <w:sz w:val="21"/>
          <w:szCs w:val="21"/>
        </w:rPr>
        <w:t xml:space="preserve">This document is the authoritative specification for Hoqooq v1, written to be implemented directly by engineers. Where a business rule (BR-###) constrains behavior, the implementation must satisfy it exactly; deviations are defects. The decisions below are fixed for v1, and every rule in this document is consistent with them.</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3000"/>
        <w:gridCol w:w="6026"/>
      </w:tblGrid>
      <w:tr>
        <w:trPr>
          <w:tblHeader/>
        </w:trPr>
        <w:tc>
          <w:tcPr>
            <w:tcW w:type="dxa" w:w="30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Decision area</w:t>
            </w:r>
          </w:p>
        </w:tc>
        <w:tc>
          <w:tcPr>
            <w:tcW w:type="dxa" w:w="60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v1 choice</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Onboarding</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Invite-only. Super Admin is seeded; Super Admin creates firms &amp; firm admins. No public signup.</w:t>
            </w:r>
          </w:p>
        </w:tc>
      </w:tr>
      <w:tr>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w:t>
            </w:r>
          </w:p>
        </w:tc>
        <w:tc>
          <w:tcPr>
            <w:tcW w:type="dxa" w:w="6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Internal record with no login and no portal.</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AI / RAG</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Per-firm isolated knowledge base; no shared corpus.</w:t>
            </w:r>
          </w:p>
        </w:tc>
      </w:tr>
      <w:tr>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Billing</w:t>
            </w:r>
          </w:p>
        </w:tc>
        <w:tc>
          <w:tcPr>
            <w:tcW w:type="dxa" w:w="6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Admin pays a monthly or yearly subscription.</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Subscription lapse</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Workspace becomes read-only (suspended), data preserved.</w:t>
            </w:r>
          </w:p>
        </w:tc>
      </w:tr>
      <w:tr>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Multi-tenancy</w:t>
            </w:r>
          </w:p>
        </w:tc>
        <w:tc>
          <w:tcPr>
            <w:tcW w:type="dxa" w:w="6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Shared database with tenant_id on every tenant-owned row.</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Admin authority</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Always full CRUD within its firm; non-restrictable.</w:t>
            </w:r>
          </w:p>
        </w:tc>
      </w:tr>
      <w:tr>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Courts</w:t>
            </w:r>
          </w:p>
        </w:tc>
        <w:tc>
          <w:tcPr>
            <w:tcW w:type="dxa" w:w="6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Per-firm reference data, managed by the Firm Admin.</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Clients (mobile)</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Flutter mobile application ships in v1 for firm users (iOS + Android), sharing the same tenant-scoped API.</w:t>
            </w:r>
          </w:p>
        </w:tc>
      </w:tr>
      <w:tr>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Language</w:t>
            </w:r>
          </w:p>
        </w:tc>
        <w:tc>
          <w:tcPr>
            <w:tcW w:type="dxa" w:w="6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Bilingual English + Arabic with RTL support (web and mobile).</w:t>
            </w:r>
          </w:p>
        </w:tc>
      </w:tr>
    </w:tbl>
    <w:p>
      <w:pPr>
        <w:pStyle w:val="Heading1"/>
        <w:spacing w:after="140" w:before="320"/>
      </w:pPr>
      <w:r>
        <w:t xml:space="preserve">1. Executive Summary</w:t>
      </w:r>
    </w:p>
    <w:p>
      <w:pPr>
        <w:spacing w:after="120" w:line="276"/>
      </w:pPr>
      <w:r>
        <w:rPr>
          <w:rFonts w:ascii="Calibri" w:cs="Calibri" w:eastAsia="Calibri" w:hAnsi="Calibri"/>
          <w:color w:val="1A1A1A"/>
          <w:sz w:val="21"/>
          <w:szCs w:val="21"/>
        </w:rPr>
        <w:t xml:space="preserve">Hoqooq is a cloud-native, multi-tenant Legal Practice Management Platform (LPMS) delivered as Software-as-a-Service. It lets a law firm run its legal operations — clients, cases, hearings, courts, documents, tasks, calendar, and finances — inside a secure, isolated workspace, augmented by an AI assistant grounded in the firm’s own legal knowledge base (RAG).</w:t>
      </w:r>
    </w:p>
    <w:p>
      <w:pPr>
        <w:spacing w:after="120" w:line="276"/>
      </w:pPr>
      <w:r>
        <w:rPr>
          <w:rFonts w:ascii="Calibri" w:cs="Calibri" w:eastAsia="Calibri" w:hAnsi="Calibri"/>
          <w:color w:val="1A1A1A"/>
          <w:sz w:val="21"/>
          <w:szCs w:val="21"/>
        </w:rPr>
        <w:t xml:space="preserve">Version 1 is deliberately operator-controlled and focused. There is no public signup and no client-facing marketplace. A seeded Super Admin provisions firms and their single Firm Admin; each Firm Admin subscribes, configures the firm, invites lawyers and support staff, and manages the full legal workload. This produces a smaller, sharper, and more secure first release than the broader vision, while leaving clear extension points for later.</w:t>
      </w:r>
    </w:p>
    <w:p>
      <w:pPr>
        <w:pStyle w:val="Heading2"/>
        <w:spacing w:after="100" w:before="240"/>
      </w:pPr>
      <w:r>
        <w:t xml:space="preserve">1.1 Value by stakeholder</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3000"/>
        <w:gridCol w:w="6026"/>
      </w:tblGrid>
      <w:tr>
        <w:trPr>
          <w:tblHeader/>
        </w:trPr>
        <w:tc>
          <w:tcPr>
            <w:tcW w:type="dxa" w:w="30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Stakeholder</w:t>
            </w:r>
          </w:p>
        </w:tc>
        <w:tc>
          <w:tcPr>
            <w:tcW w:type="dxa" w:w="60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Value in v1</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Platform Operator (Super Admin)</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Central control of firm onboarding, subscriptions, and AI-usage oversight, with recurring subscription revenue and zero access to privileged firm content.</w:t>
            </w:r>
          </w:p>
        </w:tc>
      </w:tr>
      <w:tr>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Admin (Owner)</w:t>
            </w:r>
          </w:p>
        </w:tc>
        <w:tc>
          <w:tcPr>
            <w:tcW w:type="dxa" w:w="6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End-to-end digitization of the firm: staff, clients, cases, hearings, documents, calendar, billing, and an AI assistant — all in one isolated workspace.</w:t>
            </w:r>
          </w:p>
        </w:tc>
      </w:tr>
      <w:tr>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Lawyers &amp; Staff</w:t>
            </w:r>
          </w:p>
        </w:tc>
        <w:tc>
          <w:tcPr>
            <w:tcW w:type="dxa" w:w="6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Clear case ownership, reliable hearing scheduling and reminders, fast document retrieval, and AI-assisted research grounded in the firm’s files.</w:t>
            </w:r>
          </w:p>
        </w:tc>
      </w:tr>
    </w:tbl>
    <w:p>
      <w:pPr>
        <w:pStyle w:val="Heading2"/>
        <w:spacing w:after="100" w:before="240"/>
      </w:pPr>
      <w:r>
        <w:t xml:space="preserve">1.2 Scope boundaries</w:t>
      </w:r>
    </w:p>
    <w:p>
      <w:pPr>
        <w:pStyle w:val="Heading3"/>
        <w:spacing w:after="80" w:before="180"/>
      </w:pPr>
      <w:r>
        <w:t xml:space="preserve">In scope (v1)</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Seeded Super Admin and operator dashboard (firms, subscriptions, AI usage — aggregate only).</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Firm Admin dashboard with total control of the firm workspace.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Seeded roles &amp; permissions, assignable to firm users; custom roles by cloning.</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Legal practice management: clients, opponents, cases, hearings, courts, documents, tasks, calendar.</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Finance: case fees (paid/remaining), invoices, payments, expenses — restricted visibility.</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AI assistant with per-firm isolated RAG over the firm’s documents.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Subscription &amp; billing lifecycle (monthly/yearly) with read-only suspension on lapse.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Row-level multi-tenant isolation (shared DB + tenant_id).</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Flutter mobile application (iOS + Android) for firm users, on the same tenant-scoped API as the web client.</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Bilingual English/Arabic UI with RTL (web and mobile).</w:t>
      </w:r>
    </w:p>
    <w:p>
      <w:pPr>
        <w:pStyle w:val="Heading3"/>
        <w:spacing w:after="80" w:before="180"/>
      </w:pPr>
      <w:r>
        <w:t xml:space="preserve">Out of scope (future versions)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Public signup / self-service firm registration.</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Client login, client portal, and cross-firm client identity.</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Public marketplace, lawyer discovery, and consultation booking.</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Court-system and payment-gateway deep integrations beyond basic billing.</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Shared/global legal corpus across firms.</w:t>
      </w:r>
    </w:p>
    <w:p>
      <w:r>
        <w:br w:type="page"/>
      </w:r>
    </w:p>
    <w:p>
      <w:pPr>
        <w:pStyle w:val="Heading1"/>
        <w:spacing w:after="140" w:before="320"/>
      </w:pPr>
      <w:r>
        <w:t xml:space="preserve">2. Business Context</w:t>
      </w:r>
    </w:p>
    <w:p>
      <w:pPr>
        <w:pStyle w:val="Heading2"/>
        <w:spacing w:after="100" w:before="240"/>
      </w:pPr>
      <w:r>
        <w:t xml:space="preserve">2.1 Problem</w:t>
      </w:r>
    </w:p>
    <w:p>
      <w:pPr>
        <w:spacing w:after="120" w:line="276"/>
      </w:pPr>
      <w:r>
        <w:rPr>
          <w:rFonts w:ascii="Calibri" w:cs="Calibri" w:eastAsia="Calibri" w:hAnsi="Calibri"/>
          <w:color w:val="1A1A1A"/>
          <w:sz w:val="21"/>
          <w:szCs w:val="21"/>
        </w:rPr>
        <w:t xml:space="preserve">Law firms in the target market rely on fragmented, largely manual tools: separate systems (or paper) for case files, scheduling, billing, and document storage. Case knowledge is trapped in individual repositories, hearing dates are tracked informally, and financial visibility is poor. The cost is missed deadlines, lost documents, and weak oversight.</w:t>
      </w:r>
    </w:p>
    <w:p>
      <w:pPr>
        <w:pStyle w:val="Heading2"/>
        <w:spacing w:after="100" w:before="240"/>
      </w:pPr>
      <w:r>
        <w:t xml:space="preserve">2.2 Solution</w:t>
      </w:r>
    </w:p>
    <w:p>
      <w:pPr>
        <w:spacing w:after="120" w:line="276"/>
      </w:pPr>
      <w:r>
        <w:rPr>
          <w:rFonts w:ascii="Calibri" w:cs="Calibri" w:eastAsia="Calibri" w:hAnsi="Calibri"/>
          <w:color w:val="1A1A1A"/>
          <w:sz w:val="21"/>
          <w:szCs w:val="21"/>
        </w:rPr>
        <w:t xml:space="preserve">Hoqooq consolidates the firm’s operations into one isolated, secure workspace and adds an AI assistant that answers from the firm’s own legal documents. v1 targets the internal efficiency of the firm — not client acquisition — so the operator can deliver a dependable, privilege-safe core before expanding outward.</w:t>
      </w:r>
    </w:p>
    <w:p>
      <w:pPr>
        <w:pStyle w:val="Heading2"/>
        <w:spacing w:after="100" w:before="240"/>
      </w:pPr>
      <w:r>
        <w:t xml:space="preserve">2.3 Target segments (v1)</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1900"/>
        <w:gridCol w:w="4100"/>
        <w:gridCol w:w="3026"/>
      </w:tblGrid>
      <w:tr>
        <w:trPr>
          <w:tblHeader/>
        </w:trPr>
        <w:tc>
          <w:tcPr>
            <w:tcW w:type="dxa" w:w="19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Segment</w:t>
            </w:r>
          </w:p>
        </w:tc>
        <w:tc>
          <w:tcPr>
            <w:tcW w:type="dxa" w:w="41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c>
          <w:tcPr>
            <w:tcW w:type="dxa" w:w="30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Primary need</w:t>
            </w:r>
          </w:p>
        </w:tc>
      </w:tr>
      <w:tr>
        <w:tc>
          <w:tcPr>
            <w:tcW w:type="dxa" w:w="19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Solo practitioner</w:t>
            </w:r>
          </w:p>
        </w:tc>
        <w:tc>
          <w:tcPr>
            <w:tcW w:type="dxa" w:w="41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Independent lawyer, minimal staff</w:t>
            </w:r>
          </w:p>
        </w:tc>
        <w:tc>
          <w:tcPr>
            <w:tcW w:type="dxa" w:w="3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Simple case tracking, affordable subscription</w:t>
            </w:r>
          </w:p>
        </w:tc>
      </w:tr>
      <w:tr>
        <w:tc>
          <w:tcPr>
            <w:tcW w:type="dxa" w:w="19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Boutique firm</w:t>
            </w:r>
          </w:p>
        </w:tc>
        <w:tc>
          <w:tcPr>
            <w:tcW w:type="dxa" w:w="41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2–10 lawyers, specialized practice</w:t>
            </w:r>
          </w:p>
        </w:tc>
        <w:tc>
          <w:tcPr>
            <w:tcW w:type="dxa" w:w="3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Collaboration, document management, hearing control</w:t>
            </w:r>
          </w:p>
        </w:tc>
      </w:tr>
      <w:tr>
        <w:tc>
          <w:tcPr>
            <w:tcW w:type="dxa" w:w="19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Mid-size firm</w:t>
            </w:r>
          </w:p>
        </w:tc>
        <w:tc>
          <w:tcPr>
            <w:tcW w:type="dxa" w:w="41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11–50 lawyers, multiple areas</w:t>
            </w:r>
          </w:p>
        </w:tc>
        <w:tc>
          <w:tcPr>
            <w:tcW w:type="dxa" w:w="3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Granular permissions, reporting, financial oversight</w:t>
            </w:r>
          </w:p>
        </w:tc>
      </w:tr>
    </w:tbl>
    <w:p>
      <w:r>
        <w:br w:type="page"/>
      </w:r>
    </w:p>
    <w:p>
      <w:pPr>
        <w:pStyle w:val="Heading1"/>
        <w:spacing w:after="140" w:before="320"/>
      </w:pPr>
      <w:r>
        <w:t xml:space="preserve">3. Actors &amp; Personas</w:t>
      </w:r>
    </w:p>
    <w:p>
      <w:pPr>
        <w:spacing w:after="120" w:line="276"/>
      </w:pPr>
      <w:r>
        <w:rPr>
          <w:rFonts w:ascii="Calibri" w:cs="Calibri" w:eastAsia="Calibri" w:hAnsi="Calibri"/>
          <w:color w:val="1A1A1A"/>
          <w:sz w:val="21"/>
          <w:szCs w:val="21"/>
        </w:rPr>
        <w:t xml:space="preserve">v1 has one platform actor and a defined set of firm actors. Client and opponent are data subjects, not system users.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1700"/>
        <w:gridCol w:w="1500"/>
        <w:gridCol w:w="3000"/>
        <w:gridCol w:w="2826"/>
      </w:tblGrid>
      <w:tr>
        <w:trPr>
          <w:tblHeader/>
        </w:trPr>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Actor</w:t>
            </w:r>
          </w:p>
        </w:tc>
        <w:tc>
          <w:tcPr>
            <w:tcW w:type="dxa" w:w="15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30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Responsibility</w:t>
            </w:r>
          </w:p>
        </w:tc>
        <w:tc>
          <w:tcPr>
            <w:tcW w:type="dxa" w:w="28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Key permissions</w:t>
            </w:r>
          </w:p>
        </w:tc>
      </w:tr>
      <w:tr>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Super Admin</w:t>
            </w:r>
          </w:p>
        </w:tc>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Platform (global)</w:t>
            </w:r>
          </w:p>
        </w:tc>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firms &amp; firm admins; manage subscriptions; view AI usage</w:t>
            </w:r>
          </w:p>
        </w:tc>
        <w:tc>
          <w:tcPr>
            <w:tcW w:type="dxa" w:w="28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&amp; subscription management; aggregate usage; NO firm content</w:t>
            </w:r>
          </w:p>
        </w:tc>
      </w:tr>
      <w:tr>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Admin (Owner)</w:t>
            </w:r>
          </w:p>
        </w:tc>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w:t>
            </w:r>
          </w:p>
        </w:tc>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Total control of one firm workspace</w:t>
            </w:r>
          </w:p>
        </w:tc>
        <w:tc>
          <w:tcPr>
            <w:tcW w:type="dxa" w:w="28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 CRUD on all modules (non-restrictable)</w:t>
            </w:r>
          </w:p>
        </w:tc>
      </w:tr>
      <w:tr>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Lawyer</w:t>
            </w:r>
          </w:p>
        </w:tc>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w:t>
            </w:r>
          </w:p>
        </w:tc>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Handle assigned cases and hearings</w:t>
            </w:r>
          </w:p>
        </w:tc>
        <w:tc>
          <w:tcPr>
            <w:tcW w:type="dxa" w:w="28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CRUD on assigned cases, hearings, documents, tasks</w:t>
            </w:r>
          </w:p>
        </w:tc>
      </w:tr>
      <w:tr>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Legal Secretary</w:t>
            </w:r>
          </w:p>
        </w:tc>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w:t>
            </w:r>
          </w:p>
        </w:tc>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Scheduling &amp; document administration</w:t>
            </w:r>
          </w:p>
        </w:tc>
        <w:tc>
          <w:tcPr>
            <w:tcW w:type="dxa" w:w="28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Manage hearings/calendar/documents; read cases</w:t>
            </w:r>
          </w:p>
        </w:tc>
      </w:tr>
      <w:tr>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Legal Assistant</w:t>
            </w:r>
          </w:p>
        </w:tc>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w:t>
            </w:r>
          </w:p>
        </w:tc>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Research &amp; task support</w:t>
            </w:r>
          </w:p>
        </w:tc>
        <w:tc>
          <w:tcPr>
            <w:tcW w:type="dxa" w:w="28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Tasks, documents, AI research; read cases</w:t>
            </w:r>
          </w:p>
        </w:tc>
      </w:tr>
      <w:tr>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Accountant</w:t>
            </w:r>
          </w:p>
        </w:tc>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w:t>
            </w:r>
          </w:p>
        </w:tc>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Billing &amp; payments</w:t>
            </w:r>
          </w:p>
        </w:tc>
        <w:tc>
          <w:tcPr>
            <w:tcW w:type="dxa" w:w="28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 finance module; read case/client basics</w:t>
            </w:r>
          </w:p>
        </w:tc>
      </w:tr>
      <w:tr>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w:t>
            </w:r>
          </w:p>
        </w:tc>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Data subject</w:t>
            </w:r>
          </w:p>
        </w:tc>
        <w:tc>
          <w:tcPr>
            <w:tcW w:type="dxa" w:w="30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Service recipient (no login)</w:t>
            </w:r>
          </w:p>
        </w:tc>
        <w:tc>
          <w:tcPr>
            <w:tcW w:type="dxa" w:w="28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None — internal record only</w:t>
            </w:r>
          </w:p>
        </w:tc>
      </w:tr>
      <w:tr>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Opponent</w:t>
            </w:r>
          </w:p>
        </w:tc>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Data subject</w:t>
            </w:r>
          </w:p>
        </w:tc>
        <w:tc>
          <w:tcPr>
            <w:tcW w:type="dxa" w:w="30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Opposing party (no login)</w:t>
            </w:r>
          </w:p>
        </w:tc>
        <w:tc>
          <w:tcPr>
            <w:tcW w:type="dxa" w:w="28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None — internal record only</w:t>
            </w:r>
          </w:p>
        </w:tc>
      </w:tr>
    </w:tbl>
    <w:p>
      <w:r>
        <w:br w:type="page"/>
      </w:r>
    </w:p>
    <w:p>
      <w:pPr>
        <w:pStyle w:val="Heading1"/>
        <w:spacing w:after="140" w:before="320"/>
      </w:pPr>
      <w:r>
        <w:t xml:space="preserve">4. Business Terminology</w:t>
      </w:r>
    </w:p>
    <w:p>
      <w:pPr>
        <w:spacing w:after="120" w:line="276"/>
      </w:pPr>
      <w:r>
        <w:rPr>
          <w:rFonts w:ascii="Calibri" w:cs="Calibri" w:eastAsia="Calibri" w:hAnsi="Calibri"/>
          <w:color w:val="1A1A1A"/>
          <w:sz w:val="21"/>
          <w:szCs w:val="21"/>
        </w:rPr>
        <w:t xml:space="preserve">Shared vocabulary. Arabic terms are included because the UI is bilingual and these are the terms firm users will expect.</w:t>
      </w:r>
    </w:p>
    <w:p>
      <w:pPr>
        <w:pStyle w:val="Heading2"/>
        <w:spacing w:after="100" w:before="240"/>
      </w:pPr>
      <w:r>
        <w:t xml:space="preserve">4.1 Core legal terms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1500"/>
        <w:gridCol w:w="2400"/>
        <w:gridCol w:w="5126"/>
      </w:tblGrid>
      <w:tr>
        <w:trPr>
          <w:tblHeader/>
        </w:trPr>
        <w:tc>
          <w:tcPr>
            <w:tcW w:type="dxa" w:w="15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Arabic</w:t>
            </w:r>
          </w:p>
        </w:tc>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English</w:t>
            </w:r>
          </w:p>
        </w:tc>
        <w:tc>
          <w:tcPr>
            <w:tcW w:type="dxa" w:w="51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Definition</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عميل</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Individual or company receiving legal services; internal tenant record (no login in v1).</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خصم</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Opponent</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Opposing party in a case; internal tenant record.</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قضية</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Primary legal matter for a client; the central business entity, lifecycle-managed.</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محكمة</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Judicial authority where hearings occur; per-firm reference data.</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دائرة</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 Circuit</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Division within a court; child of Court.</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جلسة</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Scheduled court session; belongs to exactly one case.</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حكم</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Judgment</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Official court decision on a case.</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مستند</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Uploaded file linked to a business entity; versioned and AI-processed.</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توكيل</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Power of Attorney</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Authorization document granting representation rights; document category required for case filing.</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صحيفة دعوى</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Statement of Claim</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Initial case-filing document submitted to court; document category that triggers case opening.</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صحيفة استئناف</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Appeal Petition</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 filed to challenge a court judgment; document category linked to the original case.</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محضر جلسة</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 Minutes</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Official record of hearing proceedings and outcomes; document category required for completed hearings.</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إعلان</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Service of Process</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Official legal notification delivered to the opposing party; a workflow step that generates a document.</w:t>
            </w:r>
          </w:p>
        </w:tc>
      </w:tr>
      <w:tr>
        <w:tc>
          <w:tcPr>
            <w:tcW w:type="dxa" w:w="15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استشارة</w:t>
            </w:r>
          </w:p>
        </w:tc>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Consultation</w:t>
            </w:r>
          </w:p>
        </w:tc>
        <w:tc>
          <w:tcPr>
            <w:tcW w:type="dxa" w:w="5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Preliminary advice session (may convert to a case). Internal in v1.</w:t>
            </w:r>
          </w:p>
        </w:tc>
      </w:tr>
      <w:tr>
        <w:tc>
          <w:tcPr>
            <w:tcW w:type="dxa" w:w="15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موعد</w:t>
            </w:r>
          </w:p>
        </w:tc>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Appointment</w:t>
            </w:r>
          </w:p>
        </w:tc>
        <w:tc>
          <w:tcPr>
            <w:tcW w:type="dxa" w:w="5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Scheduled meeting; distinct from a hearing.</w:t>
            </w:r>
          </w:p>
        </w:tc>
      </w:tr>
    </w:tbl>
    <w:p>
      <w:pPr>
        <w:pStyle w:val="Heading2"/>
        <w:spacing w:after="100" w:before="240"/>
      </w:pPr>
      <w:r>
        <w:t xml:space="preserve">4.2 Technical terms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Term</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Definition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 / Firm</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An isolated law-firm workspace with its own data, configuration, and users.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Super Admin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The seeded global operator; provisions firms; sees no firm content.</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Admin (Owner)</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The single accountable owner of a firm; always full CRUD within it.</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tenant_id</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Mandatory row-level scope column enforcing isolation on every tenant-owned table.</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Knowledge Base (RAG)</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 firm’s isolated vector store built from its documents, used to ground AI answers.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Audit trail</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Immutable record of business-critical operations (actor, timestamp, state).</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Lookup entity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Configurable reference data (types, categories, statuses) managed in Settings.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Compensating transaction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 reversal entry that corrects financial records without physical deletion.</w:t>
            </w:r>
          </w:p>
        </w:tc>
      </w:tr>
    </w:tbl>
    <w:p>
      <w:r>
        <w:br w:type="page"/>
      </w:r>
    </w:p>
    <w:p>
      <w:pPr>
        <w:pStyle w:val="Heading1"/>
        <w:spacing w:after="140" w:before="320"/>
      </w:pPr>
      <w:r>
        <w:t xml:space="preserve">5. System Architecture</w:t>
      </w:r>
    </w:p>
    <w:p>
      <w:pPr>
        <w:pStyle w:val="Heading2"/>
        <w:spacing w:after="100" w:before="240"/>
      </w:pPr>
      <w:r>
        <w:t xml:space="preserve">5.1 Architectural principles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Principle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Implementation in v1</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Multi-tenancy (row-scoped)</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Single shared database; every tenant-owned table carries tenant_id; a global query filter injects the tenant predicate on every read/write (BR-003).</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Security by design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All authorization enforced at the backend; zero client-side trust; cross-tenant access returns 404.</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Least privilege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RBAC with granular &lt;module&gt;.&lt;action&gt; permissions; UI never the enforcement point (BR-034).</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Auditability</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Append-only audit log for critical operations; immutable timelines for cases and finance (BR-035).</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AI isolation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Per-firm vector namespace; every similarity query tenant-filtered before ranking (BR-030).</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Bilingual &amp; RTL</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All user-facing text localized EN/AR; layout mirrors correctly in RTL.</w:t>
            </w:r>
          </w:p>
        </w:tc>
      </w:tr>
    </w:tbl>
    <w:p>
      <w:pPr>
        <w:pStyle w:val="Heading2"/>
        <w:spacing w:after="100" w:before="240"/>
      </w:pPr>
      <w:r>
        <w:t xml:space="preserve">5.2 Logical layers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Presentation — bilingual web client (RTL-aware); renders only what the user is permitted to see, but never enforces security alone.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API — authenticated, tenant-scoped REST endpoints; every request validated for authentication, tenant membership, then permission.</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Domain / business logic — enforces all BR-### invariants; the single place where state transitions are decided.</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Data — shared relational database (tenant_id-scoped) for operational records; object storage (tenant-scoped paths) for document content.</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AI / RAG — per-firm vector store; ingestion pipeline (OCR → chunk → embed) writes only into the firm’s namespace; retrieval is tenant-filtered and ACL-filtered.</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Async workers — notifications, reminders, retention/archival jobs, AI ingestion; all run inside an injected tenant context.</w:t>
      </w:r>
    </w:p>
    <w:p>
      <w:pPr>
        <w:pStyle w:val="Heading2"/>
        <w:spacing w:after="100" w:before="240"/>
      </w:pPr>
      <w:r>
        <w:t xml:space="preserve">5.3 Tenancy &amp; isolation model</w:t>
      </w:r>
    </w:p>
    <w:p>
      <w:pPr>
        <w:spacing w:after="120" w:line="276"/>
      </w:pPr>
      <w:r>
        <w:rPr>
          <w:rFonts w:ascii="Calibri" w:cs="Calibri" w:eastAsia="Calibri" w:hAnsi="Calibri"/>
          <w:b w:val="false"/>
          <w:bCs w:val="false"/>
          <w:i w:val="false"/>
          <w:iCs w:val="false"/>
          <w:color w:val="1A1A1A"/>
          <w:sz w:val="21"/>
          <w:szCs w:val="21"/>
        </w:rPr>
        <w:t xml:space="preserve">The isolation boundary is the </w:t>
      </w:r>
      <w:r>
        <w:rPr>
          <w:rFonts w:ascii="Calibri" w:cs="Calibri" w:eastAsia="Calibri" w:hAnsi="Calibri"/>
          <w:b/>
          <w:bCs/>
          <w:i w:val="false"/>
          <w:iCs w:val="false"/>
          <w:color w:val="1A1A1A"/>
          <w:sz w:val="21"/>
          <w:szCs w:val="21"/>
        </w:rPr>
        <w:t xml:space="preserve">tenant</w:t>
      </w:r>
      <w:r>
        <w:rPr>
          <w:rFonts w:ascii="Calibri" w:cs="Calibri" w:eastAsia="Calibri" w:hAnsi="Calibri"/>
          <w:b w:val="false"/>
          <w:bCs w:val="false"/>
          <w:i w:val="false"/>
          <w:iCs w:val="false"/>
          <w:color w:val="1A1A1A"/>
          <w:sz w:val="21"/>
          <w:szCs w:val="21"/>
        </w:rPr>
        <w:t xml:space="preserve"> (firm). Global entities — the Super Admin account, subscription plans, and seeded role/permission templates — live outside any tenant. Everything else (clients, opponents, cases, hearings, courts, documents, tasks, invoices, payments, embeddings) is tenant-owned and unreachable across firms. This is the system’s most important invariant and is verified by automated no-leak tests.</w:t>
      </w:r>
    </w:p>
    <w:p>
      <w:r>
        <w:br w:type="page"/>
      </w:r>
    </w:p>
    <w:p>
      <w:pPr>
        <w:pStyle w:val="Heading1"/>
        <w:spacing w:after="140" w:before="320"/>
      </w:pPr>
      <w:r>
        <w:t xml:space="preserve">6. Functional Modules</w:t>
      </w:r>
    </w:p>
    <w:p>
      <w:pPr>
        <w:spacing w:after="120" w:line="276"/>
      </w:pPr>
      <w:r>
        <w:rPr>
          <w:rFonts w:ascii="Calibri" w:cs="Calibri" w:eastAsia="Calibri" w:hAnsi="Calibri"/>
          <w:color w:val="1A1A1A"/>
          <w:sz w:val="21"/>
          <w:szCs w:val="21"/>
        </w:rPr>
        <w:t xml:space="preserve">Modules are grouped into platform-level (Super Admin) and firm workspace (tenant) modules. Each module’s behavior is constrained by the business rules in Section 7; acceptance criteria below are testable checks, not the full rule set.</w:t>
      </w:r>
    </w:p>
    <w:p>
      <w:pPr>
        <w:pStyle w:val="Heading2"/>
        <w:spacing w:after="100" w:before="240"/>
      </w:pPr>
      <w:r>
        <w:t xml:space="preserve">6.1 Platform Modules (Super Admin)</w:t>
      </w:r>
    </w:p>
    <w:p>
      <w:pPr>
        <w:pStyle w:val="Heading3"/>
        <w:spacing w:after="80" w:before="180"/>
      </w:pPr>
      <w:r>
        <w:t xml:space="preserve">6.1.1 Super Admin Dashboard</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Operator control center for firms, subscriptions, and AI-usage oversight — with no access to firm content.</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registry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List all firms with status, plan, creation date, and Firm Admin contact.</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&amp; admin creation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a firm and its single Firm Admin in one atomic action (BR-002).</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Subscription oversight</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View plan, billing cycle, status, next-billing date, and amount per firm.</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Usage oversight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Aggregate seats, storage, and AI credit/model usage per firm — counts only.</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Lifecycle actions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Suspend, reactivate, or cancel a firm with reason (audit-logged).</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6.1.2 Subscription &amp; Billing</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Plans, billing cycles, payment status, and the subscription state machine.</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Plan catalog</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Tiered plans with seat, storage, AI-credit, and module entitlements.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Billing cycle</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Monthly or yearly; yearly may carry a discount.</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State machine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PENDING → ACTIVE → PAST_DUE → SUSPENDED → CANCELLED (BR-010).</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Dunning</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3 payment retries across 7 days before suspension.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History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Append-only, versioned subscription records for audit (BR-009).</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6.1.3 Authentication &amp; Identity (Platform)</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Seeded Super Admin, invitation-based Firm Admin activation, sessions, and MFA.</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Seeder bootstrap</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Idempotent creation of the single Super Admin (BR-001).</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Invitation flow</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Admin activates via one-time link and sets a password (BR-002).</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Sessions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JWT access (15 min) + rotating refresh (7 days) (BR-033).</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MFA</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Mandatory for Super Admin and Firm Admin; optional for others.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Lockout</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Exponential backoff; 5 attempts then 15-minute lockout.</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2"/>
        <w:spacing w:after="100" w:before="240"/>
      </w:pPr>
      <w:r>
        <w:t xml:space="preserve">6.2 Firm Workspace Modules (Tenant)</w:t>
      </w:r>
    </w:p>
    <w:p>
      <w:pPr>
        <w:pStyle w:val="Heading3"/>
        <w:spacing w:after="80" w:before="180"/>
      </w:pPr>
      <w:r>
        <w:t xml:space="preserve">6.2.1 Firm Dashboard</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The Firm Admin’s daily overview: today’s work and dynamic revenue summary.</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Operational overview</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Active cases, today’s hearings, pending tasks, outstanding balances.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Daily work summary</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 digest of the day’s hearings, deadlines, and new items.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Revenue widget</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Weekly revenue, toggleable on/off by the Firm Admin (show/hide dynamically).</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KPIs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resolution rate, new clients, AI usage this period.</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Quick actions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case, schedule hearing, upload document, generate invoice.</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6.2.2 Firm Profile &amp; Settings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Firm identity, branding, business preferences, roles, and lookups.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profile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Name, logo/image, address, contact, practice areas (Firm Admin adds firm name &amp; image).</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Business settings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Currency, timezone, working hours, tax, invoice template, language default.</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 management</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View seeded roles; create custom roles by cloning and adjusting permissions (BR-004).</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Lookup management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CRUD for case types, hearing types, document categories, expense categories.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Localization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Per-firm default language (EN/AR) with RTL.</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6.2.3 Staff (Employee) Management</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Invite lawyers and support staff, assign roles, manage access.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Staff directory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List, search, filter, export firm users.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Onboarding</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user, assign role(s), send invitation, track activation.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 assignment</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 seeded or custom roles with granular permissions.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Access control</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Activate/suspend, reset password, enforce MFA.</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Offboarding</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Deactivate (never delete); reassign open cases/tasks first (BR-006, BR-014).</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6.2.4 Clients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Internal client records, contacts, legal history, and financial summary.</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 registry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view, edit, archive client records (no login) (BR-007).</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Contact management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Multiple phones, emails, addresses with a primary designation.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Legal history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Timeline of the client’s cases, hearings, and outcomes.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Financial summary</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Outstanding balance, total billed, payment history (finance-gated).</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Duplicate detection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Warn on Name+Mobile / Email / National ID match; proceed with justification.</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6.2.5 Opponents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Opposing parties and their representation, linked to cases.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Opponent registry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and manage opposing parties (BR-008).</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association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Link opponents to cases with relationship metadata.</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Representative tracking</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Record opposing counsel details.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Conflict view</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See all cases where an opponent appears (conflict-of-interest aid).</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6.2.6 Cases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Full case lifecycle from Draft to Archived, with team, documents, hearings, tasks, and finances.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creation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Draft → Active with validation and required fields (BR-014, BR-015).</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Team assignment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Primary lawyer (mandatory when Active) plus secretary/assistants.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Lifecycle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Draft → Active → Suspended → Closed → Archived with governed transitions.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Timeline</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Immutable chronological log of every significant event (BR-017).</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Associations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Documents, hearings, tasks, expenses, invoices linked to the case.</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fee</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Agreed fee with paid/remaining tracking, visible to finance roles only (BR-026).</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6.2.7 Hearings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Court sessions tied to a case, scheduled with reminders and conflict detection.</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Schedule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 time, court, circuit, type, judge — for exactly one case (BR-018).</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Notifications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Remind Firm Admin + assigned lawyer at 24h and 1h (configurable) (BR-019).</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Conflict detection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Lawyer, courtroom, and client overlap detection with justification override.</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Outcome &amp; minutes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Record outcome (≥50 chars) and attach hearing minutes on completion (BR-020).</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History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Complete, permanent hearing history per case.</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6.2.8 Courts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Per-firm court directory and judicial circuits.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 directory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Manage courts with type, city, address, contact (BR-021).</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Circuit management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circuits as children of a court.</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Associations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View cases/hearings assigned to a court or circuit.</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Deactivation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Deactivate rather than delete when referenced.</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6.2.9 Documents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Secure repository with versioning, categorization, access levels, and AI processing.</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Upload &amp; storage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Drag-and-drop; metadata in DB, content in tenant-scoped object storage (BR-023).</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Versioning</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Automatic versioning with full history and admin restore (BR-024).</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Categorization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Mandatory category from tenant lookups; AI category suggestion (advisory).</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 association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Link to case, client, hearing, or firm user.</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Access levels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 / Entity / Restricted / Owner (BR-025).</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AI processing</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OCR, text extraction, summarization, embedding into the firm’s RAG store.</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6.2.10 Calendar</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Unified view of hearings, appointments, task deadlines, and reminders.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Unified calendar</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Month/week/day, color-coded by event type (BR-022).</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Event creation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Hearings, appointments, reminders.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Conflict validation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Backend hearing-conflict checks; warnings for other events.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Reminders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In-app and email per user preference.</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6.2.11 Tasks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Internal task assignment, tracking, and workload management.</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Title, description, priority, due date.</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Assignment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 to self or others with notification.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New → In Progress → Waiting → Completed → Cancelled.</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 linking</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Associate with a case, client, or hearing.</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Workload view</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Assigned, created, and overdue tasks per user.</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6.2.12 Finance</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Case fees, invoices, payments, and expenses with restricted visibility.</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fee tracking</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Agreed fee with paid/remaining, visible to finance roles only (BR-026).</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Invoices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Draft → Issued → Paid → Cancelled; immutable once issued (BR-027).</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Payments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Immutable, cannot exceed outstanding; overpayment → client credit (BR-028).</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Expenses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Categorized firm/case expenses with receipt attachment.</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Corrections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Compensating transactions only — no physical deletion (BR-029).</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Reports &amp; export</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Revenue, outstanding, expense summaries; PDF/Excel export.</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6.2.13 AI Assistant (RAG)</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Per-firm document intelligence and grounded legal Q&amp;A.</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Isolated knowledge base</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RAG over the firm’s own documents only (BR-030).</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Summarization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Auto-summaries of uploaded legal documents.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Grounded Q&amp;A</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Answers cite source documents from the firm’s corpus.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Classification &amp; extraction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Suggest categories and extract parties/dates/amounts (advisory).</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Credit metering</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Preflight entitlement check; per-tenant/user usage ledger (BR-031).</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3"/>
        <w:spacing w:after="80" w:before="180"/>
      </w:pPr>
      <w:r>
        <w:t xml:space="preserve">6.2.14 Reports</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Operational and financial reporting with export.</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reports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Active/closed/archived; by lawyer, type, court, status.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 reports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Today, upcoming, missed, delayed.</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 reports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Active, new, financial summary.</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Financial reports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Outstanding, paid, revenue, expenses (finance-gated).</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Export</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PDF, Excel, CSV.</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pPr>
        <w:pStyle w:val="Heading2"/>
        <w:spacing w:after="100" w:before="240"/>
      </w:pPr>
      <w:r>
        <w:t xml:space="preserve">6.3 Mobile Application (Flutter)</w:t>
      </w:r>
    </w:p>
    <w:p>
      <w:pPr>
        <w:pStyle w:val="Heading3"/>
        <w:spacing w:after="80" w:before="180"/>
      </w:pPr>
      <w:r>
        <w:t xml:space="preserve">6.3.1 Firm Mobile App</w:t>
      </w:r>
    </w:p>
    <w:p>
      <w:pPr>
        <w:spacing w:after="120" w:line="276"/>
      </w:pPr>
      <w:r>
        <w:rPr>
          <w:rFonts w:ascii="Calibri" w:cs="Calibri" w:eastAsia="Calibri" w:hAnsi="Calibri"/>
          <w:b/>
          <w:bCs/>
          <w:i w:val="false"/>
          <w:iCs w:val="false"/>
          <w:color w:val="B08D57"/>
          <w:sz w:val="21"/>
          <w:szCs w:val="21"/>
        </w:rPr>
        <w:t xml:space="preserve">Purpose. </w:t>
      </w:r>
      <w:r>
        <w:rPr>
          <w:rFonts w:ascii="Calibri" w:cs="Calibri" w:eastAsia="Calibri" w:hAnsi="Calibri"/>
          <w:b w:val="false"/>
          <w:bCs w:val="false"/>
          <w:i w:val="false"/>
          <w:iCs w:val="false"/>
          <w:color w:val="1A1A1A"/>
          <w:sz w:val="21"/>
          <w:szCs w:val="21"/>
        </w:rPr>
        <w:t xml:space="preserve">A cross-platform Flutter application (iOS + Android) giving firm users on-the-go access to the same tenant-scoped workspace, backed by the same REST API as the web client.</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Feature</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Description</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Authentication</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Same login, MFA, and session model as web; biometric unlock (Face/Touch ID) optional.</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Dashboard</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Read-optimized daily view: today’s hearings, pending tasks, notifications.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Cases &amp; clients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View and update assigned cases and their clients within role permissions.</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Hearings &amp; calendar</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View upcoming hearings and receive push reminders (24h / 1h).</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Documents</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View and upload documents (e.g. photograph a paper filing) to the correct entity.</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Notifications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Push notifications for hearings, task assignments, and payment/subscription alerts.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Offline-friendly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Cached read of recently viewed cases/hearings; writes sync when back online.</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Localization</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 EN/AR support with RTL layout.</w:t>
            </w:r>
          </w:p>
        </w:tc>
      </w:tr>
    </w:tbl>
    <w:p>
      <w:pPr>
        <w:spacing w:after="40" w:before="100"/>
      </w:pPr>
      <w:r>
        <w:rPr>
          <w:rFonts w:ascii="Calibri" w:cs="Calibri" w:eastAsia="Calibri" w:hAnsi="Calibri"/>
          <w:b/>
          <w:bCs/>
          <w:i w:val="false"/>
          <w:iCs w:val="false"/>
          <w:color w:val="2E5077"/>
          <w:sz w:val="20"/>
          <w:szCs w:val="20"/>
        </w:rPr>
        <w:t xml:space="preserve">Acceptance criteria</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120"/>
      </w:pPr>
    </w:p>
    <w:p>
      <w:r>
        <w:br w:type="page"/>
      </w:r>
    </w:p>
    <w:p>
      <w:pPr>
        <w:pStyle w:val="Heading1"/>
        <w:spacing w:after="140" w:before="320"/>
      </w:pPr>
      <w:r>
        <w:t xml:space="preserve">7. Business Rules</w:t>
      </w:r>
    </w:p>
    <w:p>
      <w:pPr>
        <w:spacing w:after="120" w:line="276"/>
      </w:pPr>
      <w:r>
        <w:rPr>
          <w:rFonts w:ascii="Calibri" w:cs="Calibri" w:eastAsia="Calibri" w:hAnsi="Calibri"/>
          <w:b w:val="false"/>
          <w:bCs w:val="false"/>
          <w:i w:val="false"/>
          <w:iCs w:val="false"/>
          <w:color w:val="1A1A1A"/>
          <w:sz w:val="21"/>
          <w:szCs w:val="21"/>
        </w:rPr>
        <w:t xml:space="preserve">Business rules are the non-negotiable contract between the specification and the implementation. Every rule below is atomic, testable, and traceable. Identifiers are stable (</w:t>
      </w:r>
      <w:r>
        <w:rPr>
          <w:rFonts w:ascii="Calibri" w:cs="Calibri" w:eastAsia="Calibri" w:hAnsi="Calibri"/>
          <w:b w:val="false"/>
          <w:bCs w:val="false"/>
          <w:i/>
          <w:iCs/>
          <w:color w:val="1A1A1A"/>
          <w:sz w:val="21"/>
          <w:szCs w:val="21"/>
        </w:rPr>
        <w:t xml:space="preserve">BR-###</w:t>
      </w:r>
      <w:r>
        <w:rPr>
          <w:rFonts w:ascii="Calibri" w:cs="Calibri" w:eastAsia="Calibri" w:hAnsi="Calibri"/>
          <w:b w:val="false"/>
          <w:bCs w:val="false"/>
          <w:i w:val="false"/>
          <w:iCs w:val="false"/>
          <w:color w:val="1A1A1A"/>
          <w:sz w:val="21"/>
          <w:szCs w:val="21"/>
        </w:rPr>
        <w:t xml:space="preserve">) and must be referenced in code comments, migrations, and test names so that any deviation is auditable. Where a rule says </w:t>
      </w:r>
      <w:r>
        <w:rPr>
          <w:rFonts w:ascii="Calibri" w:cs="Calibri" w:eastAsia="Calibri" w:hAnsi="Calibri"/>
          <w:b/>
          <w:bCs/>
          <w:i w:val="false"/>
          <w:iCs w:val="false"/>
          <w:color w:val="1A1A1A"/>
          <w:sz w:val="21"/>
          <w:szCs w:val="21"/>
        </w:rPr>
        <w:t xml:space="preserve">MUST</w:t>
      </w:r>
      <w:r>
        <w:rPr>
          <w:rFonts w:ascii="Calibri" w:cs="Calibri" w:eastAsia="Calibri" w:hAnsi="Calibri"/>
          <w:b w:val="false"/>
          <w:bCs w:val="false"/>
          <w:i w:val="false"/>
          <w:iCs w:val="false"/>
          <w:color w:val="1A1A1A"/>
          <w:sz w:val="21"/>
          <w:szCs w:val="21"/>
        </w:rPr>
        <w:t xml:space="preserve">, it is a hard constraint enforced at the backend and, where noted, at the database level. Client-side enforcement is never sufficient on its own.</w:t>
      </w:r>
    </w:p>
    <w:p>
      <w:pPr>
        <w:pStyle w:val="Heading2"/>
        <w:spacing w:after="100" w:before="240"/>
      </w:pPr>
      <w:r>
        <w:t xml:space="preserve">7.1 Identity, Provisioning &amp; Tenancy</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BR-001  </w:t>
            </w:r>
            <w:r>
              <w:rPr>
                <w:rFonts w:ascii="Calibri" w:cs="Calibri" w:eastAsia="Calibri" w:hAnsi="Calibri"/>
                <w:b/>
                <w:bCs/>
                <w:i w:val="false"/>
                <w:iCs w:val="false"/>
                <w:color w:val="1F3A5F"/>
                <w:sz w:val="22"/>
                <w:szCs w:val="22"/>
              </w:rPr>
              <w:t xml:space="preserve">Seeded Super Admin (No Public Signup)</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The platform has exactly one bootstrap Super Admin account, created automatically by a database seeder on first deployment. Public self-registration does not exist in v1; no user may create an account through a public signup flow.</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v1 is an invite-only, operator-controlled platform. Removing self-signup eliminates an entire class of abuse and onboarding-fraud vectors.</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BR-002  </w:t>
            </w:r>
            <w:r>
              <w:rPr>
                <w:rFonts w:ascii="Calibri" w:cs="Calibri" w:eastAsia="Calibri" w:hAnsi="Calibri"/>
                <w:b/>
                <w:bCs/>
                <w:i w:val="false"/>
                <w:iCs w:val="false"/>
                <w:color w:val="1F3A5F"/>
                <w:sz w:val="22"/>
                <w:szCs w:val="22"/>
              </w:rPr>
              <w:t xml:space="preserve">Firm &amp; Firm-Admin Creation by Super Admin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 law firm (tenant) and its single Firm Admin account are created together, exclusively by the Super Admin. Completing this action provisions a ready-to-use, isolated workspace.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Centralizes tenant lifecycle with the operator and guarantees every firm has exactly one accountable owner from creation.</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spacing w:after="60"/>
            </w:pPr>
          </w:p>
          <w:p>
            <w:pPr>
              <w:spacing w:after="40"/>
            </w:pPr>
            <w:r>
              <w:rPr>
                <w:rFonts w:ascii="Calibri" w:cs="Calibri" w:eastAsia="Calibri" w:hAnsi="Calibri"/>
                <w:b/>
                <w:bCs/>
                <w:i w:val="false"/>
                <w:iCs w:val="false"/>
                <w:color w:val="2E5077"/>
                <w:sz w:val="20"/>
                <w:szCs w:val="20"/>
              </w:rPr>
              <w:t xml:space="preserve">Provisioning checklist (all-or-nothing):</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700"/>
              <w:gridCol w:w="4300"/>
              <w:gridCol w:w="4026"/>
            </w:tblGrid>
            <w:tr>
              <w:trPr>
                <w:tblHeader/>
              </w:trPr>
              <w:tc>
                <w:tcPr>
                  <w:tcW w:type="dxa" w:w="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w:t>
                  </w:r>
                </w:p>
              </w:tc>
              <w:tc>
                <w:tcPr>
                  <w:tcW w:type="dxa" w:w="43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Step</w:t>
                  </w:r>
                </w:p>
              </w:tc>
              <w:tc>
                <w:tcPr>
                  <w:tcW w:type="dxa" w:w="40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Result</w:t>
                  </w:r>
                </w:p>
              </w:tc>
            </w:tr>
            <w:tr>
              <w:tc>
                <w:tcPr>
                  <w:tcW w:type="dxa" w:w="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1</w:t>
                  </w:r>
                </w:p>
              </w:tc>
              <w:tc>
                <w:tcPr>
                  <w:tcW w:type="dxa" w:w="4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tenant record</w:t>
                  </w:r>
                </w:p>
              </w:tc>
              <w:tc>
                <w:tcPr>
                  <w:tcW w:type="dxa" w:w="4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Unique tenant_id issued</w:t>
                  </w:r>
                </w:p>
              </w:tc>
            </w:tr>
            <w:tr>
              <w:tc>
                <w:tcPr>
                  <w:tcW w:type="dxa" w:w="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2</w:t>
                  </w:r>
                </w:p>
              </w:tc>
              <w:tc>
                <w:tcPr>
                  <w:tcW w:type="dxa" w:w="4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 Firm Admin user (INACTIVE)</w:t>
                  </w:r>
                </w:p>
              </w:tc>
              <w:tc>
                <w:tcPr>
                  <w:tcW w:type="dxa" w:w="4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Bound to tenant_id; activation token sent</w:t>
                  </w:r>
                </w:p>
              </w:tc>
            </w:tr>
            <w:tr>
              <w:tc>
                <w:tcPr>
                  <w:tcW w:type="dxa" w:w="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3</w:t>
                  </w:r>
                </w:p>
              </w:tc>
              <w:tc>
                <w:tcPr>
                  <w:tcW w:type="dxa" w:w="4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Attach subscription (see BR-010)</w:t>
                  </w:r>
                </w:p>
              </w:tc>
              <w:tc>
                <w:tcPr>
                  <w:tcW w:type="dxa" w:w="4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 = PENDING until first payment</w:t>
                  </w:r>
                </w:p>
              </w:tc>
            </w:tr>
            <w:tr>
              <w:tc>
                <w:tcPr>
                  <w:tcW w:type="dxa" w:w="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4</w:t>
                  </w:r>
                </w:p>
              </w:tc>
              <w:tc>
                <w:tcPr>
                  <w:tcW w:type="dxa" w:w="4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Seed roles &amp; permissions (BR-004)</w:t>
                  </w:r>
                </w:p>
              </w:tc>
              <w:tc>
                <w:tcPr>
                  <w:tcW w:type="dxa" w:w="4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Owner, Lawyer, Secretary, Assistant, Accountant seeded</w:t>
                  </w:r>
                </w:p>
              </w:tc>
            </w:tr>
            <w:tr>
              <w:tc>
                <w:tcPr>
                  <w:tcW w:type="dxa" w:w="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5</w:t>
                  </w:r>
                </w:p>
              </w:tc>
              <w:tc>
                <w:tcPr>
                  <w:tcW w:type="dxa" w:w="4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Seed lookups (case types, hearing types, doc categories)</w:t>
                  </w:r>
                </w:p>
              </w:tc>
              <w:tc>
                <w:tcPr>
                  <w:tcW w:type="dxa" w:w="40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Tenant-scoped reference data ready</w:t>
                  </w:r>
                </w:p>
              </w:tc>
            </w:tr>
            <w:tr>
              <w:tc>
                <w:tcPr>
                  <w:tcW w:type="dxa" w:w="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6</w:t>
                  </w:r>
                </w:p>
              </w:tc>
              <w:tc>
                <w:tcPr>
                  <w:tcW w:type="dxa" w:w="4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Seed business settings (currency, TZ, working hours, language)</w:t>
                  </w:r>
                </w:p>
              </w:tc>
              <w:tc>
                <w:tcPr>
                  <w:tcW w:type="dxa" w:w="40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Sensible defaults, editable by Firm Admin</w:t>
                  </w:r>
                </w:p>
              </w:tc>
            </w:tr>
          </w:tbl>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BR-003  </w:t>
            </w:r>
            <w:r>
              <w:rPr>
                <w:rFonts w:ascii="Calibri" w:cs="Calibri" w:eastAsia="Calibri" w:hAnsi="Calibri"/>
                <w:b/>
                <w:bCs/>
                <w:i w:val="false"/>
                <w:iCs w:val="false"/>
                <w:color w:val="1F3A5F"/>
                <w:sz w:val="22"/>
                <w:szCs w:val="22"/>
              </w:rPr>
              <w:t xml:space="preserve">Tenant Isolation (Shared DB, Row-Scoped)</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The platform uses a single shared database with a mandatory tenant_id column on every tenant-owned table. Every operational record belongs to exactly one tenant, and no query may return rows from another tenant.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Fundamental privacy and legal-privilege requirement; also the single most important security invariant of the system.</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BR-004  </w:t>
            </w:r>
            <w:r>
              <w:rPr>
                <w:rFonts w:ascii="Calibri" w:cs="Calibri" w:eastAsia="Calibri" w:hAnsi="Calibri"/>
                <w:b/>
                <w:bCs/>
                <w:i w:val="false"/>
                <w:iCs w:val="false"/>
                <w:color w:val="1F3A5F"/>
                <w:sz w:val="22"/>
                <w:szCs w:val="22"/>
              </w:rPr>
              <w:t xml:space="preserve">Seeded Roles &amp; Permissions</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 fixed catalog of roles and a fixed catalog of granular permissions are created by a seeder at deployment and re-seeded (as templates) into each new tenant. Roles are assignable to firm users; permissions are the atomic units a role is composed of.</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Guarantees every firm starts from a consistent, well-understood authorization baseline that developers implement once and reuse.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BR-005  </w:t>
            </w:r>
            <w:r>
              <w:rPr>
                <w:rFonts w:ascii="Calibri" w:cs="Calibri" w:eastAsia="Calibri" w:hAnsi="Calibri"/>
                <w:b/>
                <w:bCs/>
                <w:i w:val="false"/>
                <w:iCs w:val="false"/>
                <w:color w:val="1F3A5F"/>
                <w:sz w:val="22"/>
                <w:szCs w:val="22"/>
              </w:rPr>
              <w:t xml:space="preserve">Firm Admin Holds Full, Irrevocable CRUD</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Within its own tenant, the Firm Admin always holds full create/read/update/delete/export/manage permissions across every module. This authority cannot be reduced by the Super Admin, by configuration, or by any role edit.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The Firm Admin is the single accountable owner of the firm workspace and must never be locked out of firm data they are legally responsible for.</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7.2 Firm Users, Clients &amp; Opponents</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BR-006  </w:t>
            </w:r>
            <w:r>
              <w:rPr>
                <w:rFonts w:ascii="Calibri" w:cs="Calibri" w:eastAsia="Calibri" w:hAnsi="Calibri"/>
                <w:b/>
                <w:bCs/>
                <w:i w:val="false"/>
                <w:iCs w:val="false"/>
                <w:color w:val="1F3A5F"/>
                <w:sz w:val="22"/>
                <w:szCs w:val="22"/>
              </w:rPr>
              <w:t xml:space="preserve">Firm User Membership</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firm user (Lawyer, Secretary, Assistant, Accountant) belongs to exactly one tenant and is created only by the Firm Admin (or a user with employee.manage). A firm user can never access another tenant’s data.</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Enforces tenant isolation at the human level and keeps accountability clear.</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BR-007  </w:t>
            </w:r>
            <w:r>
              <w:rPr>
                <w:rFonts w:ascii="Calibri" w:cs="Calibri" w:eastAsia="Calibri" w:hAnsi="Calibri"/>
                <w:b/>
                <w:bCs/>
                <w:i w:val="false"/>
                <w:iCs w:val="false"/>
                <w:color w:val="1F3A5F"/>
                <w:sz w:val="22"/>
                <w:szCs w:val="22"/>
              </w:rPr>
              <w:t xml:space="preserve">Client as Internal Record (No Login in v1)</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 client is an internal record owned by a single tenant, created and managed by firm users. Clients have no login, no portal, and no cross-firm identity in v1.</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Confirmed v1 scope: clients are data managed by the firm, not platform accounts. This removes portal auth, cross-tenant sync, and consent-propagation complexity entirely.</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BR-008  </w:t>
            </w:r>
            <w:r>
              <w:rPr>
                <w:rFonts w:ascii="Calibri" w:cs="Calibri" w:eastAsia="Calibri" w:hAnsi="Calibri"/>
                <w:b/>
                <w:bCs/>
                <w:i w:val="false"/>
                <w:iCs w:val="false"/>
                <w:color w:val="1F3A5F"/>
                <w:sz w:val="22"/>
                <w:szCs w:val="22"/>
              </w:rPr>
              <w:t xml:space="preserve">Opponent Records</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An opponent is the opposing party in a case, stored as a tenant-owned record and linkable to one or more cases with relationship metadata.</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Opponents must be tracked for conflict-of-interest checks and case context, but are not clients and never gain access.</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7.3 Subscription &amp; Billing</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BR-009  </w:t>
            </w:r>
            <w:r>
              <w:rPr>
                <w:rFonts w:ascii="Calibri" w:cs="Calibri" w:eastAsia="Calibri" w:hAnsi="Calibri"/>
                <w:b/>
                <w:bCs/>
                <w:i w:val="false"/>
                <w:iCs w:val="false"/>
                <w:color w:val="1F3A5F"/>
                <w:sz w:val="22"/>
                <w:szCs w:val="22"/>
              </w:rPr>
              <w:t xml:space="preserve">One Active Subscription per Firm</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Each tenant maintains exactly one active subscription at any time, paid by the Firm Admin on a monthly or yearly cycle. Subscription history is immutable and retained for audit.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Clear billing accountability and a clean audit trail; matches the confirmed “firm admin pays” model.</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BR-010  </w:t>
            </w:r>
            <w:r>
              <w:rPr>
                <w:rFonts w:ascii="Calibri" w:cs="Calibri" w:eastAsia="Calibri" w:hAnsi="Calibri"/>
                <w:b/>
                <w:bCs/>
                <w:i w:val="false"/>
                <w:iCs w:val="false"/>
                <w:color w:val="1F3A5F"/>
                <w:sz w:val="22"/>
                <w:szCs w:val="22"/>
              </w:rPr>
              <w:t xml:space="preserve">Subscription Lifecycle &amp; Payment</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 subscription progresses through a defined state machine driven by payment events. State changes propagate to all workspace modules promptly.</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Predictable, testable billing behavior with no ambiguous states.</w:t>
            </w:r>
          </w:p>
          <w:p>
            <w:pPr>
              <w:spacing w:after="40"/>
            </w:pP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1700"/>
              <w:gridCol w:w="4100"/>
              <w:gridCol w:w="3226"/>
            </w:tblGrid>
            <w:tr>
              <w:trPr>
                <w:tblHeader/>
              </w:trPr>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State</w:t>
                  </w:r>
                </w:p>
              </w:tc>
              <w:tc>
                <w:tcPr>
                  <w:tcW w:type="dxa" w:w="41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Meaning</w:t>
                  </w:r>
                </w:p>
              </w:tc>
              <w:tc>
                <w:tcPr>
                  <w:tcW w:type="dxa" w:w="32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Workspace access</w:t>
                  </w:r>
                </w:p>
              </w:tc>
            </w:tr>
            <w:tr>
              <w:tc>
                PENDING
                <w:p/>
              </w:tc>
              <w:tc>
                <w:tcPr>
                  <w:tcW w:type="dxa" w:w="41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created, first payment not yet settled</w:t>
                  </w:r>
                </w:p>
              </w:tc>
              <w:tc>
                <w:tcPr>
                  <w:tcW w:type="dxa" w:w="32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 operational access; activation blocked</w:t>
                  </w:r>
                </w:p>
              </w:tc>
            </w:tr>
            <w:tr>
              <w:tc>
                ACTIVE
                <w:p/>
              </w:tc>
              <w:tc>
                <w:tcPr>
                  <w:tcW w:type="dxa" w:w="41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Paid and current</w:t>
                  </w:r>
                </w:p>
              </w:tc>
              <w:tc>
                <w:tcPr>
                  <w:tcW w:type="dxa" w:w="32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 read + write</w:t>
                  </w:r>
                </w:p>
              </w:tc>
            </w:tr>
            <w:tr>
              <w:tc>
                PAST_DUE
                <w:p/>
              </w:tc>
              <w:tc>
                <w:tcPr>
                  <w:tcW w:type="dxa" w:w="41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Payment failed; retry window open</w:t>
                  </w:r>
                </w:p>
              </w:tc>
              <w:tc>
                <w:tcPr>
                  <w:tcW w:type="dxa" w:w="32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 read + write (grace)</w:t>
                  </w:r>
                </w:p>
              </w:tc>
            </w:tr>
            <w:tr>
              <w:tc>
                SUSPENDED
                <w:p/>
              </w:tc>
              <w:tc>
                <w:tcPr>
                  <w:tcW w:type="dxa" w:w="41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Retries exhausted / cycle lapsed</w:t>
                  </w:r>
                </w:p>
              </w:tc>
              <w:tc>
                <w:tcPr>
                  <w:tcW w:type="dxa" w:w="32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READ-ONLY (see BR-012)</w:t>
                  </w:r>
                </w:p>
              </w:tc>
            </w:tr>
            <w:tr>
              <w:tc>
                CANCELLED
                <w:p/>
              </w:tc>
              <w:tc>
                <w:tcPr>
                  <w:tcW w:type="dxa" w:w="41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Terminated by Super Admin or firm request</w:t>
                  </w:r>
                </w:p>
              </w:tc>
              <w:tc>
                <w:tcPr>
                  <w:tcW w:type="dxa" w:w="32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 access; data retained per BR-013</w:t>
                  </w:r>
                </w:p>
              </w:tc>
            </w:tr>
          </w:tbl>
          <w:p>
            <w:pPr>
              <w:spacing w:after="60"/>
            </w:pP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BR-011  </w:t>
            </w:r>
            <w:r>
              <w:rPr>
                <w:rFonts w:ascii="Calibri" w:cs="Calibri" w:eastAsia="Calibri" w:hAnsi="Calibri"/>
                <w:b/>
                <w:bCs/>
                <w:i w:val="false"/>
                <w:iCs w:val="false"/>
                <w:color w:val="1F3A5F"/>
                <w:sz w:val="22"/>
                <w:szCs w:val="22"/>
              </w:rPr>
              <w:t xml:space="preserve">Super Admin Billing Oversight</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The Super Admin can view every firm’s subscription status, billing history, and AI-model usage in aggregate, and can suspend, reactivate, or cancel a firm — but can never read a firm’s case, client, or document content.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Operators need commercial oversight without breaching legal privilege.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BR-012  </w:t>
            </w:r>
            <w:r>
              <w:rPr>
                <w:rFonts w:ascii="Calibri" w:cs="Calibri" w:eastAsia="Calibri" w:hAnsi="Calibri"/>
                <w:b/>
                <w:bCs/>
                <w:i w:val="false"/>
                <w:iCs w:val="false"/>
                <w:color w:val="1F3A5F"/>
                <w:sz w:val="22"/>
                <w:szCs w:val="22"/>
              </w:rPr>
              <w:t xml:space="preserve">Suspended Workspace = Read-Only</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When a firm’s subscription is SUSPENDED, its workspace becomes strictly read-only: users may sign in and view/export existing data, but no create, update, or delete operation succeeds.</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Confirmed policy. Preserves the firm’s legal records and their ability to export, while removing the value of continued use until payment resumes.</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BR-013  </w:t>
            </w:r>
            <w:r>
              <w:rPr>
                <w:rFonts w:ascii="Calibri" w:cs="Calibri" w:eastAsia="Calibri" w:hAnsi="Calibri"/>
                <w:b/>
                <w:bCs/>
                <w:i w:val="false"/>
                <w:iCs w:val="false"/>
                <w:color w:val="1F3A5F"/>
                <w:sz w:val="22"/>
                <w:szCs w:val="22"/>
              </w:rPr>
              <w:t xml:space="preserve">Data Retention on Cancellation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Cancelling a firm does not immediately destroy its data. Data is retained for a defined window during which export is possible, after which purge follows the operator’s retention policy.</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Legal records require careful, auditable disposal — never abrupt deletion.</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7.4 Case Management</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BR-014  </w:t>
            </w:r>
            <w:r>
              <w:rPr>
                <w:rFonts w:ascii="Calibri" w:cs="Calibri" w:eastAsia="Calibri" w:hAnsi="Calibri"/>
                <w:b/>
                <w:bCs/>
                <w:i w:val="false"/>
                <w:iCs w:val="false"/>
                <w:color w:val="1F3A5F"/>
                <w:sz w:val="22"/>
                <w:szCs w:val="22"/>
              </w:rPr>
              <w:t xml:space="preserve">Case Ownership &amp; Assignment</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case belongs to exactly one tenant and one client, and — once Active — must have at least one responsible (primary) lawyer. A case can never be transferred between tenants.</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Guarantees accountability and jurisdictional/data integrity.</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BR-015  </w:t>
            </w:r>
            <w:r>
              <w:rPr>
                <w:rFonts w:ascii="Calibri" w:cs="Calibri" w:eastAsia="Calibri" w:hAnsi="Calibri"/>
                <w:b/>
                <w:bCs/>
                <w:i w:val="false"/>
                <w:iCs w:val="false"/>
                <w:color w:val="1F3A5F"/>
                <w:sz w:val="22"/>
                <w:szCs w:val="22"/>
              </w:rPr>
              <w:t xml:space="preserve">Case Lifecycle</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Cases move through a fixed set of states with governed transitions. Every transition is recorded immutably in the case timeline.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Clear status visibility and a complete legal audit trail.</w:t>
            </w:r>
          </w:p>
          <w:p>
            <w:pPr>
              <w:spacing w:after="40"/>
            </w:pP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1500"/>
              <w:gridCol w:w="3900"/>
              <w:gridCol w:w="3626"/>
            </w:tblGrid>
            <w:tr>
              <w:trPr>
                <w:tblHeader/>
              </w:trPr>
              <w:tc>
                <w:tcPr>
                  <w:tcW w:type="dxa" w:w="15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State</w:t>
                  </w:r>
                </w:p>
              </w:tc>
              <w:tc>
                <w:tcPr>
                  <w:tcW w:type="dxa" w:w="39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Definition</w:t>
                  </w:r>
                </w:p>
              </w:tc>
              <w:tc>
                <w:tcPr>
                  <w:tcW w:type="dxa" w:w="36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Key constraint</w:t>
                  </w:r>
                </w:p>
              </w:tc>
            </w:tr>
            <w:tr>
              <w:tc>
                Draft
                <w:p/>
              </w:tc>
              <w:tc>
                <w:tcPr>
                  <w:tcW w:type="dxa" w:w="39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Created, information may be incomplete</w:t>
                  </w:r>
                </w:p>
              </w:tc>
              <w:tc>
                <w:tcPr>
                  <w:tcW w:type="dxa" w:w="36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May be unassigned; not counted as active</w:t>
                  </w:r>
                </w:p>
              </w:tc>
            </w:tr>
            <w:tr>
              <w:tc>
                Active
                <w:p/>
              </w:tc>
              <w:tc>
                <w:tcPr>
                  <w:tcW w:type="dxa" w:w="39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Being actively worked</w:t>
                  </w:r>
                </w:p>
              </w:tc>
              <w:tc>
                <w:tcPr>
                  <w:tcW w:type="dxa" w:w="36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Requires primary lawyer + client + type + opening date</w:t>
                  </w:r>
                </w:p>
              </w:tc>
            </w:tr>
            <w:tr>
              <w:tc>
                Suspended
                <w:p/>
              </w:tc>
              <w:tc>
                <w:tcPr>
                  <w:tcW w:type="dxa" w:w="39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Temporarily paused</w:t>
                  </w:r>
                </w:p>
              </w:tc>
              <w:tc>
                <w:tcPr>
                  <w:tcW w:type="dxa" w:w="36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 hearings/tasks may be scheduled; reason required</w:t>
                  </w:r>
                </w:p>
              </w:tc>
            </w:tr>
            <w:tr>
              <w:tc>
                Closed
                <w:p/>
              </w:tc>
              <w:tc>
                <w:tcPr>
                  <w:tcW w:type="dxa" w:w="39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Resolved</w:t>
                  </w:r>
                </w:p>
              </w:tc>
              <w:tc>
                <w:tcPr>
                  <w:tcW w:type="dxa" w:w="36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Requires closing date + outcome summary; read-only except financial closure</w:t>
                  </w:r>
                </w:p>
              </w:tc>
            </w:tr>
            <w:tr>
              <w:tc>
                Archived
                <w:p/>
              </w:tc>
              <w:tc>
                <w:tcPr>
                  <w:tcW w:type="dxa" w:w="39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Permanently stored</w:t>
                  </w:r>
                </w:p>
              </w:tc>
              <w:tc>
                <w:tcPr>
                  <w:tcW w:type="dxa" w:w="36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Excluded from active queries; admin-only, justification required</w:t>
                  </w:r>
                </w:p>
              </w:tc>
            </w:tr>
          </w:tbl>
          <w:p>
            <w:pPr>
              <w:spacing w:after="60"/>
            </w:pPr>
          </w:p>
          <w:p>
            <w:pPr>
              <w:spacing w:after="40"/>
            </w:pPr>
            <w:r>
              <w:rPr>
                <w:rFonts w:ascii="Calibri" w:cs="Calibri" w:eastAsia="Calibri" w:hAnsi="Calibri"/>
                <w:b/>
                <w:bCs/>
                <w:i w:val="false"/>
                <w:iCs w:val="false"/>
                <w:color w:val="2E5077"/>
                <w:sz w:val="20"/>
                <w:szCs w:val="20"/>
              </w:rPr>
              <w:t xml:space="preserve">Transition 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BR-016  </w:t>
            </w:r>
            <w:r>
              <w:rPr>
                <w:rFonts w:ascii="Calibri" w:cs="Calibri" w:eastAsia="Calibri" w:hAnsi="Calibri"/>
                <w:b/>
                <w:bCs/>
                <w:i w:val="false"/>
                <w:iCs w:val="false"/>
                <w:color w:val="1F3A5F"/>
                <w:sz w:val="22"/>
                <w:szCs w:val="22"/>
              </w:rPr>
              <w:t xml:space="preserve">No Hard Delete of Cases</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Cases are never physically deleted through normal operations. Standard users may only archive (soft-delete); physical deletion is a Super-Admin-only, dual-approved, logged event.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Legal compliance and historical preservation.</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BR-017  </w:t>
            </w:r>
            <w:r>
              <w:rPr>
                <w:rFonts w:ascii="Calibri" w:cs="Calibri" w:eastAsia="Calibri" w:hAnsi="Calibri"/>
                <w:b/>
                <w:bCs/>
                <w:i w:val="false"/>
                <w:iCs w:val="false"/>
                <w:color w:val="1F3A5F"/>
                <w:sz w:val="22"/>
                <w:szCs w:val="22"/>
              </w:rPr>
              <w:t xml:space="preserve">Case Timeline Integrity</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significant case event is appended to an immutable timeline capturing actor, timestamp, previous state, new state, and optional note.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Complete, tamper-evident case history for legal and audit purposes.</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7.5 Hearings, Courts &amp; Calendar</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BR-018  </w:t>
            </w:r>
            <w:r>
              <w:rPr>
                <w:rFonts w:ascii="Calibri" w:cs="Calibri" w:eastAsia="Calibri" w:hAnsi="Calibri"/>
                <w:b/>
                <w:bCs/>
                <w:i w:val="false"/>
                <w:iCs w:val="false"/>
                <w:color w:val="1F3A5F"/>
                <w:sz w:val="22"/>
                <w:szCs w:val="22"/>
              </w:rPr>
              <w:t xml:space="preserve">Hearing Belongs to Exactly One Case</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hearing is associated with exactly one case, inherits that case’s client and primary lawyer, and is scheduled at a specific court on a specific date/time.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Prevents orphaned hearings and guarantees context.</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BR-019  </w:t>
            </w:r>
            <w:r>
              <w:rPr>
                <w:rFonts w:ascii="Calibri" w:cs="Calibri" w:eastAsia="Calibri" w:hAnsi="Calibri"/>
                <w:b/>
                <w:bCs/>
                <w:i w:val="false"/>
                <w:iCs w:val="false"/>
                <w:color w:val="1F3A5F"/>
                <w:sz w:val="22"/>
                <w:szCs w:val="22"/>
              </w:rPr>
              <w:t xml:space="preserve">Hearing Scheduling, Notification &amp; Conflict Detection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Scheduling a hearing creates a calendar event and triggers reminder notifications to the Firm Admin and the case’s assigned lawyer. The system detects and warns on scheduling conflicts.</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Missed appearances carry severe consequences for clients; scheduling must be reliable.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BR-020  </w:t>
            </w:r>
            <w:r>
              <w:rPr>
                <w:rFonts w:ascii="Calibri" w:cs="Calibri" w:eastAsia="Calibri" w:hAnsi="Calibri"/>
                <w:b/>
                <w:bCs/>
                <w:i w:val="false"/>
                <w:iCs w:val="false"/>
                <w:color w:val="1F3A5F"/>
                <w:sz w:val="22"/>
                <w:szCs w:val="22"/>
              </w:rPr>
              <w:t xml:space="preserve">Hearing Completion &amp; Minutes</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 hearing marked Completed requires an outcome record and supports attaching hearing minutes. Completed hearings remain permanently associated with their case.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Legal requirement for case-record completeness.</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BR-021  </w:t>
            </w:r>
            <w:r>
              <w:rPr>
                <w:rFonts w:ascii="Calibri" w:cs="Calibri" w:eastAsia="Calibri" w:hAnsi="Calibri"/>
                <w:b/>
                <w:bCs/>
                <w:i w:val="false"/>
                <w:iCs w:val="false"/>
                <w:color w:val="1F3A5F"/>
                <w:sz w:val="22"/>
                <w:szCs w:val="22"/>
              </w:rPr>
              <w:t xml:space="preserve">Courts Are Per-Firm Reference Data</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Courts and their circuits are tenant-owned reference data, created and maintained by the Firm Admin (or a user with court.manage). They are not shared across firms.</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Confirmed scope: each firm curates the courts it works with. Keeps tenant isolation absolute and avoids a shared-data governance burden in v1.</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BR-022  </w:t>
            </w:r>
            <w:r>
              <w:rPr>
                <w:rFonts w:ascii="Calibri" w:cs="Calibri" w:eastAsia="Calibri" w:hAnsi="Calibri"/>
                <w:b/>
                <w:bCs/>
                <w:i w:val="false"/>
                <w:iCs w:val="false"/>
                <w:color w:val="1F3A5F"/>
                <w:sz w:val="22"/>
                <w:szCs w:val="22"/>
              </w:rPr>
              <w:t xml:space="preserve">Unified Calendar</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Hearings, appointments, task due dates, and reminders surface on a single tenant calendar with conflict validation at the backend.</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One authoritative view of the firm’s time-bound obligations.</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7.6 Documents</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BR-023  </w:t>
            </w:r>
            <w:r>
              <w:rPr>
                <w:rFonts w:ascii="Calibri" w:cs="Calibri" w:eastAsia="Calibri" w:hAnsi="Calibri"/>
                <w:b/>
                <w:bCs/>
                <w:i w:val="false"/>
                <w:iCs w:val="false"/>
                <w:color w:val="1F3A5F"/>
                <w:sz w:val="22"/>
                <w:szCs w:val="22"/>
              </w:rPr>
              <w:t xml:space="preserve">Document Ownership &amp; Association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document belongs to one tenant and MUST be associated with a business entity — a case, client, hearing, or firm user. Document metadata lives in the database; file content lives in object storage.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Guarantees discoverability, access control, and scalable storage.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BR-024  </w:t>
            </w:r>
            <w:r>
              <w:rPr>
                <w:rFonts w:ascii="Calibri" w:cs="Calibri" w:eastAsia="Calibri" w:hAnsi="Calibri"/>
                <w:b/>
                <w:bCs/>
                <w:i w:val="false"/>
                <w:iCs w:val="false"/>
                <w:color w:val="1F3A5F"/>
                <w:sz w:val="22"/>
                <w:szCs w:val="22"/>
              </w:rPr>
              <w:t xml:space="preserve">Document Versioning &amp; Retention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Editing a document creates a new version while preserving all prior versions. Documents are not hard-deleted by standard users; retention and archival follow policy.</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Legal documents require complete, restorable version history.</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BR-025  </w:t>
            </w:r>
            <w:r>
              <w:rPr>
                <w:rFonts w:ascii="Calibri" w:cs="Calibri" w:eastAsia="Calibri" w:hAnsi="Calibri"/>
                <w:b/>
                <w:bCs/>
                <w:i w:val="false"/>
                <w:iCs w:val="false"/>
                <w:color w:val="1F3A5F"/>
                <w:sz w:val="22"/>
                <w:szCs w:val="22"/>
              </w:rPr>
              <w:t xml:space="preserve">Document Access Control</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Document access is governed by tenant membership, the linked entity’s access, and per-document permission level. Sharing a document outside its tenant is prohibited.</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Defense-in-depth for sensitive legal material.</w:t>
            </w:r>
          </w:p>
          <w:p>
            <w:pPr>
              <w:spacing w:after="40"/>
            </w:pP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1500"/>
              <w:gridCol w:w="4400"/>
              <w:gridCol w:w="3126"/>
            </w:tblGrid>
            <w:tr>
              <w:trPr>
                <w:tblHeader/>
              </w:trPr>
              <w:tc>
                <w:tcPr>
                  <w:tcW w:type="dxa" w:w="15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Level</w:t>
                  </w:r>
                </w:p>
              </w:tc>
              <w:tc>
                <w:tcPr>
                  <w:tcW w:type="dxa" w:w="4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Who can access</w:t>
                  </w:r>
                </w:p>
              </w:tc>
              <w:tc>
                <w:tcPr>
                  <w:tcW w:type="dxa" w:w="31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Typical use</w:t>
                  </w:r>
                </w:p>
              </w:tc>
            </w:tr>
            <w:tr>
              <w:tc>
                Tenant
                <w:p/>
              </w:tc>
              <w:tc>
                <w:tcPr>
                  <w:tcW w:type="dxa" w:w="4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Any member of the owning firm</w:t>
                  </w:r>
                </w:p>
              </w:tc>
              <w:tc>
                <w:tcPr>
                  <w:tcW w:type="dxa" w:w="3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Templates, internal memos</w:t>
                  </w:r>
                </w:p>
              </w:tc>
            </w:tr>
            <w:tr>
              <w:tc>
                Entity
                <w:p/>
              </w:tc>
              <w:tc>
                <w:tcPr>
                  <w:tcW w:type="dxa" w:w="4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Users with access to the linked case/client</w:t>
                  </w:r>
                </w:p>
              </w:tc>
              <w:tc>
                <w:tcPr>
                  <w:tcW w:type="dxa" w:w="3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documents, client ID</w:t>
                  </w:r>
                </w:p>
              </w:tc>
            </w:tr>
            <w:tr>
              <w:tc>
                Restricted
                <w:p/>
              </w:tc>
              <w:tc>
                <w:tcPr>
                  <w:tcW w:type="dxa" w:w="4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Assigned team members + admins</w:t>
                  </w:r>
                </w:p>
              </w:tc>
              <w:tc>
                <w:tcPr>
                  <w:tcW w:type="dxa" w:w="31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Privileged / sensitive evidence</w:t>
                  </w:r>
                </w:p>
              </w:tc>
            </w:tr>
            <w:tr>
              <w:tc>
                Owner
                <w:p/>
              </w:tc>
              <w:tc>
                <w:tcPr>
                  <w:tcW w:type="dxa" w:w="4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Uploader + admins only</w:t>
                  </w:r>
                </w:p>
              </w:tc>
              <w:tc>
                <w:tcPr>
                  <w:tcW w:type="dxa" w:w="31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Drafts, personal notes</w:t>
                  </w:r>
                </w:p>
              </w:tc>
            </w:tr>
          </w:tbl>
          <w:p>
            <w:pPr>
              <w:spacing w:after="50"/>
            </w:pP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7.7 Finance (Client Payments &amp; Firm Invoicing)</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BR-026  </w:t>
            </w:r>
            <w:r>
              <w:rPr>
                <w:rFonts w:ascii="Calibri" w:cs="Calibri" w:eastAsia="Calibri" w:hAnsi="Calibri"/>
                <w:b/>
                <w:bCs/>
                <w:i w:val="false"/>
                <w:iCs w:val="false"/>
                <w:color w:val="1F3A5F"/>
                <w:sz w:val="22"/>
                <w:szCs w:val="22"/>
              </w:rPr>
              <w:t xml:space="preserve">Case Payment Visibility (Paid vs Remaining)</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Each case carries an agreed lawyer fee for its client. Paid amount and remaining balance are computed from recorded payments and are visible only to the Firm Admin (and users explicitly granted finance.read).</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Confirmed requirement: fee/payment status is sensitive and restricted to the firm’s financial authority.</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BR-027  </w:t>
            </w:r>
            <w:r>
              <w:rPr>
                <w:rFonts w:ascii="Calibri" w:cs="Calibri" w:eastAsia="Calibri" w:hAnsi="Calibri"/>
                <w:b/>
                <w:bCs/>
                <w:i w:val="false"/>
                <w:iCs w:val="false"/>
                <w:color w:val="1F3A5F"/>
                <w:sz w:val="22"/>
                <w:szCs w:val="22"/>
              </w:rPr>
              <w:t xml:space="preserve">Invoice Lifecycle</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Invoices belong to the tenant, reference a client, optionally link to a case, and progress Draft → Issued → Paid → Cancelled under strict controls.</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Financial accountability and accurate client billing.</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BR-028  </w:t>
            </w:r>
            <w:r>
              <w:rPr>
                <w:rFonts w:ascii="Calibri" w:cs="Calibri" w:eastAsia="Calibri" w:hAnsi="Calibri"/>
                <w:b/>
                <w:bCs/>
                <w:i w:val="false"/>
                <w:iCs w:val="false"/>
                <w:color w:val="1F3A5F"/>
                <w:sz w:val="22"/>
                <w:szCs w:val="22"/>
              </w:rPr>
              <w:t xml:space="preserve">Payment Recording</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payment references an existing invoice or case fee, cannot exceed the outstanding amount, and is immutable after recording.</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Financial integrity and audit compliance.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BR-029  </w:t>
            </w:r>
            <w:r>
              <w:rPr>
                <w:rFonts w:ascii="Calibri" w:cs="Calibri" w:eastAsia="Calibri" w:hAnsi="Calibri"/>
                <w:b/>
                <w:bCs/>
                <w:i w:val="false"/>
                <w:iCs w:val="false"/>
                <w:color w:val="1F3A5F"/>
                <w:sz w:val="22"/>
                <w:szCs w:val="22"/>
              </w:rPr>
              <w:t xml:space="preserve">Financial Integrity (No Physical Deletion)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Financial records are never physically deleted. Corrections are made through compensating (reversal) transactions, leaving both the original and the correction visible.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Accounting-standard compliance and fraud prevention.</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7.8 AI Assistant &amp; RAG</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BR-030  </w:t>
            </w:r>
            <w:r>
              <w:rPr>
                <w:rFonts w:ascii="Calibri" w:cs="Calibri" w:eastAsia="Calibri" w:hAnsi="Calibri"/>
                <w:b/>
                <w:bCs/>
                <w:i w:val="false"/>
                <w:iCs w:val="false"/>
                <w:color w:val="1F3A5F"/>
                <w:sz w:val="22"/>
                <w:szCs w:val="22"/>
              </w:rPr>
              <w:t xml:space="preserve">Per-Firm Isolated Knowledge Base</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Each firm has its own isolated legal knowledge base. The AI assistant answering for a firm may retrieve only from that firm’s knowledge base and documents — never from another tenant’s embeddings or content.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Confirmed scope. Isolation of the vector store is the AI-layer expression of BR-003 and is essential to legal privilege.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BR-031  </w:t>
            </w:r>
            <w:r>
              <w:rPr>
                <w:rFonts w:ascii="Calibri" w:cs="Calibri" w:eastAsia="Calibri" w:hAnsi="Calibri"/>
                <w:b/>
                <w:bCs/>
                <w:i w:val="false"/>
                <w:iCs w:val="false"/>
                <w:color w:val="1F3A5F"/>
                <w:sz w:val="22"/>
                <w:szCs w:val="22"/>
              </w:rPr>
              <w:t xml:space="preserve">AI Credit Metering</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AI usage is metered in normalized credits per tenant and per user, checked against the subscription entitlement before execution (preflight).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Cost control and fair, auditable usage accounting.</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BR-032  </w:t>
            </w:r>
            <w:r>
              <w:rPr>
                <w:rFonts w:ascii="Calibri" w:cs="Calibri" w:eastAsia="Calibri" w:hAnsi="Calibri"/>
                <w:b/>
                <w:bCs/>
                <w:i w:val="false"/>
                <w:iCs w:val="false"/>
                <w:color w:val="1F3A5F"/>
                <w:sz w:val="22"/>
                <w:szCs w:val="22"/>
              </w:rPr>
              <w:t xml:space="preserve">AI Is Advisory, Human Is Authoritative</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AI outputs (summaries, suggested classifications, research answers) are advisory. A human edit always supersedes AI output, and AI may never overwrite a human edit.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Legal responsibility rests with the lawyer; the system must reinforce, not undermine, that.</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7.9 Security &amp; Audit</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BR-033  </w:t>
            </w:r>
            <w:r>
              <w:rPr>
                <w:rFonts w:ascii="Calibri" w:cs="Calibri" w:eastAsia="Calibri" w:hAnsi="Calibri"/>
                <w:b/>
                <w:bCs/>
                <w:i w:val="false"/>
                <w:iCs w:val="false"/>
                <w:color w:val="1F3A5F"/>
                <w:sz w:val="22"/>
                <w:szCs w:val="22"/>
              </w:rPr>
              <w:t xml:space="preserve">Authentication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All protected resources require authenticated access, verified at every API boundary. Sessions use short-lived access tokens with refresh-token rotation.</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Fundamental security control.</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BR-034  </w:t>
            </w:r>
            <w:r>
              <w:rPr>
                <w:rFonts w:ascii="Calibri" w:cs="Calibri" w:eastAsia="Calibri" w:hAnsi="Calibri"/>
                <w:b/>
                <w:bCs/>
                <w:i w:val="false"/>
                <w:iCs w:val="false"/>
                <w:color w:val="1F3A5F"/>
                <w:sz w:val="22"/>
                <w:szCs w:val="22"/>
              </w:rPr>
              <w:t xml:space="preserve">Authorization (RBAC)</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Every operation is validated against the user’s permissions at the backend, after authentication and before business logic. Least privilege is the default.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Prevents privilege escalation and enforces least privilege.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BR-035  </w:t>
            </w:r>
            <w:r>
              <w:rPr>
                <w:rFonts w:ascii="Calibri" w:cs="Calibri" w:eastAsia="Calibri" w:hAnsi="Calibri"/>
                <w:b/>
                <w:bCs/>
                <w:i w:val="false"/>
                <w:iCs w:val="false"/>
                <w:color w:val="1F3A5F"/>
                <w:sz w:val="22"/>
                <w:szCs w:val="22"/>
              </w:rPr>
              <w:t xml:space="preserve">Audit Logging</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Business-critical operations are written to an immutable audit log capturing actor, timestamp, entity, and before/after state.</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Accountability, forensics, and legal defensibility.</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spacing w:after="80"/>
      </w:pP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BR-036  </w:t>
            </w:r>
            <w:r>
              <w:rPr>
                <w:rFonts w:ascii="Calibri" w:cs="Calibri" w:eastAsia="Calibri" w:hAnsi="Calibri"/>
                <w:b/>
                <w:bCs/>
                <w:i w:val="false"/>
                <w:iCs w:val="false"/>
                <w:color w:val="1F3A5F"/>
                <w:sz w:val="22"/>
                <w:szCs w:val="22"/>
              </w:rPr>
              <w:t xml:space="preserve">Data Encryption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Sensitive data is encrypted in transit and at rest using industry-standard algorithms, with tenant-scoped keys for tenant content.</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Data-protection compliance and privilege.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Style w:val="Heading2"/>
        <w:spacing w:after="100" w:before="240"/>
      </w:pPr>
      <w:r>
        <w:t xml:space="preserve">7.10 Mobile Application</w:t>
      </w:r>
    </w:p>
    <w:tbl>
      <w:tblPr>
        <w:tblW w:type="dxa" w:w="9026"/>
        <w:tblBorders>
          <w:top w:val="none"/>
          <w:left w:val="single" w:color="B08D57" w:sz="18"/>
          <w:bottom w:val="none"/>
          <w:right w:val="none"/>
          <w:insideH w:val="none"/>
          <w:insideV w:val="none"/>
        </w:tblBorders>
      </w:tblPr>
      <w:tblGrid>
        <w:gridCol w:w="9026"/>
      </w:tblGrid>
      <w:tr>
        <w:tc>
          <w:tcPr>
            <w:tcW w:type="dxa" w:w="9026"/>
            <w:shd w:fill="FBF6EC" w:color="auto" w:val="clear"/>
            <w:tcMar>
              <w:top w:type="dxa" w:w="120"/>
              <w:left w:type="dxa" w:w="160"/>
              <w:bottom w:type="dxa" w:w="120"/>
              <w:right w:type="dxa" w:w="140"/>
            </w:tcMar>
          </w:tcPr>
          <w:p>
            <w:pPr>
              <w:spacing w:after="60"/>
            </w:pPr>
            <w:r>
              <w:rPr>
                <w:rFonts w:ascii="Calibri" w:cs="Calibri" w:eastAsia="Calibri" w:hAnsi="Calibri"/>
                <w:b/>
                <w:bCs/>
                <w:i w:val="false"/>
                <w:iCs w:val="false"/>
                <w:color w:val="1F3A5F"/>
                <w:sz w:val="22"/>
                <w:szCs w:val="22"/>
              </w:rPr>
              <w:t xml:space="preserve">BR-037  </w:t>
            </w:r>
            <w:r>
              <w:rPr>
                <w:rFonts w:ascii="Calibri" w:cs="Calibri" w:eastAsia="Calibri" w:hAnsi="Calibri"/>
                <w:b/>
                <w:bCs/>
                <w:i w:val="false"/>
                <w:iCs w:val="false"/>
                <w:color w:val="1F3A5F"/>
                <w:sz w:val="22"/>
                <w:szCs w:val="22"/>
              </w:rPr>
              <w:t xml:space="preserve">Mobile / API Parity &amp; Isolation</w:t>
            </w:r>
          </w:p>
          <w:p>
            <w:pPr>
              <w:spacing w:after="80"/>
            </w:pPr>
            <w:r>
              <w:rPr>
                <w:rFonts w:ascii="Calibri" w:cs="Calibri" w:eastAsia="Calibri" w:hAnsi="Calibri"/>
                <w:b/>
                <w:bCs/>
                <w:i w:val="false"/>
                <w:iCs w:val="false"/>
                <w:color w:val="B08D57"/>
                <w:sz w:val="20"/>
                <w:szCs w:val="20"/>
              </w:rPr>
              <w:t xml:space="preserve">Statement.  </w:t>
            </w:r>
            <w:r>
              <w:rPr>
                <w:rFonts w:ascii="Calibri" w:cs="Calibri" w:eastAsia="Calibri" w:hAnsi="Calibri"/>
                <w:b w:val="false"/>
                <w:bCs w:val="false"/>
                <w:i w:val="false"/>
                <w:iCs w:val="false"/>
                <w:color w:val="1A1A1A"/>
                <w:sz w:val="20"/>
                <w:szCs w:val="20"/>
              </w:rPr>
              <w:t xml:space="preserve">The Flutter mobile application is a client of the same tenant-scoped REST API as the web application. It introduces no privileged endpoint and enforces the identical authentication, authorization, tenant-isolation, and subscription-state rules.</w:t>
            </w:r>
          </w:p>
          <w:p>
            <w:pPr>
              <w:spacing w:after="80"/>
            </w:pPr>
            <w:r>
              <w:rPr>
                <w:rFonts w:ascii="Calibri" w:cs="Calibri" w:eastAsia="Calibri" w:hAnsi="Calibri"/>
                <w:b/>
                <w:bCs/>
                <w:i w:val="false"/>
                <w:iCs w:val="false"/>
                <w:color w:val="B08D57"/>
                <w:sz w:val="20"/>
                <w:szCs w:val="20"/>
              </w:rPr>
              <w:t xml:space="preserve">Rationale.  </w:t>
            </w:r>
            <w:r>
              <w:rPr>
                <w:rFonts w:ascii="Calibri" w:cs="Calibri" w:eastAsia="Calibri" w:hAnsi="Calibri"/>
                <w:b w:val="false"/>
                <w:bCs w:val="false"/>
                <w:i/>
                <w:iCs/>
                <w:color w:val="5A6572"/>
                <w:sz w:val="20"/>
                <w:szCs w:val="20"/>
              </w:rPr>
              <w:t xml:space="preserve">A second client must never become a second security model; every invariant proven for web must hold for mobile.</w:t>
            </w:r>
          </w:p>
          <w:p>
            <w:pPr>
              <w:spacing w:after="40"/>
            </w:pPr>
            <w:r>
              <w:rPr>
                <w:rFonts w:ascii="Calibri" w:cs="Calibri" w:eastAsia="Calibri" w:hAnsi="Calibri"/>
                <w:b/>
                <w:bCs/>
                <w:i w:val="false"/>
                <w:iCs w:val="false"/>
                <w:color w:val="2E5077"/>
                <w:sz w:val="20"/>
                <w:szCs w:val="20"/>
              </w:rPr>
              <w:t xml:space="preserve">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tc>
      </w:tr>
    </w:tbl>
    <w:p>
      <w:pPr>
        <w:pageBreakBefore/>
      </w:pPr>
    </w:p>
    <w:p>
      <w:pPr>
        <w:pStyle w:val="Heading1"/>
        <w:spacing w:after="140" w:before="320"/>
      </w:pPr>
      <w:r>
        <w:t xml:space="preserve">8. Data Dictionary</w:t>
      </w:r>
    </w:p>
    <w:p>
      <w:pPr>
        <w:spacing w:after="120" w:line="276"/>
      </w:pPr>
      <w:r>
        <w:rPr>
          <w:rFonts w:ascii="Calibri" w:cs="Calibri" w:eastAsia="Calibri" w:hAnsi="Calibri"/>
          <w:color w:val="1A1A1A"/>
          <w:sz w:val="21"/>
          <w:szCs w:val="21"/>
        </w:rPr>
        <w:t xml:space="preserve">This is the schema source of truth. Every tenant-owned table carries tenant_id (FK → tenants, NOT NULL, indexed) and standard audit columns created_at, updated_at, created_by, updated_by. Soft-deletable entities also carry is_archived (boolean) and archived_at. These common columns are omitted from the per-entity tables below to avoid repetition; assume them present unless stated otherwise.</w:t>
      </w:r>
    </w:p>
    <w:p>
      <w:pPr>
        <w:spacing w:after="120" w:line="276"/>
      </w:pPr>
      <w:r>
        <w:rPr>
          <w:rFonts w:ascii="Calibri" w:cs="Calibri" w:eastAsia="Calibri" w:hAnsi="Calibri"/>
          <w:b/>
          <w:bCs/>
          <w:i w:val="false"/>
          <w:iCs w:val="false"/>
          <w:color w:val="1A1A1A"/>
          <w:sz w:val="21"/>
          <w:szCs w:val="21"/>
        </w:rPr>
        <w:t xml:space="preserve">Convention: </w:t>
      </w:r>
      <w:r>
        <w:rPr>
          <w:rFonts w:ascii="Calibri" w:cs="Calibri" w:eastAsia="Calibri" w:hAnsi="Calibri"/>
          <w:b w:val="false"/>
          <w:bCs w:val="false"/>
          <w:i w:val="false"/>
          <w:iCs w:val="false"/>
          <w:color w:val="1A1A1A"/>
          <w:sz w:val="21"/>
          <w:szCs w:val="21"/>
        </w:rPr>
        <w:t xml:space="preserve">PK = primary key, FK = foreign key, U = unique, NN = not null, ENC = application-layer encrypted. Enumerations list allowed values.</w:t>
      </w:r>
    </w:p>
    <w:p>
      <w:pPr>
        <w:pStyle w:val="Heading2"/>
        <w:spacing w:after="100" w:before="240"/>
      </w:pPr>
      <w:r>
        <w:t xml:space="preserve">8.1 Global entities (no tenant_id)</w:t>
      </w:r>
    </w:p>
    <w:p>
      <w:pPr>
        <w:pStyle w:val="Heading3"/>
        <w:spacing w:after="80" w:before="180"/>
      </w:pPr>
      <w:r>
        <w:t xml:space="preserve">users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Authentication identity. Super Admin and all firm users. Global-unique email.</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email</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 NN; case-insensitive; RFC 5322</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password_hash</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Argon2id/bcrypt</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full_name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avatar_url</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is_super_admin</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boolean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true only for seeded operator (BR-001)</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tenants; NULL for Super Admin, NN for firm users (BR-003)</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INVITED, ACTIVE, SUSPENDED, DEACTIVATED</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mfa_enabled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boolean</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forced true for Super Admin &amp; Firm Admin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activation_token</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 one-time invite token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last_login_at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3"/>
        <w:spacing w:after="80" w:before="180"/>
      </w:pPr>
      <w:r>
        <w:t xml:space="preserve">subscription_plans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Platform-configured plan catalog (global).</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name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e.g. Basic, Professional, Enterprise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seat_limit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storage_quota_mb</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ai_credit_allowance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enabled_modules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module toggle map</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price_monthly</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price_yearly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bl>
    <w:p>
      <w:pPr>
        <w:spacing w:after="120"/>
      </w:pPr>
    </w:p>
    <w:p>
      <w:pPr>
        <w:pStyle w:val="Heading3"/>
        <w:spacing w:after="80" w:before="180"/>
      </w:pPr>
      <w:r>
        <w:t xml:space="preserve">roles / permissions (templates)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Seeded role &amp; permission templates (global), cloned per tenant.</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role.code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 FIRM_ADMIN, LAWYER, SECRETARY, ASSISTANT, ACCOUNTANT</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role.scope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SYSTEM (template), TENANT</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role.tenant_id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 for template, NN for cloned tenant role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permission.code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 format &lt;module&gt;.&lt;action&gt;</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role_permission</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join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role_id × permission_id</w:t>
            </w:r>
          </w:p>
        </w:tc>
      </w:tr>
    </w:tbl>
    <w:p>
      <w:pPr>
        <w:spacing w:after="120"/>
      </w:pPr>
    </w:p>
    <w:p>
      <w:pPr>
        <w:pStyle w:val="Heading2"/>
        <w:spacing w:after="100" w:before="240"/>
      </w:pPr>
      <w:r>
        <w:t xml:space="preserve">8.2 Tenant &amp; subscription</w:t>
      </w:r>
    </w:p>
    <w:p>
      <w:pPr>
        <w:pStyle w:val="Heading3"/>
        <w:spacing w:after="80" w:before="180"/>
      </w:pPr>
      <w:r>
        <w:t xml:space="preserve">tenants (firms)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One row per firm. The isolation boundary.</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 the tenant_id referenced everywhere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name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firm name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logo_url</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 firm image (BR set by Firm Admin)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address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contact_email</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owner_user_id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 the single Firm Admin (BR-002)</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default_language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 AR</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currency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timezone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ACTIVE, SUSPENDED, CANCELLED (mirrors subscription)</w:t>
            </w:r>
          </w:p>
        </w:tc>
      </w:tr>
    </w:tbl>
    <w:p>
      <w:pPr>
        <w:spacing w:after="120"/>
      </w:pPr>
    </w:p>
    <w:p>
      <w:pPr>
        <w:pStyle w:val="Heading3"/>
        <w:spacing w:after="80" w:before="180"/>
      </w:pPr>
      <w:r>
        <w:t xml:space="preserve">subscriptions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Append-only, one active per tenant (BR-009, BR-010).</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plan_id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subscription_plans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billing_cycle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MONTHLY, YEARLY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PENDING, ACTIVE, PAST_DUE, SUSPENDED, CANCELLED</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current_period_start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current_period_end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previous_subscription_id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 version chain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cancelled_at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2"/>
        <w:spacing w:after="100" w:before="240"/>
      </w:pPr>
      <w:r>
        <w:t xml:space="preserve">8.3 People</w:t>
      </w:r>
    </w:p>
    <w:p>
      <w:pPr>
        <w:pStyle w:val="Heading3"/>
        <w:spacing w:after="80" w:before="180"/>
      </w:pPr>
      <w:r>
        <w:t xml:space="preserve">clients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Internal record, no login (BR-007).</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client_code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 within tenant; CLI-#####</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type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INDIVIDUAL, COMPANY</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full_name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national_id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ENC; required for INDIVIDUAL</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commercial_reg</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ENC; required for COMPANY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emails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array; one primary</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phones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array; one primary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addresses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array</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ACTIVE, INACTIVE, ARCHIVED</w:t>
            </w:r>
          </w:p>
        </w:tc>
      </w:tr>
    </w:tbl>
    <w:p>
      <w:pPr>
        <w:spacing w:after="120"/>
      </w:pPr>
    </w:p>
    <w:p>
      <w:pPr>
        <w:pStyle w:val="Heading3"/>
        <w:spacing w:after="80" w:before="180"/>
      </w:pPr>
      <w:r>
        <w:t xml:space="preserve">opponents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Opposing party record (BR-008).</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type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INDIVIDUAL, COMPANY, GOVERNMENT</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full_name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representative_name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 opposing counsel</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representative_contact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2"/>
        <w:spacing w:after="100" w:before="240"/>
      </w:pPr>
      <w:r>
        <w:t xml:space="preserve">8.4 Legal core</w:t>
      </w:r>
    </w:p>
    <w:p>
      <w:pPr>
        <w:pStyle w:val="Heading3"/>
        <w:spacing w:after="80" w:before="180"/>
      </w:pPr>
      <w:r>
        <w:t xml:space="preserve">cases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Central entity (BR-014 – BR-017).</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case_number</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 within tenant; CASE-YYYY-#####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clients, 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primary_lawyer_id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 NN when status=ACTIVE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case_type_id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lookups(case_type)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default_court_id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courts; 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DRAFT, ACTIVE, SUSPENDED, CLOSED, ARCHIVED</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opening_date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when ACTIVE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closing_date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when CLOSED</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outcome_summary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text</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when CLOSED</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agreed_fee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 finance-gated (BR-026)</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priority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LOW, NORMAL, HIGH, URGENT</w:t>
            </w:r>
          </w:p>
        </w:tc>
      </w:tr>
    </w:tbl>
    <w:p>
      <w:pPr>
        <w:spacing w:after="120"/>
      </w:pPr>
    </w:p>
    <w:p>
      <w:pPr>
        <w:pStyle w:val="Heading3"/>
        <w:spacing w:after="80" w:before="180"/>
      </w:pPr>
      <w:r>
        <w:t xml:space="preserve">case_team</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Case × user assignment (join).</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user_id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role_on_case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PRIMARY_LAWYER, LAWYER, SECRETARY, ASSISTANT</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assigned_at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bl>
    <w:p>
      <w:pPr>
        <w:spacing w:after="120"/>
      </w:pPr>
    </w:p>
    <w:p>
      <w:pPr>
        <w:pStyle w:val="Heading3"/>
        <w:spacing w:after="80" w:before="180"/>
      </w:pPr>
      <w:r>
        <w:t xml:space="preserve">case_opponents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Case × opponent (join).</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opponent_id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relationship</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metadata</w:t>
            </w:r>
          </w:p>
        </w:tc>
      </w:tr>
    </w:tbl>
    <w:p>
      <w:pPr>
        <w:spacing w:after="120"/>
      </w:pPr>
    </w:p>
    <w:p>
      <w:pPr>
        <w:pStyle w:val="Heading3"/>
        <w:spacing w:after="80" w:before="180"/>
      </w:pPr>
      <w:r>
        <w:t xml:space="preserve">case_timeline_events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Immutable, append-only (BR-017).</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event_type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CREATED, LAWYER_CHANGED, STATUS_CHANGED, HEARING_*, DOCUMENT_*, NOTE_*, INVOICE_*, PAYMENT_*, TASK_*</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actor_user_id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previous_state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new_state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note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text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created_at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no update/delete</w:t>
            </w:r>
          </w:p>
        </w:tc>
      </w:tr>
    </w:tbl>
    <w:p>
      <w:pPr>
        <w:spacing w:after="120"/>
      </w:pPr>
    </w:p>
    <w:p>
      <w:pPr>
        <w:pStyle w:val="Heading3"/>
        <w:spacing w:after="80" w:before="180"/>
      </w:pPr>
      <w:r>
        <w:t xml:space="preserve">courts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Per-firm reference data (BR-021).</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name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type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e.g. civil, criminal, commercial</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city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address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is_active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boolean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deactivate instead of delete</w:t>
            </w:r>
          </w:p>
        </w:tc>
      </w:tr>
    </w:tbl>
    <w:p>
      <w:pPr>
        <w:spacing w:after="120"/>
      </w:pPr>
    </w:p>
    <w:p>
      <w:pPr>
        <w:pStyle w:val="Heading3"/>
        <w:spacing w:after="80" w:before="180"/>
      </w:pPr>
      <w:r>
        <w:t xml:space="preserve">court_circuits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Child of court (BR-021).</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courts,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name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case_types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handled types</w:t>
            </w:r>
          </w:p>
        </w:tc>
      </w:tr>
    </w:tbl>
    <w:p>
      <w:pPr>
        <w:spacing w:after="120"/>
      </w:pPr>
    </w:p>
    <w:p>
      <w:pPr>
        <w:pStyle w:val="Heading3"/>
        <w:spacing w:after="80" w:before="180"/>
      </w:pPr>
      <w:r>
        <w:t xml:space="preserve">hearings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Belongs to exactly one case (BR-018 – BR-020).</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cases,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courts, 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circuit_id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court_circuits, 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hearing_type_id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lookups(hearing_type)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scheduled_at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 case.opening_date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judge_name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SCHEDULED, COMPLETED, ADJOURNED, CANCELLED</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outcome_text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text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when COMPLETED; ≥ 50 chars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next_hearing_at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2"/>
        <w:spacing w:after="100" w:before="240"/>
      </w:pPr>
      <w:r>
        <w:t xml:space="preserve">8.5 Documents</w:t>
      </w:r>
    </w:p>
    <w:p>
      <w:pPr>
        <w:pStyle w:val="Heading3"/>
        <w:spacing w:after="80" w:before="180"/>
      </w:pPr>
      <w:r>
        <w:t xml:space="preserve">documents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Metadata in DB, content in object storage (BR-023 – BR-025).</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entity_type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CLIENT, HEARING, USER</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polymorphic reference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category_id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lookups(document_category),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file_name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mime_type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allowed set only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size_bytes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bigint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 plan limit</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storage_path</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{tenant}/{entity}/{id}/{ver}/{name}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access_level</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 ENTITY, RESTRICTED, OWNER</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current_version</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ai_processed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boolean</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embedded into RAG</w:t>
            </w:r>
          </w:p>
        </w:tc>
      </w:tr>
    </w:tbl>
    <w:p>
      <w:pPr>
        <w:spacing w:after="120"/>
      </w:pPr>
    </w:p>
    <w:p>
      <w:pPr>
        <w:pStyle w:val="Heading3"/>
        <w:spacing w:after="80" w:before="180"/>
      </w:pPr>
      <w:r>
        <w:t xml:space="preserve">document_versions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Full version history (BR-024).</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version_no</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auto-increment</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storage_path</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uploaded_by</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change_note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text</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2"/>
        <w:spacing w:after="100" w:before="240"/>
      </w:pPr>
      <w:r>
        <w:t xml:space="preserve">8.6 Finance</w:t>
      </w:r>
    </w:p>
    <w:p>
      <w:pPr>
        <w:pStyle w:val="Heading3"/>
        <w:spacing w:after="80" w:before="180"/>
      </w:pPr>
      <w:r>
        <w:t xml:space="preserve">invoices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Draft → Issued → Paid → Cancelled (BR-027).</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invoice_number</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 within tenant; INV-YYYY-#####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DRAFT, ISSUED, PAID, CANCELLED</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subtotal</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tax_amount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frozen at issuance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total</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issued_at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3"/>
        <w:spacing w:after="80" w:before="180"/>
      </w:pPr>
      <w:r>
        <w:t xml:space="preserve">invoice_line_items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At least one per invoice.</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invoice_id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description</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quantity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unit_price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bl>
    <w:p>
      <w:pPr>
        <w:spacing w:after="120"/>
      </w:pPr>
    </w:p>
    <w:p>
      <w:pPr>
        <w:pStyle w:val="Heading3"/>
        <w:spacing w:after="80" w:before="180"/>
      </w:pPr>
      <w:r>
        <w:t xml:space="preserve">payments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Immutable; reference invoice or case fee (BR-028, BR-029).</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invoice_id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nullable; for case-fee payments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amount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 outstanding</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method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CASH, BANK_TRANSFER, CARD</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reference_no</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for BANK_TRANSFER/CARD</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paid_at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not future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is_reversal</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boolean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compensating entry flag</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reverses_payment_id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3"/>
        <w:spacing w:after="80" w:before="180"/>
      </w:pPr>
      <w:r>
        <w:t xml:space="preserve">expenses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Firm/case expenses.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category_id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lookups(expense_category)</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amount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decimal</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receipt_document_id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documents; required above threshold</w:t>
            </w:r>
          </w:p>
        </w:tc>
      </w:tr>
    </w:tbl>
    <w:p>
      <w:pPr>
        <w:spacing w:after="120"/>
      </w:pPr>
    </w:p>
    <w:p>
      <w:pPr>
        <w:pStyle w:val="Heading2"/>
        <w:spacing w:after="100" w:before="240"/>
      </w:pPr>
      <w:r>
        <w:t xml:space="preserve">8.7 Tasks, lookups, AI &amp; audit</w:t>
      </w:r>
    </w:p>
    <w:p>
      <w:pPr>
        <w:pStyle w:val="Heading3"/>
        <w:spacing w:after="80" w:before="180"/>
      </w:pPr>
      <w:r>
        <w:t xml:space="preserve">tasks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Internal work items.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title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assignee_id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priority</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LOW, NORMAL, HIGH, URGENT</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status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NEW, IN_PROGRESS, WAITING, COMPLETED, CANCELLED</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due_date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entity_type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CLIENT, HEARING; 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bl>
    <w:p>
      <w:pPr>
        <w:spacing w:after="120"/>
      </w:pPr>
    </w:p>
    <w:p>
      <w:pPr>
        <w:pStyle w:val="Heading3"/>
        <w:spacing w:after="80" w:before="180"/>
      </w:pPr>
      <w:r>
        <w:t xml:space="preserve">lookups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Configurable reference data.</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kind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CASE_TYPE, HEARING_TYPE, DOCUMENT_CATEGORY, EXPENSE_CATEGORY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label_en</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label_ar</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is_active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boolean</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bl>
    <w:p>
      <w:pPr>
        <w:spacing w:after="120"/>
      </w:pPr>
    </w:p>
    <w:p>
      <w:pPr>
        <w:pStyle w:val="Heading3"/>
        <w:spacing w:after="80" w:before="180"/>
      </w:pPr>
      <w:r>
        <w:t xml:space="preserve">ai_embeddings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Per-firm RAG store (BR-030).</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 every similarity query filters on this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documents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chunk_text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text</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embedding</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vector</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firm-namespaced</w:t>
            </w:r>
          </w:p>
        </w:tc>
      </w:tr>
    </w:tbl>
    <w:p>
      <w:pPr>
        <w:spacing w:after="120"/>
      </w:pPr>
    </w:p>
    <w:p>
      <w:pPr>
        <w:pStyle w:val="Heading3"/>
        <w:spacing w:after="80" w:before="180"/>
      </w:pPr>
      <w:r>
        <w:t xml:space="preserve">ai_usage_ledger</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Append-only credit metering (BR-031).</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user_id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feature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enum</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SUMMARIZE, RESEARCH, CHAT, EXTRACT, CLASSIFY</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units</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int</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 normalized credits</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created_at</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bl>
    <w:p>
      <w:pPr>
        <w:spacing w:after="120"/>
      </w:pPr>
    </w:p>
    <w:p>
      <w:pPr>
        <w:pStyle w:val="Heading3"/>
        <w:spacing w:after="80" w:before="180"/>
      </w:pPr>
      <w:r>
        <w:t xml:space="preserve">audit_logs</w:t>
      </w:r>
    </w:p>
    <w:p>
      <w:pPr>
        <w:spacing w:after="120" w:line="276"/>
      </w:pPr>
      <w:r>
        <w:rPr>
          <w:rFonts w:ascii="Calibri" w:cs="Calibri" w:eastAsia="Calibri" w:hAnsi="Calibri"/>
          <w:b w:val="false"/>
          <w:bCs w:val="false"/>
          <w:i w:val="false"/>
          <w:iCs w:val="false"/>
          <w:color w:val="1A1A1A"/>
          <w:sz w:val="21"/>
          <w:szCs w:val="21"/>
        </w:rPr>
        <w:t xml:space="preserve"/>
      </w:r>
      <w:r>
        <w:rPr>
          <w:rFonts w:ascii="Calibri" w:cs="Calibri" w:eastAsia="Calibri" w:hAnsi="Calibri"/>
          <w:b w:val="false"/>
          <w:bCs w:val="false"/>
          <w:i/>
          <w:iCs/>
          <w:color w:val="5A6572"/>
          <w:sz w:val="20"/>
          <w:szCs w:val="20"/>
        </w:rPr>
        <w:t xml:space="preserve">Immutable, append-only (BR-035).</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00"/>
        <w:gridCol w:w="1700"/>
        <w:gridCol w:w="4926"/>
      </w:tblGrid>
      <w:tr>
        <w:trPr>
          <w:tblHeader/>
        </w:trPr>
        <w:tc>
          <w:tcPr>
            <w:tcW w:type="dxa" w:w="2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Field</w:t>
            </w:r>
          </w:p>
        </w:tc>
        <w:tc>
          <w:tcPr>
            <w:tcW w:type="dxa" w:w="17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Type</w:t>
            </w:r>
          </w:p>
        </w:tc>
        <w:tc>
          <w:tcPr>
            <w:tcW w:type="dxa" w:w="49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Constraints / Notes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PK</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tenant_id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nullable for platform actions</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actor_user_id</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FK → users, 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action</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entity_type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string</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entity_id</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UUID</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before_state</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after_state</w:t>
            </w:r>
          </w:p>
        </w:tc>
        <w:tc>
          <w:tcPr>
            <w:tcW w:type="dxa" w:w="17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json</w:t>
            </w:r>
          </w:p>
        </w:tc>
        <w:tc>
          <w:tcPr>
            <w:tcW w:type="dxa" w:w="49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nullable</w:t>
            </w:r>
          </w:p>
        </w:tc>
      </w:tr>
      <w:tr>
        <w:tc>
          <w:tcPr>
            <w:tcW w:type="dxa" w:w="2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created_at</w:t>
            </w:r>
          </w:p>
        </w:tc>
        <w:tc>
          <w:tcPr>
            <w:tcW w:type="dxa" w:w="17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datetime</w:t>
            </w:r>
          </w:p>
        </w:tc>
        <w:tc>
          <w:tcPr>
            <w:tcW w:type="dxa" w:w="49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NN</w:t>
            </w:r>
          </w:p>
        </w:tc>
      </w:tr>
    </w:tbl>
    <w:p>
      <w:pPr>
        <w:spacing w:after="120"/>
      </w:pPr>
    </w:p>
    <w:p>
      <w:pPr>
        <w:pStyle w:val="Heading2"/>
        <w:spacing w:after="100" w:before="240"/>
      </w:pPr>
      <w:r>
        <w:t xml:space="preserve">8.8 Entity relationships (cardinality)</w:t>
      </w:r>
    </w:p>
    <w:p>
      <w:pPr>
        <w:spacing w:after="120" w:line="276"/>
      </w:pPr>
      <w:r>
        <w:rPr>
          <w:rFonts w:ascii="Calibri" w:cs="Calibri" w:eastAsia="Calibri" w:hAnsi="Calibri"/>
          <w:color w:val="1A1A1A"/>
          <w:sz w:val="21"/>
          <w:szCs w:val="21"/>
        </w:rPr>
        <w:t xml:space="preserve">Read “→” as “owns / has”. All relationships are within a single tenant unless the entity is global.</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ageBreakBefore/>
      </w:pPr>
    </w:p>
    <w:p>
      <w:pPr>
        <w:pStyle w:val="Heading1"/>
        <w:spacing w:after="140" w:before="320"/>
      </w:pPr>
      <w:r>
        <w:t xml:space="preserve">9. Roles &amp; Permissions (RBAC)</w:t>
      </w:r>
    </w:p>
    <w:p>
      <w:pPr>
        <w:spacing w:after="120" w:line="276"/>
      </w:pPr>
      <w:r>
        <w:rPr>
          <w:rFonts w:ascii="Calibri" w:cs="Calibri" w:eastAsia="Calibri" w:hAnsi="Calibri"/>
          <w:color w:val="1A1A1A"/>
          <w:sz w:val="21"/>
          <w:szCs w:val="21"/>
        </w:rPr>
        <w:t xml:space="preserve">Permissions follow &lt;module&gt;.&lt;action&gt; with action ∈ {create (C), read (R), update (U), delete/archive (D), export (E), manage (M)}. “manage” implies all actions on that module. The Firm Admin (Owner) always holds manage on every module and cannot be reduced (BR-005). The matrix below is the seeded default; firms may create custom roles by cloning and adjusting.</w:t>
      </w:r>
    </w:p>
    <w:p>
      <w:pPr>
        <w:spacing w:after="120" w:line="276"/>
      </w:pPr>
      <w:r>
        <w:rPr>
          <w:rFonts w:ascii="Calibri" w:cs="Calibri" w:eastAsia="Calibri" w:hAnsi="Calibri"/>
          <w:b/>
          <w:bCs/>
          <w:i w:val="false"/>
          <w:iCs w:val="false"/>
          <w:color w:val="1A1A1A"/>
          <w:sz w:val="21"/>
          <w:szCs w:val="21"/>
        </w:rPr>
        <w:t xml:space="preserve">Legend: </w:t>
      </w:r>
      <w:r>
        <w:rPr>
          <w:rFonts w:ascii="Calibri" w:cs="Calibri" w:eastAsia="Calibri" w:hAnsi="Calibri"/>
          <w:b w:val="false"/>
          <w:bCs w:val="false"/>
          <w:i/>
          <w:iCs/>
          <w:color w:val="5A6572"/>
          <w:sz w:val="20"/>
          <w:szCs w:val="20"/>
        </w:rPr>
        <w:t xml:space="preserve">● = full manage · C/R/U/D/E = specific actions · – = no access. “own” means limited to records the user is assigned to.</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426"/>
        <w:gridCol w:w="1400"/>
        <w:gridCol w:w="1350"/>
        <w:gridCol w:w="1300"/>
        <w:gridCol w:w="1250"/>
        <w:gridCol w:w="1300"/>
      </w:tblGrid>
      <w:tr>
        <w:trPr>
          <w:tblHeader/>
        </w:trPr>
        <w:tc>
          <w:tcPr>
            <w:tcW w:type="dxa" w:w="2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Module</w:t>
            </w:r>
          </w:p>
        </w:tc>
        <w:tc>
          <w:tcPr>
            <w:tcW w:type="dxa" w:w="14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Firm Admin</w:t>
            </w:r>
          </w:p>
        </w:tc>
        <w:tc>
          <w:tcPr>
            <w:tcW w:type="dxa" w:w="135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Lawyer</w:t>
            </w:r>
          </w:p>
        </w:tc>
        <w:tc>
          <w:tcPr>
            <w:tcW w:type="dxa" w:w="13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Secretary</w:t>
            </w:r>
          </w:p>
        </w:tc>
        <w:tc>
          <w:tcPr>
            <w:tcW w:type="dxa" w:w="125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Assistant</w:t>
            </w:r>
          </w:p>
        </w:tc>
        <w:tc>
          <w:tcPr>
            <w:tcW w:type="dxa" w:w="13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Accountant</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Firm settings &amp; profile</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Staff management</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Roles &amp; permissions</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Lookups</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Clients</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 (own)</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Opponents</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Cases</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 (own)</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 U</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Hearings</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 (own)</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Courts &amp; circuits</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Documents</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 (own)</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Tasks</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 (own)</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 (own)</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Calendar</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 U (own)</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 U</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Finance (fees/invoices/payments)</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Case fee paid/remaining visibility</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AI assistant (RAG)</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C R</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r>
      <w:tr>
        <w:tc>
          <w:tcPr>
            <w:tcW w:type="dxa" w:w="2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Reports</w:t>
            </w:r>
          </w:p>
        </w:tc>
        <w:tc>
          <w:tcPr>
            <w:tcW w:type="dxa" w:w="14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 (own)</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25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w:t>
            </w:r>
          </w:p>
        </w:tc>
        <w:tc>
          <w:tcPr>
            <w:tcW w:type="dxa" w:w="13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R (finance)</w:t>
            </w:r>
          </w:p>
        </w:tc>
      </w:tr>
      <w:tr>
        <w:tc>
          <w:tcPr>
            <w:tcW w:type="dxa" w:w="2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Audit log</w:t>
            </w:r>
          </w:p>
        </w:tc>
        <w:tc>
          <w:tcPr>
            <w:tcW w:type="dxa" w:w="14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25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c>
          <w:tcPr>
            <w:tcW w:type="dxa" w:w="13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w:t>
            </w:r>
          </w:p>
        </w:tc>
      </w:tr>
    </w:tbl>
    <w:p>
      <w:pPr>
        <w:pStyle w:val="Heading2"/>
        <w:spacing w:after="100" w:before="240"/>
      </w:pPr>
      <w:r>
        <w:t xml:space="preserve">9.1 Permission enforcement rules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default"/>
      </w:r>
    </w:p>
    <w:p>
      <w:pPr>
        <w:pageBreakBefore/>
      </w:pPr>
    </w:p>
    <w:p>
      <w:pPr>
        <w:pStyle w:val="Heading1"/>
        <w:spacing w:after="140" w:before="320"/>
      </w:pPr>
      <w:r>
        <w:t xml:space="preserve">10. Cross-Cutting Requirements</w:t>
      </w:r>
    </w:p>
    <w:p>
      <w:pPr>
        <w:pStyle w:val="Heading2"/>
        <w:spacing w:after="100" w:before="240"/>
      </w:pPr>
      <w:r>
        <w:t xml:space="preserve">10.1 Localization (EN / AR, RTL)</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All user-facing strings are localized; no hard-coded display text.</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Arabic renders right-to-left with mirrored layout; numbers, dates, and currency follow locale.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Lookups store both label_en and label_ar; documents and notes preserve their original language.</w:t>
      </w:r>
    </w:p>
    <w:p>
      <w:pPr>
        <w:pStyle w:val="Heading2"/>
        <w:spacing w:after="100" w:before="240"/>
      </w:pPr>
      <w:r>
        <w:t xml:space="preserve">10.2 Notifications</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Channels in v1: in-app and email. Hearing reminders default to 24h and 1h before (configurable).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Critical notifications (payment failure, suspension, hearing reminder) are delivered promptly and logged.</w:t>
      </w:r>
    </w:p>
    <w:p>
      <w:pPr>
        <w:pStyle w:val="Heading2"/>
        <w:spacing w:after="100" w:before="240"/>
      </w:pPr>
      <w:r>
        <w:t xml:space="preserve">10.3 Non-functional targets</w:t>
      </w:r>
    </w:p>
    <w:tbl>
      <w:tblPr>
        <w:tblW w:type="dxa" w:w="9026"/>
        <w:tblBorders>
          <w:top w:val="single" w:color="C9D3DE" w:sz="2"/>
          <w:left w:val="single" w:color="C9D3DE" w:sz="2"/>
          <w:bottom w:val="single" w:color="C9D3DE" w:sz="2"/>
          <w:right w:val="single" w:color="C9D3DE" w:sz="2"/>
          <w:insideH w:val="single" w:color="DCE3EB" w:sz="1"/>
          <w:insideV w:val="single" w:color="DCE3EB" w:sz="1"/>
        </w:tblBorders>
      </w:tblPr>
      <w:tblGrid>
        <w:gridCol w:w="2600"/>
        <w:gridCol w:w="6426"/>
      </w:tblGrid>
      <w:tr>
        <w:trPr>
          <w:tblHeader/>
        </w:trPr>
        <w:tc>
          <w:tcPr>
            <w:tcW w:type="dxa" w:w="2600"/>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Aspect</w:t>
            </w:r>
          </w:p>
        </w:tc>
        <w:tc>
          <w:tcPr>
            <w:tcW w:type="dxa" w:w="6426"/>
            <w:shd w:fill="1F3A5F" w:color="auto" w:val="clear"/>
            <w:tcMar>
              <w:top w:type="dxa" w:w="60"/>
              <w:left w:type="dxa" w:w="90"/>
              <w:bottom w:type="dxa" w:w="60"/>
              <w:right w:type="dxa" w:w="90"/>
            </w:tcMar>
          </w:tcPr>
          <w:p>
            <w:r>
              <w:rPr>
                <w:rFonts w:ascii="Calibri" w:cs="Calibri" w:eastAsia="Calibri" w:hAnsi="Calibri"/>
                <w:b/>
                <w:bCs/>
                <w:i w:val="false"/>
                <w:iCs w:val="false"/>
                <w:color w:val="FFFFFF"/>
                <w:sz w:val="20"/>
                <w:szCs w:val="20"/>
              </w:rPr>
              <w:t xml:space="preserve">Target</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Availability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99.5% monthly for v1.</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List/search latency</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 2s for typical tenant data volumes.</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Security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TLS 1.3; AES-256 at rest; tenant-scoped keys; PII app-layer encryption (BR-036).</w:t>
            </w:r>
          </w:p>
        </w:tc>
      </w:tr>
      <w:tr>
        <w:tc>
          <w:tcPr>
            <w:tcW w:type="dxa" w:w="2600"/>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Backups</w:t>
            </w:r>
          </w:p>
        </w:tc>
        <w:tc>
          <w:tcPr>
            <w:tcW w:type="dxa" w:w="6426"/>
            <w:shd w:fill="F2F5F9" w:color="auto" w:val="clear"/>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Daily automated backups with tested restore; document store replicated.</w:t>
            </w:r>
          </w:p>
        </w:tc>
      </w:tr>
      <w:tr>
        <w:tc>
          <w:tcPr>
            <w:tcW w:type="dxa" w:w="2600"/>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Auditability</w:t>
            </w:r>
          </w:p>
        </w:tc>
        <w:tc>
          <w:tcPr>
            <w:tcW w:type="dxa" w:w="6426"/>
            <w:tcMar>
              <w:top w:type="dxa" w:w="50"/>
              <w:left w:type="dxa" w:w="90"/>
              <w:bottom w:type="dxa" w:w="50"/>
              <w:right w:type="dxa" w:w="90"/>
            </w:tcMar>
          </w:tcPr>
          <w:p>
            <w:r>
              <w:rPr>
                <w:rFonts w:ascii="Calibri" w:cs="Calibri" w:eastAsia="Calibri" w:hAnsi="Calibri"/>
                <w:b w:val="false"/>
                <w:bCs w:val="false"/>
                <w:i w:val="false"/>
                <w:iCs w:val="false"/>
                <w:color w:val="1A1A1A"/>
                <w:sz w:val="20"/>
                <w:szCs w:val="20"/>
              </w:rPr>
              <w:t xml:space="preserve">Immutable audit log + case/finance timelines for all critical actions.</w:t>
            </w:r>
          </w:p>
        </w:tc>
      </w:tr>
    </w:tbl>
    <w:p>
      <w:pPr>
        <w:pStyle w:val="Heading1"/>
        <w:spacing w:after="140" w:before="320"/>
      </w:pPr>
      <w:r>
        <w:t xml:space="preserve">11. Future Scope (Not in v1)</w:t>
      </w:r>
    </w:p>
    <w:p>
      <w:pPr>
        <w:spacing w:after="120" w:line="276"/>
      </w:pPr>
      <w:r>
        <w:rPr>
          <w:rFonts w:ascii="Calibri" w:cs="Calibri" w:eastAsia="Calibri" w:hAnsi="Calibri"/>
          <w:color w:val="1A1A1A"/>
          <w:sz w:val="21"/>
          <w:szCs w:val="21"/>
        </w:rPr>
        <w:t xml:space="preserve">Recorded so the v1 build leaves clean extension points. None of these may be assumed present by v1 code.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Public signup and self-service firm registration.</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Client login and client portal (case tracking, document access, online payment).</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Public marketplace: lawyer discovery, profiles, ratings, consultation booking.</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Native mobile apps (iOS/Android).</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Court-system and payment-gateway deep integrations; e-signature.</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Shared/global legal corpus and cross-firm knowledge (kept out to preserve isolation).</w:t>
      </w:r>
    </w:p>
    <w:p>
      <w:pPr>
        <w:pStyle w:val="ListParagraph"/>
        <w:numPr>
          <w:ilvl w:val="0"/>
          <w:numId w:val="2"/>
        </w:numPr>
        <w:spacing w:after="60" w:line="268"/>
      </w:pPr>
      <w:r>
        <w:rPr>
          <w:rFonts w:ascii="Calibri" w:cs="Calibri" w:eastAsia="Calibri" w:hAnsi="Calibri"/>
          <w:b w:val="false"/>
          <w:bCs w:val="false"/>
          <w:i w:val="false"/>
          <w:iCs w:val="false"/>
          <w:color w:val="1A1A1A"/>
          <w:sz w:val="21"/>
          <w:szCs w:val="21"/>
        </w:rPr>
        <w:t xml:space="preserve">SMS/push notification channels and digest scheduling.</w:t>
      </w:r>
    </w:p>
    <w:p>
      <w:pPr>
        <w:pStyle w:val="Heading1"/>
        <w:spacing w:after="140" w:before="320"/>
      </w:pPr>
      <w:r>
        <w:t xml:space="preserve">12. Traceability Note</w:t>
      </w:r>
    </w:p>
    <w:p>
      <w:pPr>
        <w:spacing w:after="120" w:line="276"/>
      </w:pPr>
      <w:r>
        <w:rPr>
          <w:rFonts w:ascii="Calibri" w:cs="Calibri" w:eastAsia="Calibri" w:hAnsi="Calibri"/>
          <w:color w:val="1A1A1A"/>
          <w:sz w:val="21"/>
          <w:szCs w:val="21"/>
        </w:rPr>
        <w:t xml:space="preserve">Each module in Section 6 references the business rules that constrain it, and each data-dictionary entity references the rules governing its behavior. Implementers should treat every BR-### as an acceptance test: for each rule, there must exist at least one automated test proving the system upholds it, and the tenant no-leak probe (BR-003, BR-030) must run in CI on every build.</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4"/>
      </w:pBdr>
      <w:jc w:val="center"/>
    </w:pPr>
    <w:r>
      <w:rPr>
        <w:rFonts w:ascii="Calibri" w:cs="Calibri" w:eastAsia="Calibri" w:hAnsi="Calibri"/>
        <w:color w:val="5A6572"/>
        <w:sz w:val="15"/>
        <w:szCs w:val="15"/>
      </w:rPr>
      <w:t xml:space="preserve">Confidential · </w:t>
    </w:r>
    <w:r>
      <w:rPr>
        <w:rFonts w:ascii="Calibri" w:cs="Calibri" w:eastAsia="Calibri" w:hAnsi="Calibri"/>
        <w:color w:val="5A65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jc w:val="right"/>
    </w:pPr>
    <w:r>
      <w:rPr>
        <w:rFonts w:ascii="Calibri" w:cs="Calibri" w:eastAsia="Calibri" w:hAnsi="Calibri"/>
        <w:b/>
        <w:bCs/>
        <w:color w:val="1F3A5F"/>
        <w:sz w:val="16"/>
        <w:szCs w:val="16"/>
      </w:rPr>
      <w:t xml:space="preserve">HOQOOQ</w:t>
    </w:r>
    <w:r>
      <w:rPr>
        <w:rFonts w:ascii="Calibri" w:cs="Calibri" w:eastAsia="Calibri" w:hAnsi="Calibri"/>
        <w:color w:val="5A6572"/>
        <w:sz w:val="16"/>
        <w:szCs w:val="16"/>
      </w:rPr>
      <w:t xml:space="preserve">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08D57"/>
      </w:r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4"/>
      </w:pBdr>
      <w:spacing w:after="140" w:before="320"/>
    </w:pPr>
    <w:rPr>
      <w:rFonts w:ascii="Calibri" w:cs="Calibri" w:eastAsia="Calibri" w:hAnsi="Calibri"/>
      <w:b/>
      <w:bCs/>
      <w:color w:val="1F3A5F"/>
      <w:sz w:val="30"/>
      <w:szCs w:val="30"/>
    </w:rPr>
  </w:style>
  <w:style w:type="paragraph" w:styleId="Heading2">
    <w:name w:val="Heading 2"/>
    <w:basedOn w:val="Normal"/>
    <w:next w:val="Normal"/>
    <w:qFormat/>
    <w:pPr>
      <w:spacing w:after="100" w:before="240"/>
    </w:pPr>
    <w:rPr>
      <w:rFonts w:ascii="Calibri" w:cs="Calibri" w:eastAsia="Calibri" w:hAnsi="Calibri"/>
      <w:b/>
      <w:bCs/>
      <w:color w:val="2E5077"/>
      <w:sz w:val="25"/>
      <w:szCs w:val="25"/>
    </w:rPr>
  </w:style>
  <w:style w:type="paragraph" w:styleId="Heading3">
    <w:name w:val="Heading 3"/>
    <w:basedOn w:val="Normal"/>
    <w:next w:val="Normal"/>
    <w:qFormat/>
    <w:pPr>
      <w:spacing w:after="80" w:before="180"/>
    </w:pPr>
    <w:rPr>
      <w:rFonts w:ascii="Calibri" w:cs="Calibri" w:eastAsia="Calibri" w:hAnsi="Calibri"/>
      <w:b/>
      <w:bCs/>
      <w:color w:val="B08D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Hoqooq BRD v1.0</dc:title>
  <dc:creator>Hoqooq Engineering</dc:creator>
  <dc:description>Developer-ready Business Requirements Document</dc:description>
  <cp:lastModifiedBy>Un-named</cp:lastModifiedBy>
  <cp:revision>1</cp:revision>
  <dcterms:created xsi:type="dcterms:W3CDTF">2026-07-26T01:17:52.273Z</dcterms:created>
  <dcterms:modified xsi:type="dcterms:W3CDTF">2026-07-26T01:17:52.273Z</dcterms:modified>
</cp:coreProperties>
</file>

<file path=docProps/custom.xml><?xml version="1.0" encoding="utf-8"?>
<Properties xmlns="http://schemas.openxmlformats.org/officeDocument/2006/custom-properties" xmlns:vt="http://schemas.openxmlformats.org/officeDocument/2006/docPropsVTypes"/>
</file>