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8830"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A Hybrid Finite Element and Larson-Miller Parameter Framework for Residual Useful Life Prediction of Gas Turbine Combustion Liners</w:t>
      </w:r>
    </w:p>
    <w:p w14:paraId="57228831" w14:textId="77777777" w:rsidR="00314A57" w:rsidRPr="00986305" w:rsidRDefault="00AB0195"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3">
          <v:rect id="_x0000_i1025" style="width:468pt;height:1.5pt" o:hralign="center" o:hrstd="t" o:hr="t" fillcolor="#a0a0a0" stroked="f"/>
        </w:pict>
      </w:r>
    </w:p>
    <w:p w14:paraId="57228832" w14:textId="77777777" w:rsidR="00314A57" w:rsidRPr="00986305" w:rsidRDefault="00314A57" w:rsidP="003F65E2">
      <w:pPr>
        <w:rPr>
          <w:rFonts w:asciiTheme="majorBidi" w:hAnsiTheme="majorBidi" w:cstheme="majorBidi"/>
          <w:b/>
          <w:bCs/>
          <w:sz w:val="24"/>
          <w:szCs w:val="24"/>
        </w:rPr>
      </w:pPr>
    </w:p>
    <w:p w14:paraId="57228833"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Abstract</w:t>
      </w:r>
    </w:p>
    <w:p w14:paraId="6891BF27" w14:textId="77777777" w:rsidR="00C059EB" w:rsidRPr="00C059EB" w:rsidRDefault="00C059EB" w:rsidP="00C059EB">
      <w:pPr>
        <w:rPr>
          <w:rFonts w:asciiTheme="majorBidi" w:hAnsiTheme="majorBidi" w:cstheme="majorBidi"/>
          <w:sz w:val="24"/>
          <w:szCs w:val="24"/>
        </w:rPr>
      </w:pPr>
      <w:r w:rsidRPr="00C059EB">
        <w:rPr>
          <w:rFonts w:asciiTheme="majorBidi" w:hAnsiTheme="majorBidi" w:cstheme="majorBidi"/>
          <w:sz w:val="24"/>
          <w:szCs w:val="24"/>
        </w:rPr>
        <w:t>Power generation infrastructure and strategic asset management are critical to national security and industrial sustainability, particularly in rapidly developing nations like Egypt. This study presents a hybrid prognostic framework integrating advanced Finite Element Analysis (FEA) with the empirical Larson-Miller Parameter (LMP) method to predict the Residual Useful Life (RUL) of combustion chamber liners in heavy-duty gas turbines. The investigation focuses on the high-temperature combustion system of the Siemens SGT5-8000H gas turbine operating under actual baseload conditions at the New Administrative Capital power station. High-temperature failure mechanisms are classified into primary and secondary categories; creep deformation is identified as the dominant life-limiting mechanism. Creep is critically hazardous due to its time-dependent nature under sustained thermo-mechanical loads, where permanent microstructural damage, such as grain boundary sliding and vacancy coalescence, accumulates at stresses well below the material's yield strength, serves as a precursor to macro-cracking, and is further exacerbated by severe thermal gradients.</w:t>
      </w:r>
    </w:p>
    <w:p w14:paraId="3A5F324E" w14:textId="78156DE5" w:rsidR="00C059EB" w:rsidRPr="00C059EB" w:rsidRDefault="00C059EB" w:rsidP="00C059EB">
      <w:pPr>
        <w:rPr>
          <w:rFonts w:asciiTheme="majorBidi" w:hAnsiTheme="majorBidi" w:cstheme="majorBidi"/>
          <w:sz w:val="24"/>
          <w:szCs w:val="24"/>
        </w:rPr>
      </w:pPr>
      <w:r w:rsidRPr="00C059EB">
        <w:rPr>
          <w:rFonts w:asciiTheme="majorBidi" w:hAnsiTheme="majorBidi" w:cstheme="majorBidi"/>
          <w:sz w:val="24"/>
          <w:szCs w:val="24"/>
        </w:rPr>
        <w:t>To evaluate structural integrity, a high-fidelity 3D CAD model was developed in Autodesk Inventor based on official engineering drawings obtained under a strict Non-Disclosure Agreement (NDA) with Siemens. Operational field data, including continuous temperature and pressure logs, were acquired from the plant following regulatory and security clearances from the Egyptian Ministry of Electricity and Renewable Energy. Thermomechanical FEA simulations based on Von Mises distortion energy theory were conducted utilizing temperature-dependent properties of austenitic stainless steels (SS304/SS316) and live operational boundary conditions. The maximum equivalent stress was quantified at 14.57 MPa, demonstrating a structurally stable configuration with minimal localized plastic deformation. By exporting the localized FEA stress and temperature fields into the analytical LMP model, the framework predicts a safe creep rupture life of approximately 10,000 operating hours at a peak temperature of 800°C. The proposed predictive model achieves a verified accuracy of 95% through analytical cross-verification against governing constitutive high-temperature equations, showcasing its value for optimizing predictive maintenance schedules and preventing catastrophic in-service failures.</w:t>
      </w:r>
    </w:p>
    <w:p w14:paraId="57228838"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b/>
          <w:bCs/>
          <w:sz w:val="24"/>
          <w:szCs w:val="24"/>
        </w:rPr>
        <w:t>Keywords</w:t>
      </w:r>
      <w:r w:rsidRPr="00986305">
        <w:rPr>
          <w:rFonts w:asciiTheme="majorBidi" w:hAnsiTheme="majorBidi" w:cstheme="majorBidi"/>
          <w:sz w:val="24"/>
          <w:szCs w:val="24"/>
        </w:rPr>
        <w:t>: Finite Element Analysis, Larson-Miller Parameter, Creep, Residual Life Prediction, Gas Turbine, Combustion Chamber, Von Mises Stress</w:t>
      </w:r>
      <w:r w:rsidR="00461C1A" w:rsidRPr="00986305">
        <w:rPr>
          <w:rFonts w:asciiTheme="majorBidi" w:hAnsiTheme="majorBidi" w:cstheme="majorBidi"/>
          <w:sz w:val="24"/>
          <w:szCs w:val="24"/>
        </w:rPr>
        <w:t>.</w:t>
      </w:r>
    </w:p>
    <w:p w14:paraId="57228839" w14:textId="77777777" w:rsidR="00314A57" w:rsidRPr="00986305" w:rsidRDefault="00314A57" w:rsidP="003F65E2">
      <w:pPr>
        <w:spacing w:after="0"/>
        <w:jc w:val="center"/>
        <w:rPr>
          <w:rFonts w:asciiTheme="majorBidi" w:eastAsia="Times New Roman" w:hAnsiTheme="majorBidi" w:cstheme="majorBidi"/>
          <w:sz w:val="24"/>
          <w:szCs w:val="24"/>
        </w:rPr>
      </w:pPr>
      <w:r w:rsidRPr="00986305">
        <w:rPr>
          <w:rFonts w:asciiTheme="majorBidi" w:hAnsiTheme="majorBidi" w:cstheme="majorBidi"/>
          <w:sz w:val="24"/>
          <w:szCs w:val="24"/>
        </w:rPr>
        <w:tab/>
      </w:r>
      <w:r w:rsidR="00AB0195">
        <w:rPr>
          <w:rFonts w:asciiTheme="majorBidi" w:eastAsia="Times New Roman" w:hAnsiTheme="majorBidi" w:cstheme="majorBidi"/>
          <w:sz w:val="24"/>
          <w:szCs w:val="24"/>
        </w:rPr>
        <w:pict w14:anchorId="572288D4">
          <v:rect id="_x0000_i1026" style="width:468pt;height:1.5pt" o:hralign="center" o:hrstd="t" o:hr="t" fillcolor="#a0a0a0" stroked="f"/>
        </w:pict>
      </w:r>
    </w:p>
    <w:p w14:paraId="5722883A" w14:textId="77777777" w:rsidR="006336FF" w:rsidRPr="00986305" w:rsidRDefault="006336FF" w:rsidP="003F65E2">
      <w:pPr>
        <w:tabs>
          <w:tab w:val="left" w:pos="960"/>
        </w:tabs>
        <w:rPr>
          <w:rFonts w:asciiTheme="majorBidi" w:hAnsiTheme="majorBidi" w:cstheme="majorBidi"/>
          <w:sz w:val="24"/>
          <w:szCs w:val="24"/>
        </w:rPr>
      </w:pPr>
    </w:p>
    <w:p w14:paraId="5722883B"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lastRenderedPageBreak/>
        <w:t xml:space="preserve">1. Introduction  </w:t>
      </w:r>
    </w:p>
    <w:p w14:paraId="71B7F371" w14:textId="77777777" w:rsidR="00D95FE2" w:rsidRPr="00D95FE2" w:rsidRDefault="00D95FE2" w:rsidP="00D95FE2">
      <w:pPr>
        <w:rPr>
          <w:rFonts w:asciiTheme="majorBidi" w:hAnsiTheme="majorBidi" w:cstheme="majorBidi"/>
          <w:sz w:val="24"/>
          <w:szCs w:val="24"/>
        </w:rPr>
      </w:pPr>
      <w:r w:rsidRPr="00D95FE2">
        <w:rPr>
          <w:rFonts w:asciiTheme="majorBidi" w:hAnsiTheme="majorBidi" w:cstheme="majorBidi"/>
          <w:sz w:val="24"/>
          <w:szCs w:val="24"/>
        </w:rPr>
        <w:t>The energy sector serves as the backbone of national security, industrial modernization, and sustainable economic development, particularly within rapidly transforming economies like Egypt. In recent years, Egypt has executed a monumental restructuring of its electrical grid through the deployment of mega-scale, high-efficiency power generation projects, most notably exemplified by the New Administrative Capital power station. Modern power systems increasingly rely on advanced heavy-duty gas turbines, such as the Siemens SGT5-8000H, celebrated for their exceptional thermal efficiency, operational flexibility, and reduced carbon footprint. These H-class turbines are designed to operate at elevated firing temperatures to maximize thermodynamic output; however, this operational regime subjects critical hot-section components to unprecedented thermal and mechanical stresses.</w:t>
      </w:r>
    </w:p>
    <w:p w14:paraId="390318CF" w14:textId="77777777" w:rsidR="00D95FE2" w:rsidRPr="00D95FE2" w:rsidRDefault="00D95FE2" w:rsidP="00D95FE2">
      <w:pPr>
        <w:rPr>
          <w:rFonts w:asciiTheme="majorBidi" w:hAnsiTheme="majorBidi" w:cstheme="majorBidi"/>
          <w:sz w:val="24"/>
          <w:szCs w:val="24"/>
        </w:rPr>
      </w:pPr>
      <w:r w:rsidRPr="00D95FE2">
        <w:rPr>
          <w:rFonts w:asciiTheme="majorBidi" w:hAnsiTheme="majorBidi" w:cstheme="majorBidi"/>
          <w:sz w:val="24"/>
          <w:szCs w:val="24"/>
        </w:rPr>
        <w:t>Operationally, the combustion chamber liner functions as a structural barrier designed to contain high-temperature combustion reactions and direct the resulting gas flow toward the turbine stages. Compressed air from the compressor section is split into primary, secondary, and dilution streams. The primary air is mixed with fuel and ignited within the forward zone of the liner, producing a high-intensity flame with localized temperatures exceeding 1600°C. To protect the structural integrity of the assembly, the secondary and dilution air streams are routed through specialized cooling holes and slots along the liner wall, creating a continuous, protective thermodynamic film. This film cooling technique establishes a severe thermal gradient across the thickness of the liner, maintaining the base metal temperature at a manageable operational limit of approximately 800°C while simultaneously subjecting the component to multi-axial thermal stresses.</w:t>
      </w:r>
    </w:p>
    <w:p w14:paraId="46DB8043" w14:textId="0297516D" w:rsidR="00D95FE2" w:rsidRPr="00D95FE2" w:rsidRDefault="00D95FE2" w:rsidP="00D95FE2">
      <w:pPr>
        <w:rPr>
          <w:rFonts w:asciiTheme="majorBidi" w:hAnsiTheme="majorBidi" w:cstheme="majorBidi"/>
          <w:sz w:val="24"/>
          <w:szCs w:val="24"/>
        </w:rPr>
      </w:pPr>
      <w:r w:rsidRPr="00D95FE2">
        <w:rPr>
          <w:rFonts w:asciiTheme="majorBidi" w:hAnsiTheme="majorBidi" w:cstheme="majorBidi"/>
          <w:sz w:val="24"/>
          <w:szCs w:val="24"/>
        </w:rPr>
        <w:t>Among these hot-section assets, the combustion chamber liners endure the most punishing environments, characterized by sustained peak temperatures and severe spatial thermal gradients. Under these prolonged conditions, the constituent superalloys and high-grade stainless steels inevitably undergo microstructural degradation. In this study, creep deformation is explicitly isolated and investigated as the primary life-limiting failure mechanism. Creep is chosen because it represents the most critical, time-dependent permanent deformation that occurs when materials are subjected to sustained mechanical loads at elevated temperatures—typically exceeding half of the material's absolute melting temperature (T &gt; 0.5 T_m).</w:t>
      </w:r>
    </w:p>
    <w:p w14:paraId="6DD4539E" w14:textId="77777777" w:rsidR="00D95FE2" w:rsidRPr="00D95FE2" w:rsidRDefault="00D95FE2" w:rsidP="00D95FE2">
      <w:pPr>
        <w:rPr>
          <w:rFonts w:asciiTheme="majorBidi" w:hAnsiTheme="majorBidi" w:cstheme="majorBidi"/>
          <w:sz w:val="24"/>
          <w:szCs w:val="24"/>
        </w:rPr>
      </w:pPr>
      <w:r w:rsidRPr="00D95FE2">
        <w:rPr>
          <w:rFonts w:asciiTheme="majorBidi" w:hAnsiTheme="majorBidi" w:cstheme="majorBidi"/>
          <w:sz w:val="24"/>
          <w:szCs w:val="24"/>
        </w:rPr>
        <w:t>In heavy-duty gas turbines, this phenomenon is driven by a complex combination of thermo-mechanical stresses. Specifically, the liner experiences high sustained tensile and compressive thermal stresses resulting from the extreme temperature differentials between the hot combustion gases and the external cooling air. Concurrently, it is subjected to mechanical stresses induced by high-pressure gas dynamics, aerodynamic turbulence, and structural constraints. Under this continuous, multi-axial stress state at 800°C, the material undergoes microstructural grain boundary sliding and vacancy diffusion, which leads to progressive void nucleation. If left unmonitored, this creep damage transitions from stable secondary creep to accelerating tertiary creep, risking catastrophic in-service breakthroughs, extensive secondary damage to downstream turbine stages, and substantial economic losses due to unplanned shutdowns.</w:t>
      </w:r>
    </w:p>
    <w:p w14:paraId="5722883E" w14:textId="51E7981E" w:rsidR="006336FF" w:rsidRPr="00986305" w:rsidRDefault="00D95FE2" w:rsidP="00495104">
      <w:pPr>
        <w:rPr>
          <w:rFonts w:asciiTheme="majorBidi" w:hAnsiTheme="majorBidi" w:cstheme="majorBidi"/>
          <w:sz w:val="24"/>
          <w:szCs w:val="24"/>
        </w:rPr>
      </w:pPr>
      <w:r w:rsidRPr="00D95FE2">
        <w:rPr>
          <w:rFonts w:asciiTheme="majorBidi" w:hAnsiTheme="majorBidi" w:cstheme="majorBidi"/>
          <w:sz w:val="24"/>
          <w:szCs w:val="24"/>
        </w:rPr>
        <w:t>Consequently, transitioning from traditional operational monitoring toward sophisticated remaining useful life estimation frameworks is vital for modern utility operators. Accurately predicting the Residual Useful Life (RUL) of combustion liners allows for the optimization of asset lifecycles, reduction of operational expenditures (OPEX), and enhancement of grid reliability. To address this industrial challenge, this study proposes a comprehensive, non-destructive prognostic framework that integrates high-fidelity Finite Element Analysis (FEA) with the analytical Larson-Miller Parameter (LMP) formulation. By mapping the complex multi-axial stress fields and temperature distributions via numerical simulation, the model establishes a verified mathematical relationship to quantify long-term creep rupture life, thereby providing a robust tool for strategic operational lifetime management in high-capacity thermal power plants.</w:t>
      </w:r>
    </w:p>
    <w:p w14:paraId="5722883F" w14:textId="77777777" w:rsidR="00314A57" w:rsidRPr="00986305" w:rsidRDefault="00AB0195"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5">
          <v:rect id="_x0000_i1027" style="width:468pt;height:1.5pt" o:hralign="center" o:hrstd="t" o:hr="t" fillcolor="#a0a0a0" stroked="f"/>
        </w:pict>
      </w:r>
    </w:p>
    <w:p w14:paraId="57228840" w14:textId="77777777" w:rsidR="006336FF" w:rsidRPr="00986305" w:rsidRDefault="006336FF" w:rsidP="003F65E2">
      <w:pPr>
        <w:rPr>
          <w:rFonts w:asciiTheme="majorBidi" w:hAnsiTheme="majorBidi" w:cstheme="majorBidi"/>
          <w:b/>
          <w:bCs/>
          <w:sz w:val="24"/>
          <w:szCs w:val="24"/>
        </w:rPr>
      </w:pPr>
    </w:p>
    <w:p w14:paraId="57228841" w14:textId="77777777" w:rsidR="006336FF" w:rsidRPr="00986305" w:rsidRDefault="005E1916" w:rsidP="003F65E2">
      <w:pPr>
        <w:rPr>
          <w:rFonts w:asciiTheme="majorBidi" w:hAnsiTheme="majorBidi" w:cstheme="majorBidi"/>
          <w:sz w:val="24"/>
          <w:szCs w:val="24"/>
        </w:rPr>
      </w:pPr>
      <w:r w:rsidRPr="00986305">
        <w:rPr>
          <w:rFonts w:asciiTheme="majorBidi" w:hAnsiTheme="majorBidi" w:cstheme="majorBidi"/>
          <w:b/>
          <w:bCs/>
          <w:sz w:val="24"/>
          <w:szCs w:val="24"/>
        </w:rPr>
        <w:t xml:space="preserve">2. Literature Review </w:t>
      </w:r>
      <w:r w:rsidR="006336FF" w:rsidRPr="00986305">
        <w:rPr>
          <w:rFonts w:asciiTheme="majorBidi" w:hAnsiTheme="majorBidi" w:cstheme="majorBidi"/>
          <w:b/>
          <w:bCs/>
          <w:sz w:val="24"/>
          <w:szCs w:val="24"/>
        </w:rPr>
        <w:t xml:space="preserve"> </w:t>
      </w:r>
    </w:p>
    <w:p w14:paraId="6A9FCEBF" w14:textId="77777777" w:rsidR="00DD051A" w:rsidRPr="00DD051A" w:rsidRDefault="00DD051A" w:rsidP="00DD051A">
      <w:pPr>
        <w:rPr>
          <w:rFonts w:asciiTheme="majorBidi" w:hAnsiTheme="majorBidi" w:cstheme="majorBidi"/>
          <w:sz w:val="24"/>
          <w:szCs w:val="24"/>
        </w:rPr>
      </w:pPr>
      <w:r w:rsidRPr="00DD051A">
        <w:rPr>
          <w:rFonts w:asciiTheme="majorBidi" w:hAnsiTheme="majorBidi" w:cstheme="majorBidi"/>
          <w:sz w:val="24"/>
          <w:szCs w:val="24"/>
        </w:rPr>
        <w:t>The primary failure mechanism in high temperature components, particularly in the combustion chambers of gas turbines, has consistently been reported as creep deformation. Secondary failure mechanisms such as oxidation, corrosion and thermal fatigue also contribute to material degradation, though typically to a lesser degree under steady state conditions.</w:t>
      </w:r>
    </w:p>
    <w:p w14:paraId="0FCB6A21" w14:textId="50F0B040" w:rsidR="00DD051A" w:rsidRPr="00DD051A" w:rsidRDefault="00DD051A" w:rsidP="00DD051A">
      <w:pPr>
        <w:rPr>
          <w:rFonts w:asciiTheme="majorBidi" w:hAnsiTheme="majorBidi" w:cstheme="majorBidi"/>
          <w:sz w:val="24"/>
          <w:szCs w:val="24"/>
        </w:rPr>
      </w:pPr>
      <w:r w:rsidRPr="00DD051A">
        <w:rPr>
          <w:rFonts w:asciiTheme="majorBidi" w:hAnsiTheme="majorBidi" w:cstheme="majorBidi"/>
          <w:sz w:val="24"/>
          <w:szCs w:val="24"/>
        </w:rPr>
        <w:t xml:space="preserve"> The use of a creep-damage model for micro gas turbine engines (MGTs) developed </w:t>
      </w:r>
      <w:r w:rsidR="00D653C4">
        <w:rPr>
          <w:rFonts w:asciiTheme="majorBidi" w:hAnsiTheme="majorBidi" w:cstheme="majorBidi"/>
          <w:sz w:val="24"/>
          <w:szCs w:val="24"/>
        </w:rPr>
        <w:t>and</w:t>
      </w:r>
      <w:r w:rsidRPr="00DD051A">
        <w:rPr>
          <w:rFonts w:asciiTheme="majorBidi" w:hAnsiTheme="majorBidi" w:cstheme="majorBidi"/>
          <w:sz w:val="24"/>
          <w:szCs w:val="24"/>
        </w:rPr>
        <w:t xml:space="preserve"> has shown good agreement with experimentally obtained results, validating the accuracy of the model. Investigations carried out </w:t>
      </w:r>
      <w:r w:rsidR="00D653C4">
        <w:rPr>
          <w:rFonts w:asciiTheme="majorBidi" w:hAnsiTheme="majorBidi" w:cstheme="majorBidi"/>
          <w:sz w:val="24"/>
          <w:szCs w:val="24"/>
        </w:rPr>
        <w:t>at the Recent Years,</w:t>
      </w:r>
      <w:r w:rsidRPr="00DD051A">
        <w:rPr>
          <w:rFonts w:asciiTheme="majorBidi" w:hAnsiTheme="majorBidi" w:cstheme="majorBidi"/>
          <w:sz w:val="24"/>
          <w:szCs w:val="24"/>
        </w:rPr>
        <w:t xml:space="preserve"> examined the effect of thermal gradients on combustion chamber durability, and emphasized the role of the cooling system performance in limiting thermal stress. </w:t>
      </w:r>
    </w:p>
    <w:p w14:paraId="09B32751" w14:textId="77777777" w:rsidR="00DD051A" w:rsidRPr="00DD051A" w:rsidRDefault="00DD051A" w:rsidP="00DD051A">
      <w:pPr>
        <w:rPr>
          <w:rFonts w:asciiTheme="majorBidi" w:hAnsiTheme="majorBidi" w:cstheme="majorBidi"/>
          <w:sz w:val="24"/>
          <w:szCs w:val="24"/>
        </w:rPr>
      </w:pPr>
      <w:r w:rsidRPr="00DD051A">
        <w:rPr>
          <w:rFonts w:asciiTheme="majorBidi" w:hAnsiTheme="majorBidi" w:cstheme="majorBidi"/>
          <w:sz w:val="24"/>
          <w:szCs w:val="24"/>
        </w:rPr>
        <w:t xml:space="preserve">Through studies conducted on nickel-based superalloys and stainless steels, it has been established that the creep behavior of a material is highly sensitive to the magnitude of applied stress and the operating temperature. Generally, constitutive models such as Norton's Law and the </w:t>
      </w:r>
      <w:proofErr w:type="spellStart"/>
      <w:r w:rsidRPr="00DD051A">
        <w:rPr>
          <w:rFonts w:asciiTheme="majorBidi" w:hAnsiTheme="majorBidi" w:cstheme="majorBidi"/>
          <w:sz w:val="24"/>
          <w:szCs w:val="24"/>
        </w:rPr>
        <w:t>Chaboche</w:t>
      </w:r>
      <w:proofErr w:type="spellEnd"/>
      <w:r w:rsidRPr="00DD051A">
        <w:rPr>
          <w:rFonts w:asciiTheme="majorBidi" w:hAnsiTheme="majorBidi" w:cstheme="majorBidi"/>
          <w:sz w:val="24"/>
          <w:szCs w:val="24"/>
        </w:rPr>
        <w:t xml:space="preserve"> </w:t>
      </w:r>
      <w:proofErr w:type="spellStart"/>
      <w:r w:rsidRPr="00DD051A">
        <w:rPr>
          <w:rFonts w:asciiTheme="majorBidi" w:hAnsiTheme="majorBidi" w:cstheme="majorBidi"/>
          <w:sz w:val="24"/>
          <w:szCs w:val="24"/>
        </w:rPr>
        <w:t>viscoplastic</w:t>
      </w:r>
      <w:proofErr w:type="spellEnd"/>
      <w:r w:rsidRPr="00DD051A">
        <w:rPr>
          <w:rFonts w:asciiTheme="majorBidi" w:hAnsiTheme="majorBidi" w:cstheme="majorBidi"/>
          <w:sz w:val="24"/>
          <w:szCs w:val="24"/>
        </w:rPr>
        <w:t xml:space="preserve"> model are commonly used for the prediction of high temperature deformation. Additionally, the Larson-Miller Parameter (LMP) is a widely adopted approach to predict creep rupture life by correlating the temperature to time of rupture. </w:t>
      </w:r>
    </w:p>
    <w:p w14:paraId="38F81229" w14:textId="77777777" w:rsidR="00DD051A" w:rsidRPr="00DD051A" w:rsidRDefault="00DD051A" w:rsidP="00DD051A">
      <w:pPr>
        <w:rPr>
          <w:rFonts w:asciiTheme="majorBidi" w:hAnsiTheme="majorBidi" w:cstheme="majorBidi"/>
          <w:sz w:val="24"/>
          <w:szCs w:val="24"/>
        </w:rPr>
      </w:pPr>
      <w:r w:rsidRPr="00DD051A">
        <w:rPr>
          <w:rFonts w:asciiTheme="majorBidi" w:hAnsiTheme="majorBidi" w:cstheme="majorBidi"/>
          <w:sz w:val="24"/>
          <w:szCs w:val="24"/>
        </w:rPr>
        <w:t xml:space="preserve">Although advances have been made in this area of study, many investigations have focused on relatively small systems or previous generations of gas turbine technology. It is therefore necessary to utilize advanced modeling techniques on large scale modern gas turbines. </w:t>
      </w:r>
    </w:p>
    <w:p w14:paraId="1FDD9087" w14:textId="77777777" w:rsidR="00DD051A" w:rsidRPr="00DD051A" w:rsidRDefault="00DD051A" w:rsidP="00DD051A">
      <w:pPr>
        <w:rPr>
          <w:rFonts w:asciiTheme="majorBidi" w:hAnsiTheme="majorBidi" w:cstheme="majorBidi"/>
          <w:sz w:val="24"/>
          <w:szCs w:val="24"/>
        </w:rPr>
      </w:pPr>
      <w:r w:rsidRPr="00DD051A">
        <w:rPr>
          <w:rFonts w:asciiTheme="majorBidi" w:hAnsiTheme="majorBidi" w:cstheme="majorBidi"/>
          <w:sz w:val="24"/>
          <w:szCs w:val="24"/>
        </w:rPr>
        <w:t xml:space="preserve">Recent developments within the energy sector in Egypt are now being emphasized as crucial for national security. Through previously experienced problems in energy generation, Egypt now employs several large scale power plants such as the New Administrative Capital Power station. In this environment of modern energy consumption, the following research is conducted on the Siemens Energy SGT5-8000H Gas Turbine, a large scale and advanced gas turbine engine. </w:t>
      </w:r>
    </w:p>
    <w:p w14:paraId="11FE5886" w14:textId="58D8F3D5" w:rsidR="00DD051A" w:rsidRPr="00DD051A" w:rsidRDefault="00DD051A" w:rsidP="00D653C4">
      <w:pPr>
        <w:rPr>
          <w:rFonts w:asciiTheme="majorBidi" w:hAnsiTheme="majorBidi" w:cstheme="majorBidi"/>
          <w:sz w:val="24"/>
          <w:szCs w:val="24"/>
        </w:rPr>
      </w:pPr>
      <w:r w:rsidRPr="00DD051A">
        <w:rPr>
          <w:rFonts w:asciiTheme="majorBidi" w:hAnsiTheme="majorBidi" w:cstheme="majorBidi"/>
          <w:sz w:val="24"/>
          <w:szCs w:val="24"/>
        </w:rPr>
        <w:t xml:space="preserve">The following work will explore stress distribution and failure mechanisms within the combustion chamber of the SGT5-8000H gas turbine engine, establishing that creep is the major factor leading to the structural failure mechanism and that secondary mechanisms (other than creep) are insignificant under current conditions. Creep stress will be examined and the maximum creep stress was identified as </w:t>
      </w:r>
      <w:r w:rsidR="00D653C4" w:rsidRPr="00D653C4">
        <w:rPr>
          <w:rFonts w:asciiTheme="majorBidi" w:hAnsiTheme="majorBidi" w:cstheme="majorBidi"/>
          <w:sz w:val="24"/>
          <w:szCs w:val="24"/>
        </w:rPr>
        <w:t xml:space="preserve">14.57 </w:t>
      </w:r>
      <w:r w:rsidRPr="00DD051A">
        <w:rPr>
          <w:rFonts w:asciiTheme="majorBidi" w:hAnsiTheme="majorBidi" w:cstheme="majorBidi"/>
          <w:sz w:val="24"/>
          <w:szCs w:val="24"/>
        </w:rPr>
        <w:t>MPa.</w:t>
      </w:r>
    </w:p>
    <w:p w14:paraId="6596B91C" w14:textId="77777777" w:rsidR="00DD051A" w:rsidRPr="00DD051A" w:rsidRDefault="00DD051A" w:rsidP="00DD051A">
      <w:pPr>
        <w:rPr>
          <w:rFonts w:asciiTheme="majorBidi" w:hAnsiTheme="majorBidi" w:cstheme="majorBidi"/>
          <w:sz w:val="24"/>
          <w:szCs w:val="24"/>
        </w:rPr>
      </w:pPr>
      <w:r w:rsidRPr="00DD051A">
        <w:rPr>
          <w:rFonts w:asciiTheme="majorBidi" w:hAnsiTheme="majorBidi" w:cstheme="majorBidi"/>
          <w:sz w:val="24"/>
          <w:szCs w:val="24"/>
        </w:rPr>
        <w:t xml:space="preserve"> Previous work has often suggested that fit and tolerance influences the precision of finite element analyses, however this research is investigating large scale modern gas turbines rather than the previously analyzed small scale turbines/engines. </w:t>
      </w:r>
    </w:p>
    <w:p w14:paraId="3148F3E5" w14:textId="19365375" w:rsidR="00501E58" w:rsidRDefault="00501E58" w:rsidP="00501E58">
      <w:pPr>
        <w:rPr>
          <w:rFonts w:asciiTheme="majorBidi" w:hAnsiTheme="majorBidi" w:cstheme="majorBidi"/>
          <w:sz w:val="24"/>
          <w:szCs w:val="24"/>
        </w:rPr>
      </w:pPr>
      <w:r w:rsidRPr="00501E58">
        <w:rPr>
          <w:rFonts w:asciiTheme="majorBidi" w:hAnsiTheme="majorBidi" w:cstheme="majorBidi"/>
          <w:sz w:val="24"/>
          <w:szCs w:val="24"/>
        </w:rPr>
        <w:t xml:space="preserve">Ahmad Hossein </w:t>
      </w:r>
      <w:proofErr w:type="spellStart"/>
      <w:r w:rsidRPr="00501E58">
        <w:rPr>
          <w:rFonts w:asciiTheme="majorBidi" w:hAnsiTheme="majorBidi" w:cstheme="majorBidi"/>
          <w:sz w:val="24"/>
          <w:szCs w:val="24"/>
        </w:rPr>
        <w:t>Assefinejad</w:t>
      </w:r>
      <w:proofErr w:type="spellEnd"/>
      <w:r w:rsidRPr="00501E58">
        <w:rPr>
          <w:rFonts w:asciiTheme="majorBidi" w:hAnsiTheme="majorBidi" w:cstheme="majorBidi"/>
          <w:sz w:val="24"/>
          <w:szCs w:val="24"/>
        </w:rPr>
        <w:t xml:space="preserve"> , Ahmad </w:t>
      </w:r>
      <w:proofErr w:type="spellStart"/>
      <w:r w:rsidRPr="00501E58">
        <w:rPr>
          <w:rFonts w:asciiTheme="majorBidi" w:hAnsiTheme="majorBidi" w:cstheme="majorBidi"/>
          <w:sz w:val="24"/>
          <w:szCs w:val="24"/>
        </w:rPr>
        <w:t>Kermanpur</w:t>
      </w:r>
      <w:proofErr w:type="spellEnd"/>
      <w:r w:rsidRPr="00501E58">
        <w:rPr>
          <w:rFonts w:asciiTheme="majorBidi" w:hAnsiTheme="majorBidi" w:cstheme="majorBidi"/>
          <w:sz w:val="24"/>
          <w:szCs w:val="24"/>
        </w:rPr>
        <w:t xml:space="preserve"> , Abdoulmajid Eslami(2026) this is paper Presented This study investigates the long-term high-temperature mechanical behavior of C-Mn steel water wall tubes after 100,000 hours of service in a subcritical drum boiler, with particular emphasis on the coupled effects of internal oxidation, oxide scale growth, and progressive wall thinning .The study provides new insights into degradation mechanisms in boiler tubes and highlights the necessity of integrated monitoring strategies that account for oxide growth, temperature distribution, and wall thickness loss to ensure structural integrity and reliable operation of high-temperature components.</w:t>
      </w:r>
    </w:p>
    <w:p w14:paraId="2387AF22" w14:textId="77777777" w:rsidR="00F73A3F" w:rsidRDefault="00F73A3F" w:rsidP="00F73A3F">
      <w:pPr>
        <w:rPr>
          <w:rFonts w:asciiTheme="majorBidi" w:hAnsiTheme="majorBidi" w:cstheme="majorBidi"/>
          <w:sz w:val="24"/>
          <w:szCs w:val="24"/>
        </w:rPr>
      </w:pPr>
      <w:r w:rsidRPr="00F73A3F">
        <w:rPr>
          <w:rFonts w:asciiTheme="majorBidi" w:hAnsiTheme="majorBidi" w:cstheme="majorBidi"/>
          <w:sz w:val="24"/>
          <w:szCs w:val="24"/>
        </w:rPr>
        <w:t>Jiaqi Li, Yuqiang Cheng, Jianjun Wu, Yu Zhang &amp; Lingzhi Deng(2026): This research provides valuable theoretical references for thrust chamber's life prediction and real-time damage assessment, while also offering conceptual foundations for offline damage mitigation control system design.</w:t>
      </w:r>
    </w:p>
    <w:p w14:paraId="6DB23ADC" w14:textId="030D99DB" w:rsidR="00A12BF9" w:rsidRDefault="001021BA" w:rsidP="00927B52">
      <w:pPr>
        <w:rPr>
          <w:rFonts w:asciiTheme="majorBidi" w:hAnsiTheme="majorBidi" w:cstheme="majorBidi"/>
          <w:sz w:val="24"/>
          <w:szCs w:val="24"/>
          <w:lang w:bidi="ar-EG"/>
        </w:rPr>
      </w:pPr>
      <w:r w:rsidRPr="001021BA">
        <w:rPr>
          <w:rFonts w:asciiTheme="majorBidi" w:hAnsiTheme="majorBidi" w:cstheme="majorBidi"/>
          <w:sz w:val="24"/>
          <w:szCs w:val="24"/>
        </w:rPr>
        <w:t>fundamentals.</w:t>
      </w:r>
      <w:r w:rsidR="00FA2F83" w:rsidRPr="00FA2F83">
        <w:rPr>
          <w:kern w:val="2"/>
          <w:sz w:val="24"/>
          <w:szCs w:val="24"/>
          <w14:ligatures w14:val="standardContextual"/>
        </w:rPr>
        <w:t xml:space="preserve"> </w:t>
      </w:r>
      <w:r w:rsidR="00FA2F83" w:rsidRPr="00FA2F83">
        <w:rPr>
          <w:rFonts w:asciiTheme="majorBidi" w:hAnsiTheme="majorBidi" w:cstheme="majorBidi"/>
          <w:sz w:val="24"/>
          <w:szCs w:val="24"/>
        </w:rPr>
        <w:t>Kun Xu  , Jiang Liu , Ziye Miao  , Jinshuo Li</w:t>
      </w:r>
      <w:r w:rsidR="00AF4FB1">
        <w:rPr>
          <w:rFonts w:asciiTheme="majorBidi" w:hAnsiTheme="majorBidi" w:cstheme="majorBidi"/>
          <w:sz w:val="24"/>
          <w:szCs w:val="24"/>
        </w:rPr>
        <w:t>(2026)</w:t>
      </w:r>
      <w:r w:rsidR="00FB2B43" w:rsidRPr="00FB2B43">
        <w:rPr>
          <w:kern w:val="2"/>
          <w:sz w:val="24"/>
          <w:szCs w:val="24"/>
          <w:lang w:bidi="ar-EG"/>
          <w14:ligatures w14:val="standardContextual"/>
        </w:rPr>
        <w:t xml:space="preserve"> </w:t>
      </w:r>
      <w:r w:rsidR="00FB2B43" w:rsidRPr="00FB2B43">
        <w:rPr>
          <w:rFonts w:asciiTheme="majorBidi" w:hAnsiTheme="majorBidi" w:cstheme="majorBidi"/>
          <w:sz w:val="24"/>
          <w:szCs w:val="24"/>
        </w:rPr>
        <w:t>This paper presented The gas turbine swirler is crucial for engine safety, as its thermomechanical behavior affects performance. Research is lacking on how swirlers respond to actual combustion. This study uses numerical simulation on the ANSYS Workbench to analyze thermal stress under typical conditions. It uses temperature data from Fluent to analyze a 1/24 model. Findings show that stress concentrations at blade roots and tips remain safe under stable conditions, but flashback can raise temperatures to 1300°C, exceeding the material limit of 420 MPa. The research offers a method for evaluating swirler performance to prevent failures in hot-end components.</w:t>
      </w:r>
      <w:r w:rsidR="00A43957" w:rsidRPr="00A43957">
        <w:rPr>
          <w:kern w:val="2"/>
          <w:sz w:val="24"/>
          <w:szCs w:val="24"/>
          <w:lang w:bidi="ar-EG"/>
          <w14:ligatures w14:val="standardContextual"/>
        </w:rPr>
        <w:t xml:space="preserve"> </w:t>
      </w:r>
      <w:r w:rsidR="00A43957" w:rsidRPr="00A43957">
        <w:rPr>
          <w:rFonts w:asciiTheme="majorBidi" w:hAnsiTheme="majorBidi" w:cstheme="majorBidi"/>
          <w:sz w:val="24"/>
          <w:szCs w:val="24"/>
        </w:rPr>
        <w:t xml:space="preserve">Feng, S., Han, Z. &amp; Qu, S (2026) Assessing the long-term strength of solid rocket motors during storage needs a good understanding of how composite solid propellants behave over time, especially regarding aging and damage. This paper studies the creep behavior of these propellants, focusing on the combined effects of aging and damage. The goal is to create a nonlinear model that describes the creep process and can be used in finite element analysis. </w:t>
      </w:r>
      <w:r w:rsidR="00385454" w:rsidRPr="00385454">
        <w:rPr>
          <w:rFonts w:asciiTheme="majorBidi" w:hAnsiTheme="majorBidi" w:cstheme="majorBidi"/>
          <w:sz w:val="24"/>
          <w:szCs w:val="24"/>
        </w:rPr>
        <w:t>First, crosslink density is used to measure aging</w:t>
      </w:r>
      <w:r w:rsidR="00385454">
        <w:rPr>
          <w:rFonts w:asciiTheme="majorBidi" w:hAnsiTheme="majorBidi" w:cstheme="majorBidi"/>
          <w:sz w:val="24"/>
          <w:szCs w:val="24"/>
        </w:rPr>
        <w:t xml:space="preserve"> </w:t>
      </w:r>
      <w:r w:rsidR="00385454" w:rsidRPr="00385454">
        <w:rPr>
          <w:rFonts w:asciiTheme="majorBidi" w:hAnsiTheme="majorBidi" w:cstheme="majorBidi"/>
          <w:sz w:val="24"/>
          <w:szCs w:val="24"/>
        </w:rPr>
        <w:t>, and a new damage model is introduced for the nonlinear creep model. The paper explains how to determine crosslink density using the swelling method and how to gather model parameters from experiments. It also describes how to obtain parameters for the damage model through creep fracture tests and validates the model's accuracy. Lastly, it applies the model in Abaqus software, confirming its effectiveness in analyzing propellant behavior during long-term storage.</w:t>
      </w:r>
      <w:r w:rsidR="00A12BF9" w:rsidRPr="00A12BF9">
        <w:rPr>
          <w:kern w:val="2"/>
          <w:sz w:val="24"/>
          <w:szCs w:val="24"/>
          <w:lang w:bidi="ar-EG"/>
          <w14:ligatures w14:val="standardContextual"/>
        </w:rPr>
        <w:t xml:space="preserve"> </w:t>
      </w:r>
      <w:r w:rsidR="00A12BF9" w:rsidRPr="00A12BF9">
        <w:rPr>
          <w:rFonts w:asciiTheme="majorBidi" w:hAnsiTheme="majorBidi" w:cstheme="majorBidi"/>
          <w:sz w:val="24"/>
          <w:szCs w:val="24"/>
        </w:rPr>
        <w:t xml:space="preserve">N. Mahato and R. Subbarao (2026)During gas turbine operations, compressor blades are essential for generating power. High pressure, speed, and temperatures can harm these blades. This study examines the thermal and structural properties of compressor stator blades made from AISI 403 martensitic stainless steel and its niobium-enhanced version, AISI 403 + Nb. A thermo-mechanical simulation is performed using COMSOL Multiphysics to analyze thermal conduction, temperature changes, and stress during gas turbine operation. Results show that adding niobium improves thermal characteristics, leading to better temperature distribution, lower thermal stresses, and greater durability compared to standard AISI 403. </w:t>
      </w:r>
    </w:p>
    <w:p w14:paraId="3BC3B2E5" w14:textId="3575AF85" w:rsidR="00B54313" w:rsidRDefault="009019ED" w:rsidP="00985908">
      <w:pPr>
        <w:rPr>
          <w:rFonts w:asciiTheme="majorBidi" w:hAnsiTheme="majorBidi" w:cstheme="majorBidi"/>
          <w:sz w:val="24"/>
          <w:szCs w:val="24"/>
        </w:rPr>
      </w:pPr>
      <w:r w:rsidRPr="009019ED">
        <w:rPr>
          <w:rFonts w:asciiTheme="majorBidi" w:hAnsiTheme="majorBidi" w:cstheme="majorBidi"/>
          <w:sz w:val="24"/>
          <w:szCs w:val="24"/>
        </w:rPr>
        <w:t>de Beaulieu MH, Jha MS, Garnier H et al (2024): This paper presents novel approaches that alleviate the existing dependence of most prognostics procedures on Remaining Useful Life (RUL) labeled data for training. Secondly, an unsupervised Health Index (HI) extraction approach is developed, followed by a long-term prediction of this same HI, that leads to an efficient prediction of RUL without labeled data. Finally, a reliability-based assessment is performed to validate the proposed approach.</w:t>
      </w:r>
      <w:r w:rsidR="009016E7" w:rsidRPr="009016E7">
        <w:rPr>
          <w:rFonts w:asciiTheme="majorBidi" w:hAnsiTheme="majorBidi" w:cstheme="majorBidi"/>
          <w:sz w:val="24"/>
          <w:szCs w:val="24"/>
        </w:rPr>
        <w:t xml:space="preserve"> Zhang S, Wang L, Zhu S et al (2024): this paper Presented Providing a comprehensive assessment of the creep-fatigue life of critical structures in nuclear power facilities is important for structural integrity and performance requirements during service. The Shapley Additive exPlanations (SHAP) method and dependency analysis are utilized to reveal the intrinsic mechanism of the properties and structure of PINN. To address these issues, a physics-informed neural network (PINN) is proposed in this work to predict the creep-fatigue life of Inconel 617 at high temperatures, where the physical constraints are introduced to enhance the physical</w:t>
      </w:r>
      <w:r w:rsidR="00635AAA">
        <w:rPr>
          <w:rFonts w:asciiTheme="majorBidi" w:hAnsiTheme="majorBidi" w:cstheme="majorBidi"/>
          <w:sz w:val="24"/>
          <w:szCs w:val="24"/>
        </w:rPr>
        <w:t>.</w:t>
      </w:r>
      <w:r w:rsidR="00635AAA" w:rsidRPr="00635AAA">
        <w:rPr>
          <w:kern w:val="2"/>
          <w:sz w:val="24"/>
          <w:szCs w:val="24"/>
          <w:lang w:bidi="ar-EG"/>
          <w14:ligatures w14:val="standardContextual"/>
        </w:rPr>
        <w:t xml:space="preserve"> </w:t>
      </w:r>
      <w:r w:rsidR="00635AAA" w:rsidRPr="00635AAA">
        <w:rPr>
          <w:rFonts w:asciiTheme="majorBidi" w:hAnsiTheme="majorBidi" w:cstheme="majorBidi"/>
          <w:sz w:val="24"/>
          <w:szCs w:val="24"/>
        </w:rPr>
        <w:t>Wang JX, Fang QZ, Sha BL(2024) In this paper, the creep experiments of Nitrate Ester Plasticized Polyether (NEPE) propellant under eight different stress levels are carried out. The creep experimental data is discussed with different constitutive models, and it is found that the four parameters fluid constitutive model and the composite time-hardening constitutive model can be used to fit the experiment data better. The composite time-hardening constitutive model is more suitable to predict the long-term creep behavior based on the short-term creep behavior. The accuracy of the constitutive model is proved by comparing the predicted results with the experimental results.</w:t>
      </w:r>
      <w:r w:rsidR="00017766" w:rsidRPr="00017766">
        <w:rPr>
          <w:rFonts w:asciiTheme="majorBidi" w:hAnsiTheme="majorBidi" w:cstheme="majorBidi"/>
          <w:sz w:val="24"/>
          <w:szCs w:val="24"/>
        </w:rPr>
        <w:t xml:space="preserve"> The use of a creep-damage model for micro gas turbine engines (MGTs) developed by Cirigliano et al. (2023),</w:t>
      </w:r>
      <w:r w:rsidR="00A34DB7" w:rsidRPr="00A34DB7">
        <w:rPr>
          <w:kern w:val="2"/>
          <w:sz w:val="24"/>
          <w:szCs w:val="24"/>
          <w:lang w:bidi="ar-EG"/>
          <w14:ligatures w14:val="standardContextual"/>
        </w:rPr>
        <w:t xml:space="preserve"> </w:t>
      </w:r>
      <w:r w:rsidR="00A34DB7" w:rsidRPr="00A34DB7">
        <w:rPr>
          <w:rFonts w:asciiTheme="majorBidi" w:hAnsiTheme="majorBidi" w:cstheme="majorBidi"/>
          <w:sz w:val="24"/>
          <w:szCs w:val="24"/>
        </w:rPr>
        <w:t>Roberto C, Michele F, Michele P et al (2022)</w:t>
      </w:r>
      <w:r w:rsidR="00381E4D" w:rsidRPr="00381E4D">
        <w:rPr>
          <w:kern w:val="2"/>
          <w:sz w:val="24"/>
          <w:szCs w:val="24"/>
          <w:lang w:bidi="ar-EG"/>
          <w14:ligatures w14:val="standardContextual"/>
        </w:rPr>
        <w:t xml:space="preserve"> </w:t>
      </w:r>
      <w:r w:rsidR="00381E4D" w:rsidRPr="00381E4D">
        <w:rPr>
          <w:rFonts w:asciiTheme="majorBidi" w:hAnsiTheme="majorBidi" w:cstheme="majorBidi"/>
          <w:sz w:val="24"/>
          <w:szCs w:val="24"/>
        </w:rPr>
        <w:t>This Research Presented The numerical simulation of rocket engine thrust chambers is very challenging as several damaging phenomena, such as plasticity, low-cycle-fatigue (LCF) and creep occur during its service life.The analyses demonstrated that the LCF damaging contribution was significant, with a life prediction for the thrust chamber of about 3400 cycles.The work represents a step ahead of previous researches by the authors, with particular reference to the addition of the Smith-Watson-Topper (SWT) fatigue criterion, and to the implementation of a sub-modelling technique, for a more accurate assessment of the most critical section of the component</w:t>
      </w:r>
      <w:r w:rsidR="002048C4">
        <w:rPr>
          <w:rFonts w:asciiTheme="majorBidi" w:hAnsiTheme="majorBidi" w:cstheme="majorBidi"/>
          <w:sz w:val="24"/>
          <w:szCs w:val="24"/>
        </w:rPr>
        <w:t>,</w:t>
      </w:r>
      <w:r w:rsidR="00015515" w:rsidRPr="00015515">
        <w:rPr>
          <w:kern w:val="2"/>
          <w:sz w:val="24"/>
          <w:szCs w:val="24"/>
          <w:lang w:bidi="ar-EG"/>
          <w14:ligatures w14:val="standardContextual"/>
        </w:rPr>
        <w:t xml:space="preserve"> </w:t>
      </w:r>
      <w:r w:rsidR="00015515" w:rsidRPr="00015515">
        <w:rPr>
          <w:rFonts w:asciiTheme="majorBidi" w:hAnsiTheme="majorBidi" w:cstheme="majorBidi"/>
          <w:sz w:val="24"/>
          <w:szCs w:val="24"/>
        </w:rPr>
        <w:t>Roberto C, Michele F, Michele P et al (2022)</w:t>
      </w:r>
      <w:r w:rsidR="00985908" w:rsidRPr="00985908">
        <w:rPr>
          <w:kern w:val="2"/>
          <w:sz w:val="24"/>
          <w:szCs w:val="24"/>
          <w:lang w:bidi="ar-EG"/>
          <w14:ligatures w14:val="standardContextual"/>
        </w:rPr>
        <w:t xml:space="preserve"> </w:t>
      </w:r>
      <w:r w:rsidR="00985908" w:rsidRPr="00985908">
        <w:rPr>
          <w:rFonts w:asciiTheme="majorBidi" w:hAnsiTheme="majorBidi" w:cstheme="majorBidi"/>
          <w:sz w:val="24"/>
          <w:szCs w:val="24"/>
        </w:rPr>
        <w:t>This Research Presented The numerical simulation of rocket engine thrust chambers is very challenging as several damaging phenomena, such as plasticity, low-cycle-fatigue (LCF) and creep occur during its service life.The analyses demonstrated that the LCF damaging contribution was significant, with a life prediction for the thrust chamber of about 3400 cycles.The work represents a step ahead of previous researches by the authors, with particular reference to the addition of the Smith-Watson-Topper (SWT) fatigue criterion, and to the implementation of a sub-modelling technique, for a more accurate assessment of the most critical section of the component.</w:t>
      </w:r>
    </w:p>
    <w:p w14:paraId="5382C710" w14:textId="593894F4" w:rsidR="00017766" w:rsidRDefault="002048C4" w:rsidP="00404161">
      <w:pPr>
        <w:rPr>
          <w:rFonts w:asciiTheme="majorBidi" w:hAnsiTheme="majorBidi" w:cstheme="majorBidi"/>
          <w:sz w:val="24"/>
          <w:szCs w:val="24"/>
        </w:rPr>
      </w:pPr>
      <w:r w:rsidRPr="002048C4">
        <w:rPr>
          <w:kern w:val="2"/>
          <w:sz w:val="24"/>
          <w:szCs w:val="24"/>
          <w:lang w:bidi="ar-EG"/>
          <w14:ligatures w14:val="standardContextual"/>
        </w:rPr>
        <w:t xml:space="preserve"> </w:t>
      </w:r>
      <w:r w:rsidRPr="002048C4">
        <w:rPr>
          <w:rFonts w:asciiTheme="majorBidi" w:hAnsiTheme="majorBidi" w:cstheme="majorBidi"/>
          <w:sz w:val="24"/>
          <w:szCs w:val="24"/>
        </w:rPr>
        <w:t>Liu D, Sun B, Wang T et al (2020): To evaluate the structural failure risk of the regenerative cooling thrust chamber cylinder segment, a Finite Element Method (FEM) based on experimental data was developed.However, the multi-cycle thermo-structural analysis gives the evolution of the stress-strain curve and gradually discloses that the low-temperature corner of a particular channel is the most likely location to fail, rather than the maximum residual strain point of the gas-side wall.The methodology was validated and utilized to reveal the thermal response and the nonlinear deformation behavior of the cylinder segment phase by phase</w:t>
      </w:r>
      <w:r w:rsidR="000F6814">
        <w:rPr>
          <w:rFonts w:asciiTheme="majorBidi" w:hAnsiTheme="majorBidi" w:cstheme="majorBidi"/>
          <w:sz w:val="24"/>
          <w:szCs w:val="24"/>
        </w:rPr>
        <w:t>,</w:t>
      </w:r>
      <w:r w:rsidR="00F4028A" w:rsidRPr="00F4028A">
        <w:rPr>
          <w:kern w:val="2"/>
          <w:sz w:val="24"/>
          <w:szCs w:val="24"/>
          <w:lang w:bidi="ar-EG"/>
          <w14:ligatures w14:val="standardContextual"/>
        </w:rPr>
        <w:t xml:space="preserve"> </w:t>
      </w:r>
      <w:r w:rsidR="00F4028A" w:rsidRPr="00F4028A">
        <w:rPr>
          <w:rFonts w:asciiTheme="majorBidi" w:hAnsiTheme="majorBidi" w:cstheme="majorBidi"/>
          <w:sz w:val="24"/>
          <w:szCs w:val="24"/>
        </w:rPr>
        <w:t>Marco P (2020) This is Research Presented  An algebraic model to evaluate the structural behavior and the cyclic life of regeneratively cooled thrust chambers is presented. After the model description and setup, a wide database of experimentally tested thrust chambers (which is almost unique in the technical and scientific literature) is reproduced for the sake of model verification. The model is based on the evaluation of the stresses, displacements, and elastoplastic strains induced by the severe thermomechanical environment under which the regeneratively cooled thrust chambers operate. Both low-cycle fatigue and tensile ductile ruptures are considered as possible failure mechanisms</w:t>
      </w:r>
      <w:r w:rsidR="00EF5E68">
        <w:rPr>
          <w:rFonts w:asciiTheme="majorBidi" w:hAnsiTheme="majorBidi" w:cstheme="majorBidi"/>
          <w:sz w:val="24"/>
          <w:szCs w:val="24"/>
        </w:rPr>
        <w:t>,</w:t>
      </w:r>
      <w:r w:rsidR="00DE708C" w:rsidRPr="00DE708C">
        <w:rPr>
          <w:kern w:val="2"/>
          <w:sz w:val="24"/>
          <w:szCs w:val="24"/>
          <w:lang w:bidi="ar-EG"/>
          <w14:ligatures w14:val="standardContextual"/>
        </w:rPr>
        <w:t xml:space="preserve"> </w:t>
      </w:r>
      <w:r w:rsidR="00DE708C" w:rsidRPr="00DE708C">
        <w:rPr>
          <w:rFonts w:asciiTheme="majorBidi" w:hAnsiTheme="majorBidi" w:cstheme="majorBidi"/>
          <w:sz w:val="24"/>
          <w:szCs w:val="24"/>
        </w:rPr>
        <w:t xml:space="preserve">Zhang JB, Lu BJ, Gong SF(2018) Creep experiments on solid propellant samples were performed at two temperatures, 293.15 K and 323.15 K, using five different stresses. Various viscoelastic models, including three and four Parameters solid and fluid models, were tested to describe the creep properties. The study revealed that the four Parameters solid model most accurately represents the creep behavior. In contrast, the three Parameters solid and exponential models do not effectively capture the initial creep values but modified four Parameters models align well with the creep acceleration characteristics. </w:t>
      </w:r>
      <w:r w:rsidR="004E4216" w:rsidRPr="004E4216">
        <w:rPr>
          <w:rFonts w:asciiTheme="majorBidi" w:hAnsiTheme="majorBidi" w:cstheme="majorBidi"/>
          <w:sz w:val="24"/>
          <w:szCs w:val="24"/>
        </w:rPr>
        <w:t>Zhu GC, Liu S, Liu WH(2018): This paper studied the creep behavior of HTPE/AP/Al/RDX propellant through tests that examined the effects of stress level and temperature. It found that increased stress and temperature lead to more creep strain and potential destruction of the propellant. The creep master curve was developed using the Time-Temperature Superposition Principle, extending the research time. The Burgers model better fits the creep behavior, while the Norton model shows greater sensitivity to stress changes</w:t>
      </w:r>
      <w:r w:rsidR="00AF293A">
        <w:rPr>
          <w:rFonts w:asciiTheme="majorBidi" w:hAnsiTheme="majorBidi" w:cstheme="majorBidi"/>
          <w:sz w:val="24"/>
          <w:szCs w:val="24"/>
        </w:rPr>
        <w:t>,</w:t>
      </w:r>
    </w:p>
    <w:p w14:paraId="57228843" w14:textId="5A6AEFEA"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 has shown good agreement with experimentally obtained results, validating the accuracy of the model. Investigations carried out by Enagi et al. (2017) examined the effect of thermal gradients on combustion chamber durability, and emphasized the role of the cooling system performance in limiting thermal stress. </w:t>
      </w:r>
    </w:p>
    <w:p w14:paraId="57228844"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Through studies conducted on nickel-based superalloys and stainless steels, it has been established that the creep behavior of a material is highly sensitive to the magnitude of applied stress and the operating temperature. Generally, constitutive models such as Norton's Law and the Chaboche viscoplastic model are commonly used for the prediction of high temperature deformation. Additionally, the Larson-Miller Parameter (LMP) is a widely adopted approach to predict creep rupture life by correlating the temperature to time of rupture. </w:t>
      </w:r>
    </w:p>
    <w:p w14:paraId="57228845"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Although advances have been made in this area of study, many investigations have focused on relatively small systems or previous generations of gas turbine technology. It is therefore necessary to utilize advanced modeling techniques on large scale modern gas turbines. </w:t>
      </w:r>
    </w:p>
    <w:p w14:paraId="57228846"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Recent developments within the energy sector in Egypt are now being emphasized as crucial for national security. Through previously experienced problems in energy generation, Egypt now employs several large scale power plants such as the New Administrative Capital Power station. In this environment of modern energy consumption, the following research is conducted on the Siemens Energy SGT5-8000H Gas Turbine, a large scale and advanced gas turbine engine. </w:t>
      </w:r>
    </w:p>
    <w:p w14:paraId="57228849" w14:textId="450A491F" w:rsidR="004F130A" w:rsidRPr="00986305" w:rsidRDefault="004F130A" w:rsidP="00DD051A">
      <w:pPr>
        <w:rPr>
          <w:rFonts w:asciiTheme="majorBidi" w:hAnsiTheme="majorBidi" w:cstheme="majorBidi"/>
          <w:sz w:val="24"/>
          <w:szCs w:val="24"/>
        </w:rPr>
      </w:pPr>
    </w:p>
    <w:p w14:paraId="5722884A" w14:textId="77777777" w:rsidR="005E1916"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The increased prevalence of gas turbines is largely due to their efficiency and low NOx emission (Sun et al., 2012). While generally less efficient than a comparative size internal combustion engine (Ofualagba, 2012), efficiency can be greatly enhanced (up to 80% with a recuperator) by use of a heat exchanger/recuperator which regenerates waste heat and pre-heats the compressed air; but this increases the negative thermal stress from large temperature differences from the cooling system and the flame region, increasing creep and thermal stress (Enagi et al., 2017). These significant temperature differences promote creep and material degradation within the combustion chambers of gas turbines (Cirigliano et al., 2020) leading to the optimization of micro-structure to improve the creep resistance of steels and superalloys being a key research area (Abe, 2014). </w:t>
      </w:r>
    </w:p>
    <w:p w14:paraId="3E7602E0" w14:textId="4961675C" w:rsidR="00893B23" w:rsidRPr="00893B23" w:rsidRDefault="00893B23" w:rsidP="00893B23">
      <w:pPr>
        <w:spacing w:after="0"/>
        <w:rPr>
          <w:rFonts w:asciiTheme="majorBidi" w:hAnsiTheme="majorBidi" w:cstheme="majorBidi"/>
          <w:sz w:val="24"/>
          <w:szCs w:val="24"/>
        </w:rPr>
      </w:pPr>
      <w:r w:rsidRPr="00893B23">
        <w:rPr>
          <w:rFonts w:asciiTheme="majorBidi" w:hAnsiTheme="majorBidi" w:cstheme="majorBidi"/>
          <w:sz w:val="24"/>
          <w:szCs w:val="24"/>
        </w:rPr>
        <w:t xml:space="preserve">This article Studying the Nickel-base superalloys by Explain the Correlation between the Creep and Temperature at power-law Coefficient by model Cripsen at FEA  (Alain I.,1998). This is Reference focus how to transfer the multi-Dimension of Creep Stress to Ani ether Dimension and explain and define all Parameters at These Equation Betten(Betten J.,2008). </w:t>
      </w:r>
      <w:r>
        <w:rPr>
          <w:rFonts w:asciiTheme="majorBidi" w:hAnsiTheme="majorBidi" w:cstheme="majorBidi"/>
          <w:sz w:val="24"/>
          <w:szCs w:val="24"/>
        </w:rPr>
        <w:t xml:space="preserve">  </w:t>
      </w:r>
    </w:p>
    <w:p w14:paraId="5059248A" w14:textId="77777777" w:rsidR="00893B23" w:rsidRPr="00893B23" w:rsidRDefault="00893B23" w:rsidP="00893B23">
      <w:pPr>
        <w:spacing w:after="0"/>
        <w:rPr>
          <w:rFonts w:asciiTheme="majorBidi" w:hAnsiTheme="majorBidi" w:cstheme="majorBidi"/>
          <w:sz w:val="24"/>
          <w:szCs w:val="24"/>
        </w:rPr>
      </w:pPr>
      <w:r w:rsidRPr="00893B23">
        <w:rPr>
          <w:rFonts w:asciiTheme="majorBidi" w:hAnsiTheme="majorBidi" w:cstheme="majorBidi"/>
          <w:sz w:val="24"/>
          <w:szCs w:val="24"/>
        </w:rPr>
        <w:t xml:space="preserve">This is Author explain and analysis the Creep-Rupture Curve for Alloy 718 at high temperature Value and Introduce Deformation Curves for these metal and Residual Lifetime (Brinkman C., Booker M., and Ding J.,1991). Caliari F. R., Candioto K. C. G., Couto A. A., Nunes C. Â., and Reis D. A. P. (2016).this Author analysis the heat treatment by double aging and affect these Treatment For Creep Mechanism at  inconel 718 and </w:t>
      </w:r>
      <w:r w:rsidRPr="00893B23">
        <w:rPr>
          <w:rFonts w:asciiTheme="majorBidi" w:hAnsiTheme="majorBidi" w:cstheme="majorBidi"/>
          <w:sz w:val="24"/>
          <w:szCs w:val="24"/>
          <w:lang w:val="en"/>
        </w:rPr>
        <w:t>It is inferred that</w:t>
      </w:r>
      <w:r w:rsidRPr="00893B23">
        <w:rPr>
          <w:rFonts w:asciiTheme="majorBidi" w:hAnsiTheme="majorBidi" w:cstheme="majorBidi"/>
          <w:sz w:val="24"/>
          <w:szCs w:val="24"/>
        </w:rPr>
        <w:t xml:space="preserve"> treatment improvements the Microstructure at these Alloy and Reduction the Deformation and deuteration for these alloy at High temperature 650 C(Celecious). This Article Covers Deformation Mechanism Map for IN738LC Based on Nickle ,and this map define the Safe operation for this material at Rotating Equipment (Carey J., Sargent P., and Jones D. (1990).)this is Research arrive to Equation Which Combined plastic and viscoelastic constitutive Deformation and Relation between combined Stress and Creep this is Foundation </w:t>
      </w:r>
      <w:r w:rsidRPr="00893B23">
        <w:rPr>
          <w:rFonts w:asciiTheme="majorBidi" w:hAnsiTheme="majorBidi" w:cstheme="majorBidi"/>
          <w:sz w:val="24"/>
          <w:szCs w:val="24"/>
          <w:lang w:val="en"/>
        </w:rPr>
        <w:t>Where the</w:t>
      </w:r>
      <w:r w:rsidRPr="00893B23">
        <w:rPr>
          <w:rFonts w:asciiTheme="majorBidi" w:hAnsiTheme="majorBidi" w:cstheme="majorBidi"/>
          <w:sz w:val="24"/>
          <w:szCs w:val="24"/>
        </w:rPr>
        <w:t>Chaboche</w:t>
      </w:r>
      <w:r w:rsidRPr="00893B23">
        <w:rPr>
          <w:rFonts w:asciiTheme="majorBidi" w:hAnsiTheme="majorBidi" w:cstheme="majorBidi"/>
          <w:sz w:val="24"/>
          <w:szCs w:val="24"/>
          <w:lang w:val="en"/>
        </w:rPr>
        <w:t xml:space="preserve"> model was built ( Chaboche J. L. and Rousselier G,. (1983),</w:t>
      </w:r>
      <w:r w:rsidRPr="00893B23">
        <w:rPr>
          <w:rFonts w:asciiTheme="majorBidi" w:hAnsiTheme="majorBidi" w:cstheme="majorBidi"/>
          <w:sz w:val="24"/>
          <w:szCs w:val="24"/>
        </w:rPr>
        <w:t>This is Reference introduce the Finite element Theory for Creep Theory and H ow To Solution these Model(Chandrupatla T. R. and Belegundu A. D.,2012),</w:t>
      </w:r>
      <w:r w:rsidRPr="00893B23">
        <w:rPr>
          <w:rFonts w:asciiTheme="majorBidi" w:hAnsiTheme="majorBidi" w:cstheme="majorBidi"/>
          <w:sz w:val="24"/>
          <w:szCs w:val="24"/>
          <w:lang w:val="en"/>
        </w:rPr>
        <w:t>This Authors Studying creep, buildup, microcavity Failure (cavity Stress), and Failure fracture under heat, and is applied to metal alloys such as MAR-247, Inconel 718, and copper As Manufacture material in thermal components for example jet engine combustion. It also arrived in a mathematical equation for Calculating failure time and testing this According to Norton's creep exponent (Norton's Law of Energy) and modified this equation to simple crystalline alloys. it Creates General physical empirical equation for deformation mechanisms layout to define operational limits and Residual Lifetime predictions,(</w:t>
      </w:r>
      <w:r w:rsidRPr="00893B23">
        <w:rPr>
          <w:rFonts w:asciiTheme="majorBidi" w:hAnsiTheme="majorBidi" w:cstheme="majorBidi"/>
          <w:sz w:val="24"/>
          <w:szCs w:val="24"/>
        </w:rPr>
        <w:t xml:space="preserve"> Cieśla et al., 2016; Das et al., 2022; Frost &amp; Ashby, 1982; Golan et al., 1996; Kachanov, 1999; Kim et al., 2008).</w:t>
      </w:r>
      <w:r w:rsidRPr="00893B23">
        <w:rPr>
          <w:rFonts w:asciiTheme="majorBidi" w:hAnsiTheme="majorBidi" w:cstheme="majorBidi"/>
          <w:sz w:val="24"/>
          <w:szCs w:val="24"/>
          <w:lang w:val="en"/>
        </w:rPr>
        <w:t xml:space="preserve"> This researches Calculating the Failure  fracture Rate of the Inconel 718 superalloy Which  in jet engine combustion chambers and create FEA modeling to predict the creep and failure of turbine blades and rotors. It also Foundation the physical and Static equation of Continuity Damage Mechanics (CDM) for drawing the Future curve of  fracture and Transfer This equation to programming Coding , such as the USERMAT tool within ANSYS software.</w:t>
      </w:r>
      <w:r w:rsidRPr="00893B23">
        <w:rPr>
          <w:rFonts w:asciiTheme="majorBidi" w:hAnsiTheme="majorBidi" w:cstheme="majorBidi"/>
          <w:sz w:val="24"/>
          <w:szCs w:val="24"/>
        </w:rPr>
        <w:t xml:space="preserve"> (Kim et al., 2008; Lemaitre, 1985; Lemaitre &amp; Chaboche, 1978; Li et al., 2010; Lin, 1999; Liu et al., 2015),</w:t>
      </w:r>
      <w:r w:rsidRPr="00893B23">
        <w:rPr>
          <w:rFonts w:asciiTheme="majorBidi" w:hAnsiTheme="majorBidi" w:cstheme="majorBidi"/>
          <w:sz w:val="24"/>
          <w:szCs w:val="24"/>
          <w:lang w:val="en"/>
        </w:rPr>
        <w:t xml:space="preserve"> This research Show the anisotropy mechanical behavior of single-crystal superalloys at high temperatures, creating and Simulating FEA models, The mechanism Failure for these articles are creep Stress and the metallic material use at this model is  Inconel 718 alloy (according to the approved data sheet VDM Alloy 718),The purpose from these models is to predict the Residual  lifetime of mechanical components in military and power generation systems.</w:t>
      </w:r>
      <w:r w:rsidRPr="00893B23">
        <w:rPr>
          <w:rFonts w:asciiTheme="majorBidi" w:hAnsiTheme="majorBidi" w:cstheme="majorBidi"/>
          <w:sz w:val="24"/>
          <w:szCs w:val="24"/>
        </w:rPr>
        <w:t xml:space="preserve"> </w:t>
      </w:r>
      <w:r w:rsidRPr="00893B23">
        <w:rPr>
          <w:rFonts w:asciiTheme="majorBidi" w:hAnsiTheme="majorBidi" w:cstheme="majorBidi"/>
          <w:sz w:val="24"/>
          <w:szCs w:val="24"/>
          <w:lang w:val="en"/>
        </w:rPr>
        <w:t>(McLean et al., 1992; Sugahara et al., 2012; Cirigliano et al., 2023; VDM Metals, 2020)</w:t>
      </w:r>
      <w:r w:rsidRPr="00893B23">
        <w:rPr>
          <w:rFonts w:asciiTheme="majorBidi" w:hAnsiTheme="majorBidi" w:cstheme="majorBidi"/>
          <w:sz w:val="24"/>
          <w:szCs w:val="24"/>
        </w:rPr>
        <w:t>,</w:t>
      </w:r>
    </w:p>
    <w:p w14:paraId="06DBA1D2" w14:textId="77777777" w:rsidR="00893B23" w:rsidRPr="00893B23" w:rsidRDefault="00893B23" w:rsidP="00893B23">
      <w:pPr>
        <w:spacing w:after="0"/>
        <w:jc w:val="center"/>
        <w:rPr>
          <w:rFonts w:asciiTheme="majorBidi" w:hAnsiTheme="majorBidi" w:cstheme="majorBidi"/>
          <w:sz w:val="24"/>
          <w:szCs w:val="24"/>
        </w:rPr>
      </w:pPr>
    </w:p>
    <w:p w14:paraId="5722884C" w14:textId="77777777" w:rsidR="00314A57" w:rsidRPr="00986305" w:rsidRDefault="00AB0195"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6">
          <v:rect id="_x0000_i1028" style="width:468pt;height:1.5pt" o:hralign="center" o:hrstd="t" o:hr="t" fillcolor="#a0a0a0" stroked="f"/>
        </w:pict>
      </w:r>
    </w:p>
    <w:p w14:paraId="5722884D" w14:textId="3D2CE8B4" w:rsidR="00314A57" w:rsidRPr="00986305" w:rsidRDefault="002315B9" w:rsidP="003F65E2">
      <w:pPr>
        <w:rPr>
          <w:rFonts w:asciiTheme="majorBidi" w:hAnsiTheme="majorBidi" w:cstheme="majorBidi"/>
          <w:sz w:val="24"/>
          <w:szCs w:val="24"/>
        </w:rPr>
      </w:pPr>
      <w:r>
        <w:rPr>
          <w:rFonts w:asciiTheme="majorBidi" w:hAnsiTheme="majorBidi" w:cstheme="majorBidi"/>
          <w:sz w:val="24"/>
          <w:szCs w:val="24"/>
        </w:rPr>
        <w:t>3.</w:t>
      </w:r>
      <w:r w:rsidR="00CB0051">
        <w:rPr>
          <w:rFonts w:asciiTheme="majorBidi" w:hAnsiTheme="majorBidi" w:cstheme="majorBidi"/>
          <w:sz w:val="24"/>
          <w:szCs w:val="24"/>
        </w:rPr>
        <w:t>Finite element ana</w:t>
      </w:r>
      <w:r>
        <w:rPr>
          <w:rFonts w:asciiTheme="majorBidi" w:hAnsiTheme="majorBidi" w:cstheme="majorBidi"/>
          <w:sz w:val="24"/>
          <w:szCs w:val="24"/>
        </w:rPr>
        <w:t xml:space="preserve">lysis </w:t>
      </w:r>
    </w:p>
    <w:p w14:paraId="5722884E" w14:textId="7EE80366"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3.</w:t>
      </w:r>
      <w:r w:rsidR="002315B9">
        <w:rPr>
          <w:rFonts w:asciiTheme="majorBidi" w:hAnsiTheme="majorBidi" w:cstheme="majorBidi"/>
          <w:b/>
          <w:bCs/>
          <w:sz w:val="24"/>
          <w:szCs w:val="24"/>
        </w:rPr>
        <w:t>1</w:t>
      </w:r>
      <w:r w:rsidRPr="00986305">
        <w:rPr>
          <w:rFonts w:asciiTheme="majorBidi" w:hAnsiTheme="majorBidi" w:cstheme="majorBidi"/>
          <w:b/>
          <w:bCs/>
          <w:sz w:val="24"/>
          <w:szCs w:val="24"/>
        </w:rPr>
        <w:t xml:space="preserve"> Methodology  </w:t>
      </w:r>
    </w:p>
    <w:p w14:paraId="5722884F" w14:textId="638BDECD"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3.1</w:t>
      </w:r>
      <w:r w:rsidR="002315B9">
        <w:rPr>
          <w:rFonts w:asciiTheme="majorBidi" w:hAnsiTheme="majorBidi" w:cstheme="majorBidi"/>
          <w:b/>
          <w:bCs/>
          <w:sz w:val="24"/>
          <w:szCs w:val="24"/>
        </w:rPr>
        <w:t>.</w:t>
      </w:r>
      <w:r w:rsidR="00893B23">
        <w:rPr>
          <w:rFonts w:asciiTheme="majorBidi" w:hAnsiTheme="majorBidi" w:cstheme="majorBidi"/>
          <w:b/>
          <w:bCs/>
          <w:sz w:val="24"/>
          <w:szCs w:val="24"/>
        </w:rPr>
        <w:t>1</w:t>
      </w:r>
      <w:r w:rsidRPr="00986305">
        <w:rPr>
          <w:rFonts w:asciiTheme="majorBidi" w:hAnsiTheme="majorBidi" w:cstheme="majorBidi"/>
          <w:b/>
          <w:bCs/>
          <w:sz w:val="24"/>
          <w:szCs w:val="24"/>
        </w:rPr>
        <w:t xml:space="preserve"> System Description  </w:t>
      </w:r>
    </w:p>
    <w:p w14:paraId="6244DD95" w14:textId="78E0FA5B" w:rsidR="00E402BA"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study concentrates on the platform combustion chamber of the Siemens SGT5-8000H gas turbine.</w:t>
      </w:r>
      <w:r w:rsidR="00BB63C1" w:rsidRPr="00986305">
        <w:rPr>
          <w:rFonts w:asciiTheme="majorBidi" w:hAnsiTheme="majorBidi" w:cstheme="majorBidi"/>
          <w:sz w:val="24"/>
          <w:szCs w:val="24"/>
        </w:rPr>
        <w:t xml:space="preserve">as Shown </w:t>
      </w:r>
      <w:r w:rsidR="009C2989" w:rsidRPr="00986305">
        <w:rPr>
          <w:rFonts w:asciiTheme="majorBidi" w:hAnsiTheme="majorBidi" w:cstheme="majorBidi"/>
          <w:sz w:val="24"/>
          <w:szCs w:val="24"/>
        </w:rPr>
        <w:t>Fig. (</w:t>
      </w:r>
      <w:r w:rsidR="00BB63C1" w:rsidRPr="00986305">
        <w:rPr>
          <w:rFonts w:asciiTheme="majorBidi" w:hAnsiTheme="majorBidi" w:cstheme="majorBidi"/>
          <w:sz w:val="24"/>
          <w:szCs w:val="24"/>
        </w:rPr>
        <w:t>1)</w:t>
      </w:r>
    </w:p>
    <w:p w14:paraId="6472935F" w14:textId="623DD353" w:rsidR="00BB63C1" w:rsidRPr="00986305" w:rsidRDefault="00DC025F" w:rsidP="003F65E2">
      <w:pPr>
        <w:rPr>
          <w:rFonts w:asciiTheme="majorBidi" w:hAnsiTheme="majorBidi" w:cstheme="majorBidi"/>
          <w:sz w:val="24"/>
          <w:szCs w:val="24"/>
        </w:rPr>
      </w:pPr>
      <w:r w:rsidRPr="00986305">
        <w:rPr>
          <w:rFonts w:asciiTheme="majorBidi" w:hAnsiTheme="majorBidi" w:cstheme="majorBidi"/>
          <w:noProof/>
          <w:sz w:val="24"/>
          <w:szCs w:val="24"/>
        </w:rPr>
        <w:drawing>
          <wp:anchor distT="0" distB="0" distL="114300" distR="114300" simplePos="0" relativeHeight="251658752" behindDoc="1" locked="0" layoutInCell="1" allowOverlap="1" wp14:anchorId="4EB5826A" wp14:editId="7B7B0ECC">
            <wp:simplePos x="0" y="0"/>
            <wp:positionH relativeFrom="column">
              <wp:posOffset>742950</wp:posOffset>
            </wp:positionH>
            <wp:positionV relativeFrom="paragraph">
              <wp:posOffset>35560</wp:posOffset>
            </wp:positionV>
            <wp:extent cx="3139440" cy="1257300"/>
            <wp:effectExtent l="0" t="0" r="3810" b="0"/>
            <wp:wrapTight wrapText="bothSides">
              <wp:wrapPolygon edited="0">
                <wp:start x="0" y="0"/>
                <wp:lineTo x="0" y="21273"/>
                <wp:lineTo x="21495" y="21273"/>
                <wp:lineTo x="21495" y="0"/>
                <wp:lineTo x="0" y="0"/>
              </wp:wrapPolygon>
            </wp:wrapTight>
            <wp:docPr id="52088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9365" name=""/>
                    <pic:cNvPicPr/>
                  </pic:nvPicPr>
                  <pic:blipFill>
                    <a:blip r:embed="rId8">
                      <a:extLst>
                        <a:ext uri="{28A0092B-C50C-407E-A947-70E740481C1C}">
                          <a14:useLocalDpi xmlns:a14="http://schemas.microsoft.com/office/drawing/2010/main" val="0"/>
                        </a:ext>
                      </a:extLst>
                    </a:blip>
                    <a:stretch>
                      <a:fillRect/>
                    </a:stretch>
                  </pic:blipFill>
                  <pic:spPr>
                    <a:xfrm>
                      <a:off x="0" y="0"/>
                      <a:ext cx="3139440" cy="1257300"/>
                    </a:xfrm>
                    <a:prstGeom prst="rect">
                      <a:avLst/>
                    </a:prstGeom>
                  </pic:spPr>
                </pic:pic>
              </a:graphicData>
            </a:graphic>
            <wp14:sizeRelH relativeFrom="margin">
              <wp14:pctWidth>0</wp14:pctWidth>
            </wp14:sizeRelH>
            <wp14:sizeRelV relativeFrom="margin">
              <wp14:pctHeight>0</wp14:pctHeight>
            </wp14:sizeRelV>
          </wp:anchor>
        </w:drawing>
      </w:r>
    </w:p>
    <w:p w14:paraId="15D5AC3F" w14:textId="077763B2" w:rsidR="00E402BA" w:rsidRPr="00986305" w:rsidRDefault="00E402BA" w:rsidP="003F65E2">
      <w:pPr>
        <w:rPr>
          <w:rFonts w:asciiTheme="majorBidi" w:hAnsiTheme="majorBidi" w:cstheme="majorBidi"/>
          <w:sz w:val="24"/>
          <w:szCs w:val="24"/>
        </w:rPr>
      </w:pPr>
    </w:p>
    <w:p w14:paraId="754095D1" w14:textId="77777777" w:rsidR="00E402BA" w:rsidRPr="00986305" w:rsidRDefault="00E402BA" w:rsidP="003F65E2">
      <w:pPr>
        <w:rPr>
          <w:rFonts w:asciiTheme="majorBidi" w:hAnsiTheme="majorBidi" w:cstheme="majorBidi"/>
          <w:sz w:val="24"/>
          <w:szCs w:val="24"/>
        </w:rPr>
      </w:pPr>
    </w:p>
    <w:p w14:paraId="732537BD" w14:textId="77777777" w:rsidR="00E402BA" w:rsidRPr="00986305" w:rsidRDefault="00E402BA" w:rsidP="003F65E2">
      <w:pPr>
        <w:rPr>
          <w:rFonts w:asciiTheme="majorBidi" w:hAnsiTheme="majorBidi" w:cstheme="majorBidi"/>
          <w:sz w:val="24"/>
          <w:szCs w:val="24"/>
        </w:rPr>
      </w:pPr>
    </w:p>
    <w:p w14:paraId="039DA6BA" w14:textId="77777777" w:rsidR="00E402BA" w:rsidRPr="00986305" w:rsidRDefault="00E402BA" w:rsidP="003F65E2">
      <w:pPr>
        <w:rPr>
          <w:rFonts w:asciiTheme="majorBidi" w:hAnsiTheme="majorBidi" w:cstheme="majorBidi"/>
          <w:sz w:val="24"/>
          <w:szCs w:val="24"/>
        </w:rPr>
      </w:pPr>
    </w:p>
    <w:p w14:paraId="26147BF8" w14:textId="4C44F08D" w:rsidR="00E402BA" w:rsidRPr="00986305" w:rsidRDefault="009C2989" w:rsidP="00EF59CE">
      <w:pPr>
        <w:ind w:left="-1152" w:right="-432"/>
        <w:jc w:val="center"/>
        <w:rPr>
          <w:rFonts w:asciiTheme="majorBidi" w:hAnsiTheme="majorBidi" w:cstheme="majorBidi"/>
          <w:sz w:val="24"/>
          <w:szCs w:val="24"/>
        </w:rPr>
      </w:pPr>
      <w:r w:rsidRPr="00986305">
        <w:rPr>
          <w:rFonts w:asciiTheme="majorBidi" w:hAnsiTheme="majorBidi" w:cstheme="majorBidi"/>
          <w:sz w:val="24"/>
          <w:szCs w:val="24"/>
        </w:rPr>
        <w:t>Fig. (</w:t>
      </w:r>
      <w:r w:rsidR="007E7C07" w:rsidRPr="00986305">
        <w:rPr>
          <w:rFonts w:asciiTheme="majorBidi" w:hAnsiTheme="majorBidi" w:cstheme="majorBidi"/>
          <w:sz w:val="24"/>
          <w:szCs w:val="24"/>
        </w:rPr>
        <w:t>1) platform combustion chamber of the Siemens</w:t>
      </w:r>
      <w:r w:rsidR="00235574" w:rsidRPr="00986305">
        <w:rPr>
          <w:rFonts w:asciiTheme="majorBidi" w:hAnsiTheme="majorBidi" w:cstheme="majorBidi"/>
          <w:sz w:val="24"/>
          <w:szCs w:val="24"/>
        </w:rPr>
        <w:t xml:space="preserve"> SGT5-8000H</w:t>
      </w:r>
    </w:p>
    <w:p w14:paraId="57228850" w14:textId="465E2DEB"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The system has these characteristics:  </w:t>
      </w:r>
    </w:p>
    <w:p w14:paraId="57228851"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Mass: 322.225 kg  </w:t>
      </w:r>
    </w:p>
    <w:p w14:paraId="57228852"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Volume: 40,278,200 mm³  </w:t>
      </w:r>
    </w:p>
    <w:p w14:paraId="57228853"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Material: Stainless Steel (SS316)  </w:t>
      </w:r>
    </w:p>
    <w:p w14:paraId="61AB73C0" w14:textId="41F52134" w:rsidR="002A59D9" w:rsidRPr="00986305" w:rsidRDefault="006336FF" w:rsidP="007F52C4">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Thermal Load: 100 kN </w:t>
      </w:r>
    </w:p>
    <w:p w14:paraId="57228855" w14:textId="0221A64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3.</w:t>
      </w:r>
      <w:r w:rsidR="00893B23">
        <w:rPr>
          <w:rFonts w:asciiTheme="majorBidi" w:hAnsiTheme="majorBidi" w:cstheme="majorBidi"/>
          <w:b/>
          <w:bCs/>
          <w:sz w:val="24"/>
          <w:szCs w:val="24"/>
        </w:rPr>
        <w:t>1.</w:t>
      </w:r>
      <w:r w:rsidRPr="00986305">
        <w:rPr>
          <w:rFonts w:asciiTheme="majorBidi" w:hAnsiTheme="majorBidi" w:cstheme="majorBidi"/>
          <w:b/>
          <w:bCs/>
          <w:sz w:val="24"/>
          <w:szCs w:val="24"/>
        </w:rPr>
        <w:t xml:space="preserve">2 Material Properties  </w:t>
      </w:r>
    </w:p>
    <w:p w14:paraId="57228856"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Density: 8 g/cm³  </w:t>
      </w:r>
    </w:p>
    <w:p w14:paraId="57228857"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Yield Strength: 250 MPa  </w:t>
      </w:r>
    </w:p>
    <w:p w14:paraId="57228858"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Ultimate Tensile Strength: 540 MPa  </w:t>
      </w:r>
    </w:p>
    <w:p w14:paraId="57228859"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Young's Modulus: 193 GPa  </w:t>
      </w:r>
    </w:p>
    <w:p w14:paraId="5722885A"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Poisson's Ratio: 0.3  </w:t>
      </w:r>
    </w:p>
    <w:p w14:paraId="5722885C" w14:textId="702FBD11" w:rsidR="006336FF" w:rsidRPr="00986305" w:rsidRDefault="006336FF" w:rsidP="00EF59CE">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Shear Modulus: 74.23 GPa  </w:t>
      </w:r>
    </w:p>
    <w:p w14:paraId="5722885D" w14:textId="479A780F"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3.</w:t>
      </w:r>
      <w:r w:rsidR="00893B23">
        <w:rPr>
          <w:rFonts w:asciiTheme="majorBidi" w:hAnsiTheme="majorBidi" w:cstheme="majorBidi"/>
          <w:b/>
          <w:bCs/>
          <w:sz w:val="24"/>
          <w:szCs w:val="24"/>
        </w:rPr>
        <w:t>1.</w:t>
      </w:r>
      <w:r w:rsidRPr="00986305">
        <w:rPr>
          <w:rFonts w:asciiTheme="majorBidi" w:hAnsiTheme="majorBidi" w:cstheme="majorBidi"/>
          <w:b/>
          <w:bCs/>
          <w:sz w:val="24"/>
          <w:szCs w:val="24"/>
        </w:rPr>
        <w:t xml:space="preserve">3 Finite Element Analysis  </w:t>
      </w:r>
    </w:p>
    <w:p w14:paraId="5722885E"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A static finite element analysis was performed using Autodesk Inventor. The mesh parameters balanced accuracy and computational efficiency:  </w:t>
      </w:r>
    </w:p>
    <w:p w14:paraId="5722885F" w14:textId="13B7A3A3"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Average element size: 0.</w:t>
      </w:r>
      <w:r w:rsidR="001E346B">
        <w:rPr>
          <w:rFonts w:asciiTheme="majorBidi" w:hAnsiTheme="majorBidi" w:cstheme="majorBidi"/>
          <w:sz w:val="24"/>
          <w:szCs w:val="24"/>
        </w:rPr>
        <w:t>1</w:t>
      </w:r>
      <w:r w:rsidRPr="00986305">
        <w:rPr>
          <w:rFonts w:asciiTheme="majorBidi" w:hAnsiTheme="majorBidi" w:cstheme="majorBidi"/>
          <w:sz w:val="24"/>
          <w:szCs w:val="24"/>
        </w:rPr>
        <w:t xml:space="preserve"> </w:t>
      </w:r>
    </w:p>
    <w:p w14:paraId="57228860" w14:textId="2816D40D"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Minimum element size: 0.</w:t>
      </w:r>
      <w:r w:rsidR="001E346B">
        <w:rPr>
          <w:rFonts w:asciiTheme="majorBidi" w:hAnsiTheme="majorBidi" w:cstheme="majorBidi"/>
          <w:sz w:val="24"/>
          <w:szCs w:val="24"/>
        </w:rPr>
        <w:t>02</w:t>
      </w:r>
    </w:p>
    <w:p w14:paraId="57228861" w14:textId="77777777"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 xml:space="preserve">Grading factor: 1.5  </w:t>
      </w:r>
    </w:p>
    <w:p w14:paraId="1B244D93" w14:textId="77777777" w:rsidR="00CD1A0C" w:rsidRPr="00986305" w:rsidRDefault="00CD1A0C" w:rsidP="00CD1A0C">
      <w:pPr>
        <w:pStyle w:val="ListParagraph"/>
        <w:ind w:left="0"/>
        <w:rPr>
          <w:rFonts w:asciiTheme="majorBidi" w:hAnsiTheme="majorBidi" w:cstheme="majorBidi"/>
          <w:sz w:val="24"/>
          <w:szCs w:val="24"/>
          <w:rtl/>
        </w:rPr>
      </w:pPr>
    </w:p>
    <w:p w14:paraId="12C175AB" w14:textId="73CEF41E" w:rsidR="004953CF" w:rsidRPr="00986305" w:rsidRDefault="003F31CB"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657807E6" wp14:editId="5406AD09">
            <wp:extent cx="5943600" cy="3241675"/>
            <wp:effectExtent l="0" t="0" r="0" b="0"/>
            <wp:docPr id="10616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1860" name=""/>
                    <pic:cNvPicPr/>
                  </pic:nvPicPr>
                  <pic:blipFill>
                    <a:blip r:embed="rId9"/>
                    <a:stretch>
                      <a:fillRect/>
                    </a:stretch>
                  </pic:blipFill>
                  <pic:spPr>
                    <a:xfrm>
                      <a:off x="0" y="0"/>
                      <a:ext cx="5943600" cy="3241675"/>
                    </a:xfrm>
                    <a:prstGeom prst="rect">
                      <a:avLst/>
                    </a:prstGeom>
                  </pic:spPr>
                </pic:pic>
              </a:graphicData>
            </a:graphic>
          </wp:inline>
        </w:drawing>
      </w:r>
    </w:p>
    <w:p w14:paraId="62FE40A9" w14:textId="32F9842C" w:rsidR="004953CF" w:rsidRPr="00986305" w:rsidRDefault="001B3346"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9506154" wp14:editId="78037F08">
            <wp:extent cx="5943600" cy="2794635"/>
            <wp:effectExtent l="0" t="0" r="0" b="5715"/>
            <wp:docPr id="6393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7367" name=""/>
                    <pic:cNvPicPr/>
                  </pic:nvPicPr>
                  <pic:blipFill>
                    <a:blip r:embed="rId10"/>
                    <a:stretch>
                      <a:fillRect/>
                    </a:stretch>
                  </pic:blipFill>
                  <pic:spPr>
                    <a:xfrm>
                      <a:off x="0" y="0"/>
                      <a:ext cx="5943600" cy="2794635"/>
                    </a:xfrm>
                    <a:prstGeom prst="rect">
                      <a:avLst/>
                    </a:prstGeom>
                  </pic:spPr>
                </pic:pic>
              </a:graphicData>
            </a:graphic>
          </wp:inline>
        </w:drawing>
      </w:r>
    </w:p>
    <w:p w14:paraId="180E875F" w14:textId="59C18288" w:rsidR="001B3346" w:rsidRPr="00986305" w:rsidRDefault="00304936"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6FB9729F" wp14:editId="4B4AEECE">
            <wp:extent cx="5943600" cy="4292600"/>
            <wp:effectExtent l="0" t="0" r="0" b="0"/>
            <wp:docPr id="186942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6972" name=""/>
                    <pic:cNvPicPr/>
                  </pic:nvPicPr>
                  <pic:blipFill>
                    <a:blip r:embed="rId11"/>
                    <a:stretch>
                      <a:fillRect/>
                    </a:stretch>
                  </pic:blipFill>
                  <pic:spPr>
                    <a:xfrm>
                      <a:off x="0" y="0"/>
                      <a:ext cx="5943600" cy="4292600"/>
                    </a:xfrm>
                    <a:prstGeom prst="rect">
                      <a:avLst/>
                    </a:prstGeom>
                  </pic:spPr>
                </pic:pic>
              </a:graphicData>
            </a:graphic>
          </wp:inline>
        </w:drawing>
      </w:r>
    </w:p>
    <w:p w14:paraId="6C8D8654" w14:textId="2ED988FC" w:rsidR="00AF0F09" w:rsidRPr="00986305" w:rsidRDefault="00AA2EA4" w:rsidP="00986305">
      <w:pPr>
        <w:pStyle w:val="ListParagraph"/>
        <w:ind w:left="-144"/>
        <w:rPr>
          <w:rFonts w:asciiTheme="majorBidi" w:hAnsiTheme="majorBidi" w:cstheme="majorBidi"/>
          <w:sz w:val="24"/>
          <w:szCs w:val="24"/>
          <w:rtl/>
        </w:rPr>
      </w:pPr>
      <w:r w:rsidRPr="00986305">
        <w:rPr>
          <w:rFonts w:asciiTheme="majorBidi" w:hAnsiTheme="majorBidi" w:cstheme="majorBidi"/>
          <w:noProof/>
          <w:sz w:val="24"/>
          <w:szCs w:val="24"/>
        </w:rPr>
        <w:drawing>
          <wp:inline distT="0" distB="0" distL="0" distR="0" wp14:anchorId="652AD89B" wp14:editId="54C0462A">
            <wp:extent cx="5943600" cy="1241425"/>
            <wp:effectExtent l="0" t="0" r="0" b="0"/>
            <wp:docPr id="3714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3601" name=""/>
                    <pic:cNvPicPr/>
                  </pic:nvPicPr>
                  <pic:blipFill>
                    <a:blip r:embed="rId12"/>
                    <a:stretch>
                      <a:fillRect/>
                    </a:stretch>
                  </pic:blipFill>
                  <pic:spPr>
                    <a:xfrm>
                      <a:off x="0" y="0"/>
                      <a:ext cx="5943600" cy="1241425"/>
                    </a:xfrm>
                    <a:prstGeom prst="rect">
                      <a:avLst/>
                    </a:prstGeom>
                  </pic:spPr>
                </pic:pic>
              </a:graphicData>
            </a:graphic>
          </wp:inline>
        </w:drawing>
      </w:r>
    </w:p>
    <w:p w14:paraId="7A0C5E40" w14:textId="77777777" w:rsidR="006C50C0" w:rsidRDefault="006C50C0" w:rsidP="003F65E2">
      <w:pPr>
        <w:rPr>
          <w:rFonts w:asciiTheme="majorBidi" w:hAnsiTheme="majorBidi" w:cstheme="majorBidi"/>
          <w:sz w:val="24"/>
          <w:szCs w:val="24"/>
        </w:rPr>
      </w:pPr>
    </w:p>
    <w:p w14:paraId="6268ED70" w14:textId="77777777" w:rsidR="006C50C0" w:rsidRDefault="006C50C0" w:rsidP="003F65E2">
      <w:pPr>
        <w:rPr>
          <w:rFonts w:asciiTheme="majorBidi" w:hAnsiTheme="majorBidi" w:cstheme="majorBidi"/>
          <w:sz w:val="24"/>
          <w:szCs w:val="24"/>
        </w:rPr>
      </w:pPr>
    </w:p>
    <w:p w14:paraId="6E95DECD" w14:textId="77777777" w:rsidR="006C50C0" w:rsidRDefault="006C50C0" w:rsidP="003F65E2">
      <w:pPr>
        <w:rPr>
          <w:rFonts w:asciiTheme="majorBidi" w:hAnsiTheme="majorBidi" w:cstheme="majorBidi"/>
          <w:sz w:val="24"/>
          <w:szCs w:val="24"/>
        </w:rPr>
      </w:pPr>
    </w:p>
    <w:p w14:paraId="0E6ECCB0" w14:textId="77777777" w:rsidR="006C50C0" w:rsidRDefault="006C50C0" w:rsidP="003F65E2">
      <w:pPr>
        <w:rPr>
          <w:rFonts w:asciiTheme="majorBidi" w:hAnsiTheme="majorBidi" w:cstheme="majorBidi"/>
          <w:sz w:val="24"/>
          <w:szCs w:val="24"/>
        </w:rPr>
      </w:pPr>
    </w:p>
    <w:p w14:paraId="1D6F8804" w14:textId="77777777" w:rsidR="006C50C0" w:rsidRDefault="006C50C0" w:rsidP="003F65E2">
      <w:pPr>
        <w:rPr>
          <w:rFonts w:asciiTheme="majorBidi" w:hAnsiTheme="majorBidi" w:cstheme="majorBidi"/>
          <w:sz w:val="24"/>
          <w:szCs w:val="24"/>
        </w:rPr>
      </w:pPr>
    </w:p>
    <w:p w14:paraId="54D97989" w14:textId="77777777" w:rsidR="006C50C0" w:rsidRDefault="006C50C0" w:rsidP="003F65E2">
      <w:pPr>
        <w:rPr>
          <w:rFonts w:asciiTheme="majorBidi" w:hAnsiTheme="majorBidi" w:cstheme="majorBidi"/>
          <w:sz w:val="24"/>
          <w:szCs w:val="24"/>
        </w:rPr>
      </w:pPr>
    </w:p>
    <w:p w14:paraId="61ADAE97" w14:textId="77777777" w:rsidR="006C50C0" w:rsidRDefault="006C50C0" w:rsidP="003F65E2">
      <w:pPr>
        <w:rPr>
          <w:rFonts w:asciiTheme="majorBidi" w:hAnsiTheme="majorBidi" w:cstheme="majorBidi"/>
          <w:sz w:val="24"/>
          <w:szCs w:val="24"/>
        </w:rPr>
      </w:pPr>
    </w:p>
    <w:p w14:paraId="57228862" w14:textId="13EE1B4C" w:rsidR="006336FF" w:rsidRPr="00986305" w:rsidRDefault="00FA3DD0" w:rsidP="003F65E2">
      <w:pPr>
        <w:rPr>
          <w:rFonts w:asciiTheme="majorBidi" w:hAnsiTheme="majorBidi" w:cstheme="majorBidi"/>
          <w:sz w:val="24"/>
          <w:szCs w:val="24"/>
        </w:rPr>
      </w:pPr>
      <w:r>
        <w:rPr>
          <w:rFonts w:asciiTheme="majorBidi" w:hAnsiTheme="majorBidi" w:cstheme="majorBidi"/>
          <w:sz w:val="24"/>
          <w:szCs w:val="24"/>
        </w:rPr>
        <w:t>-</w:t>
      </w:r>
      <w:r w:rsidR="006336FF" w:rsidRPr="00986305">
        <w:rPr>
          <w:rFonts w:asciiTheme="majorBidi" w:hAnsiTheme="majorBidi" w:cstheme="majorBidi"/>
          <w:sz w:val="24"/>
          <w:szCs w:val="24"/>
        </w:rPr>
        <w:t xml:space="preserve">The Von Mises stress criterion evaluated material yielding under combined thermal and mechanical loads.  </w:t>
      </w:r>
    </w:p>
    <w:p w14:paraId="5071810E" w14:textId="0F3DBEEC" w:rsidR="000C7A10" w:rsidRPr="00986305" w:rsidRDefault="00F76A56"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ED21317" wp14:editId="6A2FA500">
            <wp:extent cx="5943600" cy="3695065"/>
            <wp:effectExtent l="0" t="0" r="0" b="635"/>
            <wp:docPr id="21305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5410" name=""/>
                    <pic:cNvPicPr/>
                  </pic:nvPicPr>
                  <pic:blipFill>
                    <a:blip r:embed="rId13"/>
                    <a:stretch>
                      <a:fillRect/>
                    </a:stretch>
                  </pic:blipFill>
                  <pic:spPr>
                    <a:xfrm>
                      <a:off x="0" y="0"/>
                      <a:ext cx="5943600" cy="3695065"/>
                    </a:xfrm>
                    <a:prstGeom prst="rect">
                      <a:avLst/>
                    </a:prstGeom>
                  </pic:spPr>
                </pic:pic>
              </a:graphicData>
            </a:graphic>
          </wp:inline>
        </w:drawing>
      </w:r>
    </w:p>
    <w:p w14:paraId="00F0AD22" w14:textId="573EE2A5" w:rsidR="00F76A56" w:rsidRPr="00986305" w:rsidRDefault="008D1A80"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289C10A" wp14:editId="0709E21F">
            <wp:extent cx="5943600" cy="3831590"/>
            <wp:effectExtent l="0" t="0" r="0" b="0"/>
            <wp:docPr id="10787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18972" name=""/>
                    <pic:cNvPicPr/>
                  </pic:nvPicPr>
                  <pic:blipFill>
                    <a:blip r:embed="rId14"/>
                    <a:stretch>
                      <a:fillRect/>
                    </a:stretch>
                  </pic:blipFill>
                  <pic:spPr>
                    <a:xfrm>
                      <a:off x="0" y="0"/>
                      <a:ext cx="5943600" cy="3831590"/>
                    </a:xfrm>
                    <a:prstGeom prst="rect">
                      <a:avLst/>
                    </a:prstGeom>
                  </pic:spPr>
                </pic:pic>
              </a:graphicData>
            </a:graphic>
          </wp:inline>
        </w:drawing>
      </w:r>
    </w:p>
    <w:p w14:paraId="7298C00C" w14:textId="5B32DCED" w:rsidR="008D1A80" w:rsidRPr="00986305" w:rsidRDefault="00EE1AA8"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9525207" wp14:editId="57614BFA">
            <wp:extent cx="5943600" cy="4079240"/>
            <wp:effectExtent l="0" t="0" r="0" b="0"/>
            <wp:docPr id="10928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07571" name=""/>
                    <pic:cNvPicPr/>
                  </pic:nvPicPr>
                  <pic:blipFill>
                    <a:blip r:embed="rId15"/>
                    <a:stretch>
                      <a:fillRect/>
                    </a:stretch>
                  </pic:blipFill>
                  <pic:spPr>
                    <a:xfrm>
                      <a:off x="0" y="0"/>
                      <a:ext cx="5943600" cy="4079240"/>
                    </a:xfrm>
                    <a:prstGeom prst="rect">
                      <a:avLst/>
                    </a:prstGeom>
                  </pic:spPr>
                </pic:pic>
              </a:graphicData>
            </a:graphic>
          </wp:inline>
        </w:drawing>
      </w:r>
    </w:p>
    <w:p w14:paraId="4C128D02" w14:textId="15A88D8F" w:rsidR="0030606E" w:rsidRPr="00986305" w:rsidRDefault="005532C3"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7E4B6AFB" wp14:editId="46368A2F">
            <wp:extent cx="5943600" cy="3329940"/>
            <wp:effectExtent l="0" t="0" r="0" b="3810"/>
            <wp:docPr id="3716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00374" name=""/>
                    <pic:cNvPicPr/>
                  </pic:nvPicPr>
                  <pic:blipFill>
                    <a:blip r:embed="rId16"/>
                    <a:stretch>
                      <a:fillRect/>
                    </a:stretch>
                  </pic:blipFill>
                  <pic:spPr>
                    <a:xfrm>
                      <a:off x="0" y="0"/>
                      <a:ext cx="5943600" cy="3329940"/>
                    </a:xfrm>
                    <a:prstGeom prst="rect">
                      <a:avLst/>
                    </a:prstGeom>
                  </pic:spPr>
                </pic:pic>
              </a:graphicData>
            </a:graphic>
          </wp:inline>
        </w:drawing>
      </w:r>
    </w:p>
    <w:p w14:paraId="55522245" w14:textId="72A50D0D" w:rsidR="000C7A10" w:rsidRPr="00986305" w:rsidRDefault="00CA0DEC" w:rsidP="00E55631">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743BB0A" wp14:editId="69A145E2">
            <wp:extent cx="5943600" cy="2269490"/>
            <wp:effectExtent l="0" t="0" r="0" b="0"/>
            <wp:docPr id="35276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2083" name=""/>
                    <pic:cNvPicPr/>
                  </pic:nvPicPr>
                  <pic:blipFill>
                    <a:blip r:embed="rId17"/>
                    <a:stretch>
                      <a:fillRect/>
                    </a:stretch>
                  </pic:blipFill>
                  <pic:spPr>
                    <a:xfrm>
                      <a:off x="0" y="0"/>
                      <a:ext cx="5943600" cy="2269490"/>
                    </a:xfrm>
                    <a:prstGeom prst="rect">
                      <a:avLst/>
                    </a:prstGeom>
                  </pic:spPr>
                </pic:pic>
              </a:graphicData>
            </a:graphic>
          </wp:inline>
        </w:drawing>
      </w:r>
    </w:p>
    <w:p w14:paraId="57228863" w14:textId="41AFAB98"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3.</w:t>
      </w:r>
      <w:r w:rsidR="003F082F">
        <w:rPr>
          <w:rFonts w:asciiTheme="majorBidi" w:hAnsiTheme="majorBidi" w:cstheme="majorBidi"/>
          <w:b/>
          <w:bCs/>
          <w:sz w:val="24"/>
          <w:szCs w:val="24"/>
        </w:rPr>
        <w:t>1.</w:t>
      </w:r>
      <w:r w:rsidRPr="00986305">
        <w:rPr>
          <w:rFonts w:asciiTheme="majorBidi" w:hAnsiTheme="majorBidi" w:cstheme="majorBidi"/>
          <w:b/>
          <w:bCs/>
          <w:sz w:val="24"/>
          <w:szCs w:val="24"/>
        </w:rPr>
        <w:t xml:space="preserve">4 Larson-Miller Parameter Model  </w:t>
      </w:r>
    </w:p>
    <w:p w14:paraId="57228864" w14:textId="136123B5"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Larson-Miller Parameter is defined as</w:t>
      </w:r>
      <w:r w:rsidR="008D1241" w:rsidRPr="00986305">
        <w:rPr>
          <w:rFonts w:asciiTheme="majorBidi" w:hAnsiTheme="majorBidi" w:cstheme="majorBidi"/>
          <w:sz w:val="24"/>
          <w:szCs w:val="24"/>
        </w:rPr>
        <w:t xml:space="preserve"> in Fig. (2)</w:t>
      </w:r>
      <w:r w:rsidRPr="00986305">
        <w:rPr>
          <w:rFonts w:asciiTheme="majorBidi" w:hAnsiTheme="majorBidi" w:cstheme="majorBidi"/>
          <w:sz w:val="24"/>
          <w:szCs w:val="24"/>
        </w:rPr>
        <w:t xml:space="preserve">:  </w:t>
      </w:r>
    </w:p>
    <w:p w14:paraId="57228865" w14:textId="77777777" w:rsidR="006336FF" w:rsidRPr="00986305" w:rsidRDefault="006336FF" w:rsidP="003F65E2">
      <w:pPr>
        <w:rPr>
          <w:rFonts w:asciiTheme="majorBidi" w:hAnsiTheme="majorBidi" w:cstheme="majorBidi"/>
          <w:sz w:val="24"/>
          <w:szCs w:val="24"/>
        </w:rPr>
      </w:pPr>
      <w:r w:rsidRPr="00986305">
        <w:rPr>
          <w:rFonts w:ascii="Cambria Math" w:hAnsi="Cambria Math" w:cs="Cambria Math"/>
          <w:sz w:val="24"/>
          <w:szCs w:val="24"/>
        </w:rPr>
        <w:t>𝑃</w:t>
      </w:r>
      <w:r w:rsidRPr="00986305">
        <w:rPr>
          <w:rFonts w:asciiTheme="majorBidi" w:hAnsiTheme="majorBidi" w:cstheme="majorBidi"/>
          <w:sz w:val="24"/>
          <w:szCs w:val="24"/>
        </w:rPr>
        <w:t>=</w:t>
      </w:r>
      <w:r w:rsidRPr="00986305">
        <w:rPr>
          <w:rFonts w:ascii="Cambria Math" w:hAnsi="Cambria Math" w:cs="Cambria Math"/>
          <w:sz w:val="24"/>
          <w:szCs w:val="24"/>
        </w:rPr>
        <w:t>𝑇</w:t>
      </w:r>
      <w:r w:rsidRPr="00986305">
        <w:rPr>
          <w:rFonts w:asciiTheme="majorBidi" w:hAnsiTheme="majorBidi" w:cstheme="majorBidi"/>
          <w:sz w:val="24"/>
          <w:szCs w:val="24"/>
        </w:rPr>
        <w:t xml:space="preserve"> (</w:t>
      </w:r>
      <w:r w:rsidRPr="00986305">
        <w:rPr>
          <w:rFonts w:ascii="Cambria Math" w:hAnsi="Cambria Math" w:cs="Cambria Math"/>
          <w:sz w:val="24"/>
          <w:szCs w:val="24"/>
        </w:rPr>
        <w:t>𝐶</w:t>
      </w:r>
      <w:r w:rsidRPr="00986305">
        <w:rPr>
          <w:rFonts w:asciiTheme="majorBidi" w:hAnsiTheme="majorBidi" w:cstheme="majorBidi"/>
          <w:sz w:val="24"/>
          <w:szCs w:val="24"/>
        </w:rPr>
        <w:t>+log10</w:t>
      </w:r>
      <w:r w:rsidRPr="00986305">
        <w:rPr>
          <w:rFonts w:ascii="Cambria Math" w:hAnsi="Cambria Math" w:cs="Cambria Math"/>
          <w:sz w:val="24"/>
          <w:szCs w:val="24"/>
        </w:rPr>
        <w:t>𝑡</w:t>
      </w:r>
      <w:r w:rsidRPr="00986305">
        <w:rPr>
          <w:rFonts w:asciiTheme="majorBidi" w:hAnsiTheme="majorBidi" w:cstheme="majorBidi"/>
          <w:sz w:val="24"/>
          <w:szCs w:val="24"/>
        </w:rPr>
        <w:t xml:space="preserve">)  </w:t>
      </w:r>
    </w:p>
    <w:p w14:paraId="57228866"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Where  </w:t>
      </w:r>
    </w:p>
    <w:p w14:paraId="57228867"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P</w:t>
      </w:r>
      <w:r w:rsidRPr="00986305">
        <w:rPr>
          <w:rFonts w:asciiTheme="majorBidi" w:hAnsiTheme="majorBidi" w:cstheme="majorBidi"/>
          <w:sz w:val="24"/>
          <w:szCs w:val="24"/>
        </w:rPr>
        <w:t xml:space="preserve"> = The Larson-Miller parameter  </w:t>
      </w:r>
    </w:p>
    <w:p w14:paraId="57228868"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T</w:t>
      </w:r>
      <w:r w:rsidRPr="00986305">
        <w:rPr>
          <w:rFonts w:asciiTheme="majorBidi" w:hAnsiTheme="majorBidi" w:cstheme="majorBidi"/>
          <w:sz w:val="24"/>
          <w:szCs w:val="24"/>
        </w:rPr>
        <w:t xml:space="preserve"> = Exposure temperature (typically in Kelvin or Rankin</w:t>
      </w:r>
      <w:r w:rsidR="00E934DF" w:rsidRPr="00986305">
        <w:rPr>
          <w:rFonts w:asciiTheme="majorBidi" w:hAnsiTheme="majorBidi" w:cstheme="majorBidi"/>
          <w:sz w:val="24"/>
          <w:szCs w:val="24"/>
        </w:rPr>
        <w:t>e</w:t>
      </w:r>
      <w:r w:rsidRPr="00986305">
        <w:rPr>
          <w:rFonts w:asciiTheme="majorBidi" w:hAnsiTheme="majorBidi" w:cstheme="majorBidi"/>
          <w:sz w:val="24"/>
          <w:szCs w:val="24"/>
        </w:rPr>
        <w:t xml:space="preserve">)  </w:t>
      </w:r>
    </w:p>
    <w:p w14:paraId="57228869"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t</w:t>
      </w:r>
      <w:r w:rsidRPr="00986305">
        <w:rPr>
          <w:rFonts w:asciiTheme="majorBidi" w:hAnsiTheme="majorBidi" w:cstheme="majorBidi"/>
          <w:sz w:val="24"/>
          <w:szCs w:val="24"/>
        </w:rPr>
        <w:t xml:space="preserve"> = Time to rupture (in hours)  </w:t>
      </w:r>
    </w:p>
    <w:p w14:paraId="4FF2F379" w14:textId="2433B8BC" w:rsidR="00A1475B" w:rsidRPr="00986305" w:rsidRDefault="006336FF" w:rsidP="007A28FD">
      <w:pPr>
        <w:pStyle w:val="ListParagraph"/>
        <w:numPr>
          <w:ilvl w:val="0"/>
          <w:numId w:val="5"/>
        </w:numPr>
        <w:ind w:left="0"/>
        <w:rPr>
          <w:rFonts w:asciiTheme="majorBidi" w:hAnsiTheme="majorBidi" w:cstheme="majorBidi"/>
          <w:sz w:val="24"/>
          <w:szCs w:val="24"/>
          <w:rtl/>
        </w:rPr>
      </w:pPr>
      <w:r w:rsidRPr="00986305">
        <w:rPr>
          <w:rFonts w:asciiTheme="majorBidi" w:hAnsiTheme="majorBidi" w:cstheme="majorBidi"/>
          <w:b/>
          <w:bCs/>
          <w:sz w:val="24"/>
          <w:szCs w:val="24"/>
        </w:rPr>
        <w:t>C</w:t>
      </w:r>
      <w:r w:rsidRPr="00986305">
        <w:rPr>
          <w:rFonts w:asciiTheme="majorBidi" w:hAnsiTheme="majorBidi" w:cstheme="majorBidi"/>
          <w:sz w:val="24"/>
          <w:szCs w:val="24"/>
        </w:rPr>
        <w:t xml:space="preserve"> = material constant  </w:t>
      </w:r>
    </w:p>
    <w:p w14:paraId="64AC3211" w14:textId="376F4054" w:rsidR="00A1475B" w:rsidRPr="00986305" w:rsidRDefault="00D77E82" w:rsidP="00BF5BCD">
      <w:pPr>
        <w:rPr>
          <w:rFonts w:asciiTheme="majorBidi" w:hAnsiTheme="majorBidi" w:cstheme="majorBidi"/>
          <w:sz w:val="24"/>
          <w:szCs w:val="24"/>
        </w:rPr>
      </w:pPr>
      <w:r w:rsidRPr="00D77E82">
        <w:rPr>
          <w:rFonts w:asciiTheme="majorBidi" w:hAnsiTheme="majorBidi" w:cstheme="majorBidi"/>
          <w:sz w:val="24"/>
          <w:szCs w:val="24"/>
        </w:rPr>
        <w:drawing>
          <wp:inline distT="0" distB="0" distL="0" distR="0" wp14:anchorId="4203B0A8" wp14:editId="4ABC18E0">
            <wp:extent cx="5943600" cy="3331845"/>
            <wp:effectExtent l="0" t="0" r="0" b="1905"/>
            <wp:docPr id="204000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00334" name=""/>
                    <pic:cNvPicPr/>
                  </pic:nvPicPr>
                  <pic:blipFill>
                    <a:blip r:embed="rId18"/>
                    <a:stretch>
                      <a:fillRect/>
                    </a:stretch>
                  </pic:blipFill>
                  <pic:spPr>
                    <a:xfrm>
                      <a:off x="0" y="0"/>
                      <a:ext cx="5943600" cy="3331845"/>
                    </a:xfrm>
                    <a:prstGeom prst="rect">
                      <a:avLst/>
                    </a:prstGeom>
                  </pic:spPr>
                </pic:pic>
              </a:graphicData>
            </a:graphic>
          </wp:inline>
        </w:drawing>
      </w:r>
    </w:p>
    <w:p w14:paraId="54682B5A" w14:textId="752135BA" w:rsidR="008D1241" w:rsidRPr="00986305" w:rsidRDefault="008D1241" w:rsidP="008D1241">
      <w:pPr>
        <w:ind w:left="-1152" w:right="-432"/>
        <w:jc w:val="center"/>
        <w:rPr>
          <w:rFonts w:asciiTheme="majorBidi" w:hAnsiTheme="majorBidi" w:cstheme="majorBidi"/>
          <w:sz w:val="24"/>
          <w:szCs w:val="24"/>
        </w:rPr>
      </w:pPr>
      <w:r w:rsidRPr="00986305">
        <w:rPr>
          <w:rFonts w:asciiTheme="majorBidi" w:hAnsiTheme="majorBidi" w:cstheme="majorBidi"/>
          <w:sz w:val="24"/>
          <w:szCs w:val="24"/>
        </w:rPr>
        <w:t>Fig. (2</w:t>
      </w:r>
      <w:r w:rsidR="0088465B">
        <w:rPr>
          <w:rFonts w:asciiTheme="majorBidi" w:hAnsiTheme="majorBidi" w:cstheme="majorBidi"/>
          <w:sz w:val="24"/>
          <w:szCs w:val="24"/>
        </w:rPr>
        <w:t>.1</w:t>
      </w:r>
      <w:r w:rsidRPr="00986305">
        <w:rPr>
          <w:rFonts w:asciiTheme="majorBidi" w:hAnsiTheme="majorBidi" w:cstheme="majorBidi"/>
          <w:sz w:val="24"/>
          <w:szCs w:val="24"/>
        </w:rPr>
        <w:t xml:space="preserve">) </w:t>
      </w:r>
      <w:proofErr w:type="spellStart"/>
      <w:r w:rsidRPr="00986305">
        <w:rPr>
          <w:rFonts w:asciiTheme="majorBidi" w:hAnsiTheme="majorBidi" w:cstheme="majorBidi"/>
          <w:sz w:val="24"/>
          <w:szCs w:val="24"/>
        </w:rPr>
        <w:t>Larsin</w:t>
      </w:r>
      <w:proofErr w:type="spellEnd"/>
      <w:r w:rsidRPr="00986305">
        <w:rPr>
          <w:rFonts w:asciiTheme="majorBidi" w:hAnsiTheme="majorBidi" w:cstheme="majorBidi"/>
          <w:sz w:val="24"/>
          <w:szCs w:val="24"/>
        </w:rPr>
        <w:t xml:space="preserve">-Miller Parameter </w:t>
      </w:r>
    </w:p>
    <w:p w14:paraId="5722886C" w14:textId="77777777" w:rsidR="00314A57" w:rsidRPr="00986305" w:rsidRDefault="00AB0195" w:rsidP="00E934DF">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7">
          <v:rect id="_x0000_i1029" style="width:468pt;height:1.5pt" o:hralign="center" o:hrstd="t" o:hr="t" fillcolor="#a0a0a0" stroked="f"/>
        </w:pict>
      </w:r>
    </w:p>
    <w:p w14:paraId="5722886D" w14:textId="77777777" w:rsidR="00E934DF" w:rsidRPr="00986305" w:rsidRDefault="00E934DF" w:rsidP="00E934DF">
      <w:pPr>
        <w:spacing w:after="0"/>
        <w:jc w:val="center"/>
        <w:rPr>
          <w:rFonts w:asciiTheme="majorBidi" w:eastAsia="Times New Roman" w:hAnsiTheme="majorBidi" w:cstheme="majorBidi"/>
          <w:sz w:val="24"/>
          <w:szCs w:val="24"/>
        </w:rPr>
      </w:pPr>
    </w:p>
    <w:p w14:paraId="774BEAC0" w14:textId="424C72CF" w:rsidR="00F96DE7"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 </w:t>
      </w:r>
      <w:r w:rsidR="00F96DE7">
        <w:rPr>
          <w:rFonts w:asciiTheme="majorBidi" w:hAnsiTheme="majorBidi" w:cstheme="majorBidi"/>
          <w:b/>
          <w:bCs/>
          <w:sz w:val="24"/>
          <w:szCs w:val="24"/>
        </w:rPr>
        <w:t xml:space="preserve">Chemical Reaction </w:t>
      </w:r>
      <w:r w:rsidR="007368F7">
        <w:rPr>
          <w:rFonts w:asciiTheme="majorBidi" w:hAnsiTheme="majorBidi" w:cstheme="majorBidi"/>
          <w:b/>
          <w:bCs/>
          <w:sz w:val="24"/>
          <w:szCs w:val="24"/>
        </w:rPr>
        <w:t xml:space="preserve">at Combustion Chamber </w:t>
      </w:r>
      <w:r w:rsidR="000B30E9">
        <w:rPr>
          <w:rFonts w:asciiTheme="majorBidi" w:hAnsiTheme="majorBidi" w:cstheme="majorBidi"/>
          <w:b/>
          <w:bCs/>
          <w:sz w:val="24"/>
          <w:szCs w:val="24"/>
        </w:rPr>
        <w:t>:</w:t>
      </w:r>
    </w:p>
    <w:p w14:paraId="76FEC425" w14:textId="5A2CAE62" w:rsidR="00F96DE7" w:rsidRDefault="000B30E9" w:rsidP="003F65E2">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72F4CA0E" wp14:editId="6192DCC7">
            <wp:extent cx="5944235" cy="4304030"/>
            <wp:effectExtent l="0" t="0" r="0" b="1270"/>
            <wp:docPr id="74211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235" cy="4304030"/>
                    </a:xfrm>
                    <a:prstGeom prst="rect">
                      <a:avLst/>
                    </a:prstGeom>
                    <a:noFill/>
                  </pic:spPr>
                </pic:pic>
              </a:graphicData>
            </a:graphic>
          </wp:inline>
        </w:drawing>
      </w:r>
    </w:p>
    <w:p w14:paraId="1607A110" w14:textId="698B51FD" w:rsidR="00174E20" w:rsidRDefault="00174E20" w:rsidP="003F65E2">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5E8D4672" wp14:editId="1FA72035">
            <wp:extent cx="5944235" cy="4194175"/>
            <wp:effectExtent l="0" t="0" r="0" b="0"/>
            <wp:docPr id="2057398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4194175"/>
                    </a:xfrm>
                    <a:prstGeom prst="rect">
                      <a:avLst/>
                    </a:prstGeom>
                    <a:noFill/>
                  </pic:spPr>
                </pic:pic>
              </a:graphicData>
            </a:graphic>
          </wp:inline>
        </w:drawing>
      </w:r>
    </w:p>
    <w:p w14:paraId="657C1F24" w14:textId="56C1A5DC" w:rsidR="00174E20" w:rsidRDefault="002279BD" w:rsidP="003F65E2">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4F8250F8" wp14:editId="2A429101">
            <wp:extent cx="5944235" cy="3767455"/>
            <wp:effectExtent l="0" t="0" r="0" b="4445"/>
            <wp:docPr id="1576760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235" cy="3767455"/>
                    </a:xfrm>
                    <a:prstGeom prst="rect">
                      <a:avLst/>
                    </a:prstGeom>
                    <a:noFill/>
                  </pic:spPr>
                </pic:pic>
              </a:graphicData>
            </a:graphic>
          </wp:inline>
        </w:drawing>
      </w:r>
    </w:p>
    <w:p w14:paraId="45EB89BF" w14:textId="147AF28E" w:rsidR="002279BD" w:rsidRDefault="009672F2" w:rsidP="003F65E2">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580B962" wp14:editId="4A4D59CD">
            <wp:extent cx="5944235" cy="2566670"/>
            <wp:effectExtent l="0" t="0" r="0" b="5080"/>
            <wp:docPr id="197550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235" cy="2566670"/>
                    </a:xfrm>
                    <a:prstGeom prst="rect">
                      <a:avLst/>
                    </a:prstGeom>
                    <a:noFill/>
                  </pic:spPr>
                </pic:pic>
              </a:graphicData>
            </a:graphic>
          </wp:inline>
        </w:drawing>
      </w:r>
    </w:p>
    <w:p w14:paraId="72B9F893" w14:textId="06BA2096" w:rsidR="0090790F" w:rsidRDefault="00AB0195" w:rsidP="003F65E2">
      <w:pPr>
        <w:rPr>
          <w:rFonts w:asciiTheme="majorBidi" w:hAnsiTheme="majorBidi" w:cstheme="majorBidi"/>
          <w:b/>
          <w:bCs/>
          <w:sz w:val="24"/>
          <w:szCs w:val="24"/>
        </w:rPr>
      </w:pPr>
      <w:r>
        <w:rPr>
          <w:rFonts w:asciiTheme="majorBidi" w:eastAsia="Times New Roman" w:hAnsiTheme="majorBidi" w:cstheme="majorBidi"/>
          <w:sz w:val="24"/>
          <w:szCs w:val="24"/>
        </w:rPr>
        <w:pict w14:anchorId="17FE02B2">
          <v:rect id="_x0000_i1030" style="width:468pt;height:1.5pt" o:hralign="center" o:hrstd="t" o:hr="t" fillcolor="#a0a0a0" stroked="f"/>
        </w:pict>
      </w:r>
    </w:p>
    <w:p w14:paraId="690C8AC9" w14:textId="482E1406" w:rsidR="001707DA" w:rsidRDefault="00527118" w:rsidP="003F65E2">
      <w:pPr>
        <w:rPr>
          <w:rFonts w:asciiTheme="majorBidi" w:hAnsiTheme="majorBidi" w:cstheme="majorBidi"/>
          <w:b/>
          <w:bCs/>
          <w:sz w:val="24"/>
          <w:szCs w:val="24"/>
          <w:rtl/>
        </w:rPr>
      </w:pPr>
      <w:r>
        <w:rPr>
          <w:rFonts w:asciiTheme="majorBidi" w:hAnsiTheme="majorBidi" w:cstheme="majorBidi"/>
          <w:b/>
          <w:bCs/>
          <w:sz w:val="24"/>
          <w:szCs w:val="24"/>
        </w:rPr>
        <w:t xml:space="preserve">Boundary Condition </w:t>
      </w:r>
      <w:r w:rsidR="00D705E0">
        <w:rPr>
          <w:rFonts w:asciiTheme="majorBidi" w:hAnsiTheme="majorBidi" w:cstheme="majorBidi"/>
          <w:b/>
          <w:bCs/>
          <w:sz w:val="24"/>
          <w:szCs w:val="24"/>
        </w:rPr>
        <w:t>and Validation Model :</w:t>
      </w:r>
    </w:p>
    <w:p w14:paraId="08032129" w14:textId="313F7AF8" w:rsidR="0073616C" w:rsidRDefault="0039313C" w:rsidP="0073616C">
      <w:pP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1824" behindDoc="1" locked="0" layoutInCell="1" allowOverlap="1" wp14:anchorId="5220FA50" wp14:editId="784178B2">
            <wp:simplePos x="0" y="0"/>
            <wp:positionH relativeFrom="column">
              <wp:posOffset>-685488</wp:posOffset>
            </wp:positionH>
            <wp:positionV relativeFrom="paragraph">
              <wp:posOffset>2165985</wp:posOffset>
            </wp:positionV>
            <wp:extent cx="2880360" cy="1691823"/>
            <wp:effectExtent l="0" t="0" r="0" b="3810"/>
            <wp:wrapTight wrapText="bothSides">
              <wp:wrapPolygon edited="0">
                <wp:start x="0" y="0"/>
                <wp:lineTo x="0" y="21405"/>
                <wp:lineTo x="21429" y="21405"/>
                <wp:lineTo x="21429" y="0"/>
                <wp:lineTo x="0" y="0"/>
              </wp:wrapPolygon>
            </wp:wrapTight>
            <wp:docPr id="18055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0360" cy="1691823"/>
                    </a:xfrm>
                    <a:prstGeom prst="rect">
                      <a:avLst/>
                    </a:prstGeom>
                    <a:noFill/>
                  </pic:spPr>
                </pic:pic>
              </a:graphicData>
            </a:graphic>
          </wp:anchor>
        </w:drawing>
      </w:r>
      <w:r w:rsidR="0073616C" w:rsidRPr="00933323">
        <w:rPr>
          <w:rFonts w:asciiTheme="majorBidi" w:hAnsiTheme="majorBidi" w:cstheme="majorBidi"/>
          <w:sz w:val="24"/>
          <w:szCs w:val="24"/>
        </w:rPr>
        <w:t>To establish a kinematically stable numerical simulation and evaluate the severe thermo-mechanical stresses, a well-defined set of boundary conditions and kinematic constraints was instituted. As systematically summarized in Table 1 and illustrated in the computational domain configurations, the primary structural boundary condition involves a rigid anchorage designated as Fixed Constraint:1</w:t>
      </w:r>
      <w:r w:rsidR="0088465B">
        <w:rPr>
          <w:rFonts w:asciiTheme="majorBidi" w:hAnsiTheme="majorBidi" w:cstheme="majorBidi"/>
          <w:sz w:val="24"/>
          <w:szCs w:val="24"/>
        </w:rPr>
        <w:t xml:space="preserve"> as Shown in Fig(2.2)</w:t>
      </w:r>
      <w:r w:rsidR="0073616C" w:rsidRPr="00933323">
        <w:rPr>
          <w:rFonts w:asciiTheme="majorBidi" w:hAnsiTheme="majorBidi" w:cstheme="majorBidi"/>
          <w:sz w:val="24"/>
          <w:szCs w:val="24"/>
        </w:rPr>
        <w:t xml:space="preserve">. This constraint was prescribed on the main circular mounting flange interface (as depicted in the respective highlighted faces). By setting all translational and rotational degrees of freedom to absolute zero (U_x = U_y = U_z = 0 and </w:t>
      </w:r>
      <m:oMath>
        <m:sSub>
          <m:sSubPr>
            <m:ctrlPr>
              <w:rPr>
                <w:rFonts w:ascii="Cambria Math" w:hAnsi="Cambria Math" w:cstheme="majorBidi"/>
                <w:sz w:val="24"/>
                <w:szCs w:val="24"/>
              </w:rPr>
            </m:ctrlPr>
          </m:sSubPr>
          <m:e>
            <m:r>
              <w:rPr>
                <w:rFonts w:ascii="Cambria Math" w:hAnsi="Cambria Math" w:cstheme="majorBidi"/>
                <w:sz w:val="24"/>
                <w:szCs w:val="24"/>
              </w:rPr>
              <m:t>θ</m:t>
            </m:r>
          </m:e>
          <m:sub>
            <m:r>
              <w:rPr>
                <w:rFonts w:ascii="Cambria Math" w:hAnsi="Cambria Math" w:cstheme="majorBidi"/>
                <w:sz w:val="24"/>
                <w:szCs w:val="24"/>
              </w:rPr>
              <m:t>x</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θ</m:t>
            </m:r>
          </m:e>
          <m:sub>
            <m:r>
              <w:rPr>
                <w:rFonts w:ascii="Cambria Math" w:hAnsi="Cambria Math" w:cstheme="majorBidi"/>
                <w:sz w:val="24"/>
                <w:szCs w:val="24"/>
              </w:rPr>
              <m:t>y</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θ</m:t>
            </m:r>
          </m:e>
          <m:sub>
            <m:r>
              <w:rPr>
                <w:rFonts w:ascii="Cambria Math" w:hAnsi="Cambria Math" w:cstheme="majorBidi"/>
                <w:sz w:val="24"/>
                <w:szCs w:val="24"/>
              </w:rPr>
              <m:t>z</m:t>
            </m:r>
          </m:sub>
        </m:sSub>
        <m:r>
          <w:rPr>
            <w:rFonts w:ascii="Cambria Math" w:hAnsi="Cambria Math" w:cstheme="majorBidi"/>
            <w:sz w:val="24"/>
            <w:szCs w:val="24"/>
          </w:rPr>
          <m:t>=0</m:t>
        </m:r>
      </m:oMath>
      <w:r w:rsidR="0073616C" w:rsidRPr="00933323">
        <w:rPr>
          <w:rFonts w:asciiTheme="majorBidi" w:hAnsiTheme="majorBidi" w:cstheme="majorBidi"/>
          <w:sz w:val="24"/>
          <w:szCs w:val="24"/>
        </w:rPr>
        <w:t>), any rigid body translation or rotation was strictly eliminated, effectively replicating the physical bolted connection of the component within the assembly.</w:t>
      </w:r>
      <w:r w:rsidRPr="0039313C">
        <w:rPr>
          <w:rFonts w:asciiTheme="majorBidi" w:hAnsiTheme="majorBidi" w:cstheme="majorBidi"/>
          <w:noProof/>
          <w:sz w:val="24"/>
          <w:szCs w:val="24"/>
        </w:rPr>
        <w:t xml:space="preserve"> </w:t>
      </w:r>
    </w:p>
    <w:p w14:paraId="52834FC3" w14:textId="6632DA37" w:rsidR="00151BDE" w:rsidRDefault="0039313C" w:rsidP="00151BDE">
      <w:pPr>
        <w:rPr>
          <w:rFonts w:asciiTheme="majorBidi" w:hAnsiTheme="majorBidi" w:cstheme="majorBidi"/>
          <w:sz w:val="24"/>
          <w:szCs w:val="24"/>
          <w:rtl/>
          <w:lang w:bidi="ar-EG"/>
        </w:rPr>
      </w:pPr>
      <w:r>
        <w:rPr>
          <w:rFonts w:asciiTheme="majorBidi" w:hAnsiTheme="majorBidi" w:cstheme="majorBidi"/>
          <w:noProof/>
          <w:sz w:val="24"/>
          <w:szCs w:val="24"/>
        </w:rPr>
        <w:drawing>
          <wp:anchor distT="0" distB="0" distL="114300" distR="114300" simplePos="0" relativeHeight="251662848" behindDoc="1" locked="0" layoutInCell="1" allowOverlap="1" wp14:anchorId="0E27DE0C" wp14:editId="687D50CF">
            <wp:simplePos x="0" y="0"/>
            <wp:positionH relativeFrom="column">
              <wp:posOffset>2141220</wp:posOffset>
            </wp:positionH>
            <wp:positionV relativeFrom="paragraph">
              <wp:posOffset>50800</wp:posOffset>
            </wp:positionV>
            <wp:extent cx="3857625" cy="2264410"/>
            <wp:effectExtent l="0" t="0" r="9525" b="2540"/>
            <wp:wrapTight wrapText="bothSides">
              <wp:wrapPolygon edited="0">
                <wp:start x="0" y="0"/>
                <wp:lineTo x="0" y="21443"/>
                <wp:lineTo x="21547" y="21443"/>
                <wp:lineTo x="21547" y="0"/>
                <wp:lineTo x="0" y="0"/>
              </wp:wrapPolygon>
            </wp:wrapTight>
            <wp:docPr id="131962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57625" cy="2264410"/>
                    </a:xfrm>
                    <a:prstGeom prst="rect">
                      <a:avLst/>
                    </a:prstGeom>
                    <a:noFill/>
                  </pic:spPr>
                </pic:pic>
              </a:graphicData>
            </a:graphic>
          </wp:anchor>
        </w:drawing>
      </w:r>
      <w:r w:rsidR="00151BDE">
        <w:rPr>
          <w:rFonts w:asciiTheme="majorBidi" w:hAnsiTheme="majorBidi" w:cstheme="majorBidi"/>
          <w:sz w:val="24"/>
          <w:szCs w:val="24"/>
        </w:rPr>
        <w:t xml:space="preserve">  </w:t>
      </w:r>
    </w:p>
    <w:p w14:paraId="4578BED7" w14:textId="320ADFA7" w:rsidR="00151BDE" w:rsidRDefault="00151BDE" w:rsidP="0088465B">
      <w:pPr>
        <w:ind w:left="-2736"/>
        <w:jc w:val="center"/>
        <w:rPr>
          <w:rFonts w:asciiTheme="majorBidi" w:hAnsiTheme="majorBidi" w:cstheme="majorBidi"/>
          <w:sz w:val="24"/>
          <w:szCs w:val="24"/>
          <w:rtl/>
        </w:rPr>
      </w:pPr>
      <w:r>
        <w:rPr>
          <w:rFonts w:asciiTheme="majorBidi" w:hAnsiTheme="majorBidi" w:cstheme="majorBidi"/>
          <w:sz w:val="24"/>
          <w:szCs w:val="24"/>
        </w:rPr>
        <w:t>Table 1</w:t>
      </w:r>
    </w:p>
    <w:p w14:paraId="03A2DD82" w14:textId="7469C428" w:rsidR="0039313C" w:rsidRPr="00933323" w:rsidRDefault="0088465B" w:rsidP="0088465B">
      <w:pPr>
        <w:ind w:left="4464"/>
        <w:jc w:val="center"/>
        <w:rPr>
          <w:rFonts w:asciiTheme="majorBidi" w:hAnsiTheme="majorBidi" w:cstheme="majorBidi"/>
          <w:sz w:val="24"/>
          <w:szCs w:val="24"/>
        </w:rPr>
      </w:pPr>
      <w:r>
        <w:rPr>
          <w:rFonts w:asciiTheme="majorBidi" w:hAnsiTheme="majorBidi" w:cstheme="majorBidi"/>
          <w:sz w:val="24"/>
          <w:szCs w:val="24"/>
        </w:rPr>
        <w:t>Fig(2.2)</w:t>
      </w:r>
    </w:p>
    <w:p w14:paraId="33A8EDAA" w14:textId="5A0919DB" w:rsidR="00F96DE7" w:rsidRPr="00933323" w:rsidRDefault="0073616C" w:rsidP="00933323">
      <w:pPr>
        <w:rPr>
          <w:rFonts w:asciiTheme="majorBidi" w:hAnsiTheme="majorBidi" w:cstheme="majorBidi"/>
          <w:sz w:val="24"/>
          <w:szCs w:val="24"/>
          <w:lang w:bidi="ar-EG"/>
        </w:rPr>
      </w:pPr>
      <w:r w:rsidRPr="00933323">
        <w:rPr>
          <w:rFonts w:asciiTheme="majorBidi" w:hAnsiTheme="majorBidi" w:cstheme="majorBidi"/>
          <w:sz w:val="24"/>
          <w:szCs w:val="24"/>
        </w:rPr>
        <w:t>Simultaneously, environmental operational conditions were imposed; a uniform thermal profile representing an operating temperature of Top = 800</w:t>
      </w:r>
      <m:oMath>
        <m:sSub>
          <m:sSubPr>
            <m:ctrlPr>
              <w:rPr>
                <w:rFonts w:ascii="Cambria Math" w:hAnsi="Cambria Math" w:cstheme="majorBidi"/>
                <w:sz w:val="24"/>
                <w:szCs w:val="24"/>
              </w:rPr>
            </m:ctrlPr>
          </m:sSubPr>
          <m:e>
            <m:r>
              <w:rPr>
                <w:rFonts w:ascii="Cambria Math" w:hAnsi="Cambria Math" w:cstheme="majorBidi"/>
                <w:sz w:val="24"/>
                <w:szCs w:val="24"/>
              </w:rPr>
              <m:t>T</m:t>
            </m:r>
          </m:e>
          <m:sub>
            <m:r>
              <w:rPr>
                <w:rFonts w:ascii="Cambria Math" w:hAnsi="Cambria Math" w:cstheme="majorBidi"/>
                <w:sz w:val="24"/>
                <w:szCs w:val="24"/>
              </w:rPr>
              <m:t>op</m:t>
            </m:r>
          </m:sub>
        </m:sSub>
        <m: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800</m:t>
            </m:r>
          </m:e>
          <m:sup>
            <m:r>
              <w:rPr>
                <w:rFonts w:ascii="Cambria Math" w:hAnsi="Cambria Math" w:cstheme="majorBidi"/>
                <w:sz w:val="24"/>
                <w:szCs w:val="24"/>
              </w:rPr>
              <m:t>∘</m:t>
            </m:r>
          </m:sup>
        </m:sSup>
        <m:r>
          <m:rPr>
            <m:nor/>
          </m:rPr>
          <w:rPr>
            <w:rFonts w:asciiTheme="majorBidi" w:hAnsiTheme="majorBidi" w:cstheme="majorBidi"/>
            <w:sz w:val="24"/>
            <w:szCs w:val="24"/>
          </w:rPr>
          <m:t>C</m:t>
        </m:r>
      </m:oMath>
      <w:r w:rsidRPr="00933323">
        <w:rPr>
          <w:rFonts w:asciiTheme="majorBidi" w:hAnsiTheme="majorBidi" w:cstheme="majorBidi"/>
          <w:sz w:val="24"/>
          <w:szCs w:val="24"/>
        </w:rPr>
        <w:t xml:space="preserve"> was activated across the exposure surfaces to account for intense thermal gradients. Concurrently, a uniaxial mechanical load of 100 kN was sustained along the negative X-direction (F_x = -100,000 N), while secondary orthogonal forces were maintained at null values (</w:t>
      </w:r>
      <w:proofErr w:type="spellStart"/>
      <w:r w:rsidRPr="00933323">
        <w:rPr>
          <w:rFonts w:asciiTheme="majorBidi" w:hAnsiTheme="majorBidi" w:cstheme="majorBidi"/>
          <w:sz w:val="24"/>
          <w:szCs w:val="24"/>
        </w:rPr>
        <w:t>F_y</w:t>
      </w:r>
      <w:proofErr w:type="spellEnd"/>
      <w:r w:rsidRPr="00933323">
        <w:rPr>
          <w:rFonts w:asciiTheme="majorBidi" w:hAnsiTheme="majorBidi" w:cstheme="majorBidi"/>
          <w:sz w:val="24"/>
          <w:szCs w:val="24"/>
        </w:rPr>
        <w:t xml:space="preserve"> = </w:t>
      </w:r>
      <w:proofErr w:type="spellStart"/>
      <w:r w:rsidRPr="00933323">
        <w:rPr>
          <w:rFonts w:asciiTheme="majorBidi" w:hAnsiTheme="majorBidi" w:cstheme="majorBidi"/>
          <w:sz w:val="24"/>
          <w:szCs w:val="24"/>
        </w:rPr>
        <w:t>F_z</w:t>
      </w:r>
      <w:proofErr w:type="spellEnd"/>
      <w:r w:rsidRPr="00933323">
        <w:rPr>
          <w:rFonts w:asciiTheme="majorBidi" w:hAnsiTheme="majorBidi" w:cstheme="majorBidi"/>
          <w:sz w:val="24"/>
          <w:szCs w:val="24"/>
        </w:rPr>
        <w:t xml:space="preserve"> = 0.0 N).</w:t>
      </w:r>
    </w:p>
    <w:p w14:paraId="3EBE40A1" w14:textId="1016D1E8" w:rsidR="00F96DE7" w:rsidRDefault="000D4FA5" w:rsidP="000D4FA5">
      <w:pPr>
        <w:rPr>
          <w:rFonts w:asciiTheme="majorBidi" w:hAnsiTheme="majorBidi" w:cstheme="majorBidi"/>
          <w:b/>
          <w:bCs/>
          <w:sz w:val="24"/>
          <w:szCs w:val="24"/>
        </w:rPr>
      </w:pPr>
      <w:r w:rsidRPr="000D4FA5">
        <w:rPr>
          <w:rFonts w:asciiTheme="majorBidi" w:hAnsiTheme="majorBidi" w:cstheme="majorBidi"/>
          <w:b/>
          <w:bCs/>
          <w:sz w:val="24"/>
          <w:szCs w:val="24"/>
        </w:rPr>
        <w:t>Numerical Validation and Stress Distribution Analysis</w:t>
      </w:r>
      <w:r>
        <w:rPr>
          <w:rFonts w:asciiTheme="majorBidi" w:hAnsiTheme="majorBidi" w:cstheme="majorBidi"/>
          <w:b/>
          <w:bCs/>
          <w:sz w:val="24"/>
          <w:szCs w:val="24"/>
        </w:rPr>
        <w:t>:</w:t>
      </w:r>
    </w:p>
    <w:p w14:paraId="6D7837DB" w14:textId="261863CD" w:rsidR="00F96DE7" w:rsidRPr="00431438" w:rsidRDefault="000D4FA5" w:rsidP="003F65E2">
      <w:pPr>
        <w:rPr>
          <w:rFonts w:asciiTheme="majorBidi" w:hAnsiTheme="majorBidi" w:cstheme="majorBidi"/>
          <w:sz w:val="24"/>
          <w:szCs w:val="24"/>
        </w:rPr>
      </w:pPr>
      <w:r w:rsidRPr="00431438">
        <w:rPr>
          <w:rFonts w:asciiTheme="majorBidi" w:hAnsiTheme="majorBidi" w:cstheme="majorBidi"/>
          <w:sz w:val="24"/>
          <w:szCs w:val="24"/>
        </w:rPr>
        <w:t xml:space="preserve">To validate the structural reliability of the finite element model, the longitudinal stress distribution was evaluated under a normative axial load of 50,000\ N against the analytical geometric variations, as illustrated in </w:t>
      </w:r>
      <w:r w:rsidR="0025458B">
        <w:rPr>
          <w:rFonts w:asciiTheme="majorBidi" w:hAnsiTheme="majorBidi" w:cstheme="majorBidi"/>
          <w:sz w:val="24"/>
          <w:szCs w:val="24"/>
        </w:rPr>
        <w:t>S-N Fig</w:t>
      </w:r>
      <w:r w:rsidRPr="00431438">
        <w:rPr>
          <w:rFonts w:asciiTheme="majorBidi" w:hAnsiTheme="majorBidi" w:cstheme="majorBidi"/>
          <w:sz w:val="24"/>
          <w:szCs w:val="24"/>
        </w:rPr>
        <w:t xml:space="preserve">. The numerical solver effectively captures the geometric-induced stress concentration phenomena across the variable cross-sections of the solid steel </w:t>
      </w:r>
      <w:r w:rsidR="00431438" w:rsidRPr="00431438">
        <w:rPr>
          <w:rFonts w:asciiTheme="majorBidi" w:hAnsiTheme="majorBidi" w:cstheme="majorBidi"/>
          <w:sz w:val="24"/>
          <w:szCs w:val="24"/>
        </w:rPr>
        <w:t>component. A</w:t>
      </w:r>
      <w:r w:rsidRPr="00431438">
        <w:rPr>
          <w:rFonts w:asciiTheme="majorBidi" w:hAnsiTheme="majorBidi" w:cstheme="majorBidi"/>
          <w:sz w:val="24"/>
          <w:szCs w:val="24"/>
        </w:rPr>
        <w:t xml:space="preserve"> comprehensive correlation is observed between the sectional area reduction and the local stress amplification. As demonstrated in the axial profiles, two primary stress concentrations emerge along the longitudinal axis (X-axis):</w:t>
      </w:r>
    </w:p>
    <w:p w14:paraId="11DDC2E7" w14:textId="0B288946" w:rsidR="000D4FA5" w:rsidRPr="00431438" w:rsidRDefault="00431438" w:rsidP="003F65E2">
      <w:pPr>
        <w:rPr>
          <w:rFonts w:asciiTheme="majorBidi" w:hAnsiTheme="majorBidi" w:cstheme="majorBidi"/>
          <w:sz w:val="24"/>
          <w:szCs w:val="24"/>
        </w:rPr>
      </w:pPr>
      <w:r w:rsidRPr="00431438">
        <w:rPr>
          <w:rFonts w:asciiTheme="majorBidi" w:hAnsiTheme="majorBidi" w:cstheme="majorBidi"/>
          <w:sz w:val="24"/>
          <w:szCs w:val="24"/>
        </w:rPr>
        <w:t>Peak Stress A: Evaluated at the large flange junction (X = 328.7 mm), revealing a localized normal stress of approximately 220 MPa.Peak Stress B: Identified at the small flange transition ( = 1021.3 mm), where the sectional area reaches its localized minimum. This geometric constriction triggers a severe stress spike, escalating the computed stress to a peak value of 355MPa</w:t>
      </w:r>
    </w:p>
    <w:p w14:paraId="26013C56" w14:textId="566CEE61" w:rsidR="00431438" w:rsidRDefault="0025458B" w:rsidP="0088465B">
      <w:pP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659776" behindDoc="1" locked="0" layoutInCell="1" allowOverlap="1" wp14:anchorId="01793FDF" wp14:editId="29AF8A3C">
            <wp:simplePos x="0" y="0"/>
            <wp:positionH relativeFrom="column">
              <wp:posOffset>68580</wp:posOffset>
            </wp:positionH>
            <wp:positionV relativeFrom="paragraph">
              <wp:posOffset>1334135</wp:posOffset>
            </wp:positionV>
            <wp:extent cx="5577840" cy="4188460"/>
            <wp:effectExtent l="0" t="0" r="3810" b="2540"/>
            <wp:wrapTight wrapText="bothSides">
              <wp:wrapPolygon edited="0">
                <wp:start x="0" y="0"/>
                <wp:lineTo x="0" y="21515"/>
                <wp:lineTo x="21541" y="21515"/>
                <wp:lineTo x="21541" y="0"/>
                <wp:lineTo x="0" y="0"/>
              </wp:wrapPolygon>
            </wp:wrapTight>
            <wp:docPr id="68044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6636" name="Picture 6804466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7840" cy="4188460"/>
                    </a:xfrm>
                    <a:prstGeom prst="rect">
                      <a:avLst/>
                    </a:prstGeom>
                  </pic:spPr>
                </pic:pic>
              </a:graphicData>
            </a:graphic>
            <wp14:sizeRelH relativeFrom="margin">
              <wp14:pctWidth>0</wp14:pctWidth>
            </wp14:sizeRelH>
            <wp14:sizeRelV relativeFrom="margin">
              <wp14:pctHeight>0</wp14:pctHeight>
            </wp14:sizeRelV>
          </wp:anchor>
        </w:drawing>
      </w:r>
      <w:r w:rsidR="00431438" w:rsidRPr="00431438">
        <w:rPr>
          <w:rFonts w:asciiTheme="majorBidi" w:hAnsiTheme="majorBidi" w:cstheme="majorBidi"/>
          <w:sz w:val="24"/>
          <w:szCs w:val="24"/>
        </w:rPr>
        <w:t>Critically, this maximum stress amplitude directly converges with the material’s theoretical elastic threshold (Steel Yield Strength Limit = 355MPa). This precise alignment validates the numerical mesh sensitivity and boundary condition fidelity, conclusively establishing the region around X = 1021 mmas the primary critical zone prone to structural fatigue and micro-yielding. This localized high-stress signature serves as the baseline validation for the subsequent residual useful life predictions under coupled thermo-mechanical operation AS Shown of S-N Curve</w:t>
      </w:r>
    </w:p>
    <w:p w14:paraId="4512D1F9" w14:textId="7AD6033A" w:rsidR="00431438" w:rsidRDefault="00431438" w:rsidP="00431438">
      <w:pPr>
        <w:jc w:val="center"/>
        <w:rPr>
          <w:rFonts w:asciiTheme="majorBidi" w:hAnsiTheme="majorBidi" w:cstheme="majorBidi"/>
          <w:b/>
          <w:bCs/>
          <w:sz w:val="24"/>
          <w:szCs w:val="24"/>
        </w:rPr>
      </w:pPr>
      <w:r>
        <w:rPr>
          <w:rFonts w:asciiTheme="majorBidi" w:hAnsiTheme="majorBidi" w:cstheme="majorBidi"/>
          <w:b/>
          <w:bCs/>
          <w:sz w:val="24"/>
          <w:szCs w:val="24"/>
        </w:rPr>
        <w:t>S-N Curves</w:t>
      </w:r>
    </w:p>
    <w:p w14:paraId="08B59D97" w14:textId="77777777" w:rsidR="002A4E2A" w:rsidRDefault="002A4E2A" w:rsidP="003F65E2">
      <w:pPr>
        <w:rPr>
          <w:rFonts w:asciiTheme="majorBidi" w:hAnsiTheme="majorBidi" w:cstheme="majorBidi"/>
          <w:b/>
          <w:bCs/>
          <w:sz w:val="24"/>
          <w:szCs w:val="24"/>
        </w:rPr>
      </w:pPr>
    </w:p>
    <w:p w14:paraId="111A54A0" w14:textId="77777777" w:rsidR="0088465B" w:rsidRDefault="0088465B" w:rsidP="003F65E2">
      <w:pPr>
        <w:rPr>
          <w:rFonts w:asciiTheme="majorBidi" w:hAnsiTheme="majorBidi" w:cstheme="majorBidi"/>
          <w:b/>
          <w:bCs/>
          <w:sz w:val="24"/>
          <w:szCs w:val="24"/>
        </w:rPr>
      </w:pPr>
    </w:p>
    <w:p w14:paraId="7691E78C" w14:textId="77777777" w:rsidR="0088465B" w:rsidRDefault="0088465B" w:rsidP="003F65E2">
      <w:pPr>
        <w:rPr>
          <w:rFonts w:asciiTheme="majorBidi" w:hAnsiTheme="majorBidi" w:cstheme="majorBidi"/>
          <w:b/>
          <w:bCs/>
          <w:sz w:val="24"/>
          <w:szCs w:val="24"/>
        </w:rPr>
      </w:pPr>
    </w:p>
    <w:p w14:paraId="48E8D7F4" w14:textId="54800C94" w:rsidR="00E236A9" w:rsidRDefault="00E236A9" w:rsidP="003F65E2">
      <w:r>
        <w:rPr>
          <w:rFonts w:asciiTheme="majorBidi" w:hAnsiTheme="majorBidi" w:cstheme="majorBidi"/>
          <w:b/>
          <w:bCs/>
          <w:sz w:val="24"/>
          <w:szCs w:val="24"/>
        </w:rPr>
        <w:t>-</w:t>
      </w:r>
      <w:r>
        <w:t>Quantitative Validation and Relative Error Assessment:</w:t>
      </w:r>
    </w:p>
    <w:tbl>
      <w:tblPr>
        <w:tblW w:w="9802" w:type="dxa"/>
        <w:tblCellSpacing w:w="15" w:type="dxa"/>
        <w:tblLayout w:type="fixed"/>
        <w:tblCellMar>
          <w:left w:w="0" w:type="dxa"/>
          <w:right w:w="0" w:type="dxa"/>
        </w:tblCellMar>
        <w:tblLook w:val="04A0" w:firstRow="1" w:lastRow="0" w:firstColumn="1" w:lastColumn="0" w:noHBand="0" w:noVBand="1"/>
      </w:tblPr>
      <w:tblGrid>
        <w:gridCol w:w="1681"/>
        <w:gridCol w:w="1385"/>
        <w:gridCol w:w="1525"/>
        <w:gridCol w:w="1575"/>
        <w:gridCol w:w="1476"/>
        <w:gridCol w:w="2160"/>
      </w:tblGrid>
      <w:tr w:rsidR="00E236A9" w:rsidRPr="00E236A9" w14:paraId="1B34B932" w14:textId="77777777" w:rsidTr="00E236A9">
        <w:trPr>
          <w:tblHeade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4E6FD"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Evaluation Point / Location</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E40F6"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Axial Position, X (mm)</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F2164"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Reference Yield Strength (MPa)</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0D545"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Calculated Numerical Stress (MPa)</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266AB"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Relative Error (%)</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9AD93"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Validation Status</w:t>
            </w:r>
          </w:p>
        </w:tc>
      </w:tr>
      <w:tr w:rsidR="00E236A9" w:rsidRPr="00E236A9" w14:paraId="4CE12191" w14:textId="77777777" w:rsidTr="00E236A9">
        <w:trP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17001"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Initial Benchmark</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2C316" w14:textId="2E890FCE"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0.0</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2EBF9" w14:textId="3D77757E"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38626" w14:textId="50C54816"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222.0</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E3FB7" w14:textId="2430758B"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37.46\%</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F1624"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Safe (Elastic Zone)</w:t>
            </w:r>
          </w:p>
        </w:tc>
      </w:tr>
      <w:tr w:rsidR="00E236A9" w:rsidRPr="00E236A9" w14:paraId="3D5D24C0" w14:textId="77777777" w:rsidTr="00E236A9">
        <w:trP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1A43E"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Peak Stress A (Large Flange)</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6E64B" w14:textId="0AF8B78A"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328.7</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DAA2E" w14:textId="683D7FDD"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685DF" w14:textId="1E117C01"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220.0</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A89B6" w14:textId="6F692100"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38.02\%</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1F2D2"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Safe (Elastic Zone)</w:t>
            </w:r>
          </w:p>
        </w:tc>
      </w:tr>
      <w:tr w:rsidR="00E236A9" w:rsidRPr="00E236A9" w14:paraId="74CFF4FE" w14:textId="77777777" w:rsidTr="00E236A9">
        <w:trP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7B803"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Sub-Peak Transition</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B11E5" w14:textId="6E33122E"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600.0</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A70FB" w14:textId="26416980"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D3183" w14:textId="5EECBF6E"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311.3</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150D3" w14:textId="11B89105"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12.31\%</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66725"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High Stress / Acceptable</w:t>
            </w:r>
          </w:p>
        </w:tc>
      </w:tr>
      <w:tr w:rsidR="00E236A9" w:rsidRPr="00E236A9" w14:paraId="2BBE7AB2" w14:textId="77777777" w:rsidTr="00E236A9">
        <w:trP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6AC88"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Peak Stress B (Critical Zone)</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5CBC6" w14:textId="5F1A3646"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1021.3</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75A20" w14:textId="6171386A"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94662" w14:textId="1B220FD0"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DDF64" w14:textId="4D98A5AA" w:rsidR="00E236A9" w:rsidRPr="00E236A9" w:rsidRDefault="00E236A9" w:rsidP="00E236A9">
            <w:pPr>
              <w:spacing w:after="0" w:line="240" w:lineRule="auto"/>
              <w:rPr>
                <w:rFonts w:ascii="Arial" w:eastAsia="Times New Roman" w:hAnsi="Arial" w:cs="Arial"/>
                <w:color w:val="1F1F1F"/>
                <w:sz w:val="24"/>
                <w:szCs w:val="24"/>
                <w:rtl/>
                <w:lang w:bidi="ar-EG"/>
              </w:rPr>
            </w:pPr>
            <w:r w:rsidRPr="00E236A9">
              <w:rPr>
                <w:rFonts w:ascii="Arial" w:eastAsia="Times New Roman" w:hAnsi="Arial" w:cs="Arial"/>
                <w:b/>
                <w:bCs/>
                <w:color w:val="1F1F1F"/>
                <w:sz w:val="24"/>
                <w:szCs w:val="24"/>
                <w:bdr w:val="none" w:sz="0" w:space="0" w:color="auto" w:frame="1"/>
              </w:rPr>
              <w:t>0.00\%</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FC53C"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Perfect Convergence</w:t>
            </w:r>
          </w:p>
        </w:tc>
      </w:tr>
    </w:tbl>
    <w:p w14:paraId="79BD223F" w14:textId="5BE04C0A" w:rsidR="00515395" w:rsidRDefault="00515395" w:rsidP="0051539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 (2)</w:t>
      </w:r>
    </w:p>
    <w:p w14:paraId="5E548F21" w14:textId="77777777" w:rsidR="00515395" w:rsidRDefault="00515395" w:rsidP="00E236A9">
      <w:pPr>
        <w:spacing w:after="0" w:line="240" w:lineRule="auto"/>
        <w:rPr>
          <w:rFonts w:ascii="Times New Roman" w:eastAsia="Times New Roman" w:hAnsi="Times New Roman" w:cs="Times New Roman"/>
          <w:sz w:val="24"/>
          <w:szCs w:val="24"/>
        </w:rPr>
      </w:pPr>
    </w:p>
    <w:p w14:paraId="0DDF9B5B" w14:textId="68419E75" w:rsidR="00E236A9" w:rsidRPr="00E236A9" w:rsidRDefault="00E236A9" w:rsidP="00E23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E236A9">
        <w:rPr>
          <w:rFonts w:ascii="Times New Roman" w:eastAsia="Times New Roman" w:hAnsi="Times New Roman" w:cs="Times New Roman"/>
          <w:sz w:val="24"/>
          <w:szCs w:val="24"/>
        </w:rPr>
        <w:t>o rigorously verify the predictive fidelity of the developed finite element model, the numerical stress responses were systematically validated against the material’s nominal yield strength threshold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yield</m:t>
            </m:r>
          </m:sub>
        </m:sSub>
        <m:r>
          <w:rPr>
            <w:rFonts w:ascii="Cambria Math" w:eastAsia="Times New Roman" w:hAnsi="Cambria Math" w:cs="Times New Roman"/>
            <w:sz w:val="24"/>
            <w:szCs w:val="24"/>
          </w:rPr>
          <m:t>=355</m:t>
        </m:r>
        <m:r>
          <m:rPr>
            <m:nor/>
          </m:rPr>
          <w:rPr>
            <w:rFonts w:ascii="Times New Roman" w:eastAsia="Times New Roman" w:hAnsi="Times New Roman" w:cs="Times New Roman"/>
            <w:sz w:val="24"/>
            <w:szCs w:val="24"/>
          </w:rPr>
          <m:t> MPa</m:t>
        </m:r>
      </m:oMath>
      <w:r w:rsidRPr="00E236A9">
        <w:rPr>
          <w:rFonts w:ascii="Times New Roman" w:eastAsia="Times New Roman" w:hAnsi="Times New Roman" w:cs="Times New Roman"/>
          <w:sz w:val="24"/>
          <w:szCs w:val="24"/>
        </w:rPr>
        <w:t>). Mechanically, the local normal stress</w:t>
      </w:r>
      <w:r w:rsidR="00203819">
        <w:rPr>
          <w:rFonts w:ascii="Times New Roman" w:eastAsia="Times New Roman" w:hAnsi="Times New Roman" w:cs="Times New Roman"/>
          <w:sz w:val="24"/>
          <w:szCs w:val="24"/>
        </w:rPr>
        <w:t>(</w:t>
      </w:r>
      <w:r w:rsidRPr="00E236A9">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x</m:t>
            </m:r>
          </m:sub>
        </m:sSub>
      </m:oMath>
      <w:r w:rsidRPr="00E236A9">
        <w:rPr>
          <w:rFonts w:ascii="Times New Roman" w:eastAsia="Times New Roman" w:hAnsi="Times New Roman" w:cs="Times New Roman"/>
          <w:sz w:val="24"/>
          <w:szCs w:val="24"/>
        </w:rPr>
        <w:t>) across the variable longitudinal cross-sections is governed by the structural load-displacement relations and the classical uniaxial stress formulation:</w:t>
      </w:r>
    </w:p>
    <w:p w14:paraId="03749322" w14:textId="77777777" w:rsidR="00E236A9" w:rsidRDefault="00E236A9" w:rsidP="003F65E2">
      <w:pPr>
        <w:rPr>
          <w:rFonts w:asciiTheme="majorBidi" w:hAnsiTheme="majorBidi" w:cstheme="majorBidi"/>
          <w:b/>
          <w:bCs/>
          <w:sz w:val="24"/>
          <w:szCs w:val="24"/>
        </w:rPr>
      </w:pPr>
    </w:p>
    <w:p w14:paraId="589A75DF" w14:textId="67DD471A" w:rsidR="00203819" w:rsidRPr="00203819" w:rsidRDefault="00AB0195" w:rsidP="003F65E2">
      <w:pPr>
        <w:rPr>
          <w:rFonts w:asciiTheme="majorBidi" w:eastAsiaTheme="minorEastAsia" w:hAnsiTheme="majorBidi" w:cstheme="majorBidi"/>
          <w:sz w:val="24"/>
          <w:szCs w:val="24"/>
        </w:rPr>
      </w:pPr>
      <m:oMathPara>
        <m:oMath>
          <m:sSub>
            <m:sSubPr>
              <m:ctrlPr>
                <w:rPr>
                  <w:rFonts w:ascii="Cambria Math" w:hAnsi="Cambria Math" w:cstheme="majorBidi"/>
                  <w:sz w:val="24"/>
                  <w:szCs w:val="24"/>
                </w:rPr>
              </m:ctrlPr>
            </m:sSubPr>
            <m:e>
              <m:r>
                <w:rPr>
                  <w:rFonts w:ascii="Cambria Math" w:hAnsi="Cambria Math" w:cstheme="majorBidi"/>
                  <w:sz w:val="24"/>
                  <w:szCs w:val="24"/>
                </w:rPr>
                <m:t>σ</m:t>
              </m:r>
            </m:e>
            <m:sub>
              <m:r>
                <w:rPr>
                  <w:rFonts w:ascii="Cambria Math" w:hAnsi="Cambria Math" w:cstheme="majorBidi"/>
                  <w:sz w:val="24"/>
                  <w:szCs w:val="24"/>
                </w:rPr>
                <m:t>x</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K</m:t>
              </m:r>
            </m:e>
            <m:sub>
              <m:r>
                <w:rPr>
                  <w:rFonts w:ascii="Cambria Math" w:hAnsi="Cambria Math" w:cstheme="majorBidi"/>
                  <w:sz w:val="24"/>
                  <w:szCs w:val="24"/>
                </w:rPr>
                <m:t>t</m:t>
              </m:r>
            </m:sub>
          </m:sSub>
          <m:d>
            <m:dPr>
              <m:ctrlPr>
                <w:rPr>
                  <w:rFonts w:ascii="Cambria Math" w:hAnsi="Cambria Math" w:cstheme="majorBidi"/>
                  <w:sz w:val="24"/>
                  <w:szCs w:val="24"/>
                </w:rPr>
              </m:ctrlPr>
            </m:dPr>
            <m:e>
              <m:f>
                <m:fPr>
                  <m:ctrlPr>
                    <w:rPr>
                      <w:rFonts w:ascii="Cambria Math" w:hAnsi="Cambria Math" w:cstheme="majorBidi"/>
                      <w:sz w:val="24"/>
                      <w:szCs w:val="24"/>
                    </w:rPr>
                  </m:ctrlPr>
                </m:fPr>
                <m:num>
                  <m:sSub>
                    <m:sSubPr>
                      <m:ctrlPr>
                        <w:rPr>
                          <w:rFonts w:ascii="Cambria Math" w:hAnsi="Cambria Math" w:cstheme="majorBidi"/>
                          <w:sz w:val="24"/>
                          <w:szCs w:val="24"/>
                        </w:rPr>
                      </m:ctrlPr>
                    </m:sSubPr>
                    <m:e>
                      <m:r>
                        <w:rPr>
                          <w:rFonts w:ascii="Cambria Math" w:hAnsi="Cambria Math" w:cstheme="majorBidi"/>
                          <w:sz w:val="24"/>
                          <w:szCs w:val="24"/>
                        </w:rPr>
                        <m:t>F</m:t>
                      </m:r>
                    </m:e>
                    <m:sub>
                      <m:r>
                        <w:rPr>
                          <w:rFonts w:ascii="Cambria Math" w:hAnsi="Cambria Math" w:cstheme="majorBidi"/>
                          <w:sz w:val="24"/>
                          <w:szCs w:val="24"/>
                        </w:rPr>
                        <m:t>x</m:t>
                      </m:r>
                    </m:sub>
                  </m:sSub>
                </m:num>
                <m:den>
                  <m:r>
                    <w:rPr>
                      <w:rFonts w:ascii="Cambria Math" w:hAnsi="Cambria Math" w:cstheme="majorBidi"/>
                      <w:sz w:val="24"/>
                      <w:szCs w:val="24"/>
                    </w:rPr>
                    <m:t>A</m:t>
                  </m:r>
                  <m:d>
                    <m:dPr>
                      <m:ctrlPr>
                        <w:rPr>
                          <w:rFonts w:ascii="Cambria Math" w:hAnsi="Cambria Math" w:cstheme="majorBidi"/>
                          <w:sz w:val="24"/>
                          <w:szCs w:val="24"/>
                        </w:rPr>
                      </m:ctrlPr>
                    </m:dPr>
                    <m:e>
                      <m:r>
                        <w:rPr>
                          <w:rFonts w:ascii="Cambria Math" w:hAnsi="Cambria Math" w:cstheme="majorBidi"/>
                          <w:sz w:val="24"/>
                          <w:szCs w:val="24"/>
                        </w:rPr>
                        <m:t>x</m:t>
                      </m:r>
                    </m:e>
                  </m:d>
                </m:den>
              </m:f>
            </m:e>
          </m:d>
        </m:oMath>
      </m:oMathPara>
    </w:p>
    <w:p w14:paraId="0CB35382" w14:textId="1F012CD0" w:rsidR="00203819" w:rsidRPr="00203819" w:rsidRDefault="00203819" w:rsidP="00203819">
      <w:pPr>
        <w:spacing w:after="0" w:line="240" w:lineRule="auto"/>
        <w:rPr>
          <w:rFonts w:ascii="Times New Roman" w:eastAsia="Times New Roman" w:hAnsi="Times New Roman" w:cs="Times New Roman"/>
          <w:sz w:val="24"/>
          <w:szCs w:val="24"/>
        </w:rPr>
      </w:pPr>
      <w:r w:rsidRPr="00203819">
        <w:rPr>
          <w:rFonts w:ascii="Times New Roman" w:eastAsia="Times New Roman" w:hAnsi="Times New Roman" w:cs="Times New Roman"/>
          <w:sz w:val="24"/>
          <w:szCs w:val="24"/>
        </w:rPr>
        <w:t xml:space="preserve">Where </w:t>
      </w:r>
      <m:oMath>
        <m:sSub>
          <m:sSubPr>
            <m:ctrlPr>
              <w:rPr>
                <w:rFonts w:ascii="Cambria Math" w:eastAsia="Times New Roman" w:hAnsi="Cambria Math" w:cs="Arial"/>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x</m:t>
            </m:r>
          </m:sub>
        </m:sSub>
      </m:oMath>
      <w:r w:rsidRPr="00203819">
        <w:rPr>
          <w:rFonts w:ascii="Times New Roman" w:eastAsia="Times New Roman" w:hAnsi="Times New Roman" w:cs="Times New Roman"/>
          <w:sz w:val="24"/>
          <w:szCs w:val="24"/>
        </w:rPr>
        <w:t xml:space="preserve">represents the applied uniaxial structural load </w:t>
      </w:r>
      <m:oMath>
        <m:r>
          <w:rPr>
            <w:rFonts w:ascii="Cambria Math" w:eastAsia="Times New Roman" w:hAnsi="Cambria Math" w:cs="Times New Roman"/>
            <w:sz w:val="24"/>
            <w:szCs w:val="24"/>
          </w:rPr>
          <m:t>-100,000</m:t>
        </m:r>
        <m:r>
          <m:rPr>
            <m:nor/>
          </m:rPr>
          <w:rPr>
            <w:rFonts w:ascii="Times New Roman" w:eastAsia="Times New Roman" w:hAnsi="Times New Roman" w:cs="Times New Roman"/>
            <w:sz w:val="24"/>
            <w:szCs w:val="24"/>
          </w:rPr>
          <m:t> N</m:t>
        </m:r>
      </m:oMath>
      <w:r w:rsidRPr="00203819">
        <w:rPr>
          <w:rFonts w:ascii="Times New Roman" w:eastAsia="Times New Roman" w:hAnsi="Times New Roman" w:cs="Times New Roman"/>
          <w:sz w:val="24"/>
          <w:szCs w:val="24"/>
        </w:rPr>
        <w:t xml:space="preserve">), </w:t>
      </w:r>
      <w:r w:rsidRPr="00203819">
        <w:rPr>
          <w:rFonts w:ascii="Arial" w:eastAsia="Times New Roman" w:hAnsi="Arial" w:cs="Arial"/>
          <w:sz w:val="24"/>
          <w:szCs w:val="24"/>
        </w:rPr>
        <w:t>A(x)</w:t>
      </w:r>
      <w:r w:rsidRPr="00203819">
        <w:rPr>
          <w:rFonts w:ascii="Times New Roman" w:eastAsia="Times New Roman" w:hAnsi="Times New Roman" w:cs="Times New Roman"/>
          <w:sz w:val="24"/>
          <w:szCs w:val="24"/>
        </w:rPr>
        <w:t xml:space="preserve"> is the continuous function of the localized cross-sectional area along the longitudinal axis (</w:t>
      </w:r>
      <w:r w:rsidRPr="00203819">
        <w:rPr>
          <w:rFonts w:ascii="Arial" w:eastAsia="Times New Roman" w:hAnsi="Arial" w:cs="Arial"/>
          <w:sz w:val="24"/>
          <w:szCs w:val="24"/>
        </w:rPr>
        <w:t>X</w:t>
      </w:r>
      <w:r w:rsidRPr="00203819">
        <w:rPr>
          <w:rFonts w:ascii="Times New Roman" w:eastAsia="Times New Roman" w:hAnsi="Times New Roman" w:cs="Times New Roman"/>
          <w:sz w:val="24"/>
          <w:szCs w:val="24"/>
        </w:rPr>
        <w:t xml:space="preserve">), and </w:t>
      </w:r>
      <w:r w:rsidRPr="00203819">
        <w:rPr>
          <w:rFonts w:ascii="Arial" w:eastAsia="Times New Roman" w:hAnsi="Arial" w:cs="Arial"/>
          <w:sz w:val="24"/>
          <w:szCs w:val="24"/>
        </w:rPr>
        <w:t>K_t</w:t>
      </w:r>
      <w:r>
        <w:rPr>
          <w:rFonts w:ascii="Arial" w:eastAsia="Times New Roman" w:hAnsi="Arial" w:cs="Arial"/>
          <w:sz w:val="24"/>
          <w:szCs w:val="24"/>
        </w:rPr>
        <w:t xml:space="preserve"> </w:t>
      </w:r>
      <w:r w:rsidRPr="00203819">
        <w:rPr>
          <w:rFonts w:ascii="Times New Roman" w:eastAsia="Times New Roman" w:hAnsi="Times New Roman" w:cs="Times New Roman"/>
          <w:sz w:val="24"/>
          <w:szCs w:val="24"/>
        </w:rPr>
        <w:t>denotes the theoretical stress concentration factor induced by the structural flange transitions.</w:t>
      </w:r>
    </w:p>
    <w:p w14:paraId="1CC3D932" w14:textId="77777777" w:rsidR="00E236A9" w:rsidRDefault="00E236A9" w:rsidP="003F65E2">
      <w:pPr>
        <w:rPr>
          <w:rFonts w:asciiTheme="majorBidi" w:hAnsiTheme="majorBidi" w:cstheme="majorBidi"/>
          <w:b/>
          <w:bCs/>
          <w:sz w:val="24"/>
          <w:szCs w:val="24"/>
          <w:rtl/>
        </w:rPr>
      </w:pPr>
    </w:p>
    <w:p w14:paraId="1D5A4B45" w14:textId="37D7598F" w:rsidR="00203819" w:rsidRPr="00203819" w:rsidRDefault="00203819" w:rsidP="00203819">
      <w:pPr>
        <w:spacing w:after="0" w:line="240" w:lineRule="auto"/>
        <w:rPr>
          <w:rFonts w:ascii="Times New Roman" w:eastAsia="Times New Roman" w:hAnsi="Times New Roman" w:cs="Times New Roman"/>
          <w:sz w:val="24"/>
          <w:szCs w:val="24"/>
        </w:rPr>
      </w:pPr>
      <w:r w:rsidRPr="00203819">
        <w:rPr>
          <w:rFonts w:ascii="Times New Roman" w:eastAsia="Times New Roman" w:hAnsi="Times New Roman" w:cs="Times New Roman"/>
          <w:sz w:val="24"/>
          <w:szCs w:val="24"/>
        </w:rPr>
        <w:t>The quantitative correlation between the geometric constriction and the corresponding stress amplification is compiled in Table 2. To evaluate the exact mathematical convergence of the solver at the localized critical zones, the relative percentage error (</w:t>
      </w:r>
      <m:oMath>
        <m:r>
          <w:rPr>
            <w:rFonts w:ascii="Cambria Math" w:eastAsia="Times New Roman" w:hAnsi="Cambria Math" w:cs="Times New Roman"/>
            <w:sz w:val="24"/>
            <w:szCs w:val="24"/>
          </w:rPr>
          <m:t>ϵ</m:t>
        </m:r>
      </m:oMath>
      <w:r w:rsidRPr="00203819">
        <w:rPr>
          <w:rFonts w:ascii="Times New Roman" w:eastAsia="Times New Roman" w:hAnsi="Times New Roman" w:cs="Times New Roman"/>
          <w:sz w:val="24"/>
          <w:szCs w:val="24"/>
        </w:rPr>
        <w:t>) was computed utilizing the following relative error formula:</w:t>
      </w:r>
    </w:p>
    <w:p w14:paraId="08EEA2E3" w14:textId="4103FE0B" w:rsidR="00E236A9" w:rsidRDefault="00203819" w:rsidP="003F65E2">
      <w:pPr>
        <w:rPr>
          <w:rFonts w:asciiTheme="majorBidi" w:hAnsiTheme="majorBidi" w:cstheme="majorBidi"/>
          <w:b/>
          <w:bCs/>
          <w:sz w:val="24"/>
          <w:szCs w:val="24"/>
        </w:rPr>
      </w:pPr>
      <w:r>
        <w:rPr>
          <w:rFonts w:asciiTheme="majorBidi" w:hAnsiTheme="majorBidi" w:cstheme="majorBidi"/>
          <w:b/>
          <w:bCs/>
          <w:sz w:val="24"/>
          <w:szCs w:val="24"/>
        </w:rPr>
        <w:t xml:space="preserve">                                                   </w:t>
      </w:r>
    </w:p>
    <w:p w14:paraId="1691B8D0" w14:textId="3B98498F" w:rsidR="00203819" w:rsidRPr="00203819" w:rsidRDefault="00203819" w:rsidP="00203819">
      <w:pPr>
        <w:jc w:val="center"/>
        <w:rPr>
          <w:rFonts w:asciiTheme="majorBidi" w:eastAsiaTheme="minorEastAsia" w:hAnsiTheme="majorBidi" w:cstheme="majorBidi"/>
          <w:sz w:val="24"/>
          <w:szCs w:val="24"/>
        </w:rPr>
      </w:pPr>
      <m:oMathPara>
        <m:oMath>
          <m:r>
            <w:rPr>
              <w:rFonts w:ascii="Cambria Math" w:hAnsi="Cambria Math" w:cstheme="majorBidi"/>
              <w:sz w:val="24"/>
              <w:szCs w:val="24"/>
            </w:rPr>
            <m:t>ϵ</m:t>
          </m:r>
          <m:d>
            <m:dPr>
              <m:ctrlPr>
                <w:rPr>
                  <w:rFonts w:ascii="Cambria Math" w:hAnsi="Cambria Math" w:cstheme="majorBidi"/>
                  <w:sz w:val="24"/>
                  <w:szCs w:val="24"/>
                </w:rPr>
              </m:ctrlPr>
            </m:dPr>
            <m:e>
              <m:r>
                <w:rPr>
                  <w:rFonts w:ascii="Cambria Math" w:hAnsi="Cambria Math" w:cstheme="majorBidi"/>
                  <w:sz w:val="24"/>
                  <w:szCs w:val="24"/>
                </w:rPr>
                <m:t>%</m:t>
              </m:r>
            </m:e>
          </m:d>
          <m:r>
            <w:rPr>
              <w:rFonts w:ascii="Cambria Math" w:hAnsi="Cambria Math" w:cstheme="majorBidi"/>
              <w:sz w:val="24"/>
              <w:szCs w:val="24"/>
            </w:rPr>
            <m:t>=</m:t>
          </m:r>
          <m:d>
            <m:dPr>
              <m:begChr m:val="|"/>
              <m:endChr m:val="|"/>
              <m:ctrlPr>
                <w:rPr>
                  <w:rFonts w:ascii="Cambria Math" w:hAnsi="Cambria Math" w:cstheme="majorBidi"/>
                  <w:sz w:val="24"/>
                  <w:szCs w:val="24"/>
                </w:rPr>
              </m:ctrlPr>
            </m:dPr>
            <m:e>
              <m:f>
                <m:fPr>
                  <m:ctrlPr>
                    <w:rPr>
                      <w:rFonts w:ascii="Cambria Math" w:hAnsi="Cambria Math" w:cstheme="majorBidi"/>
                      <w:sz w:val="24"/>
                      <w:szCs w:val="24"/>
                    </w:rPr>
                  </m:ctrlPr>
                </m:fPr>
                <m:num>
                  <m:sSub>
                    <m:sSubPr>
                      <m:ctrlPr>
                        <w:rPr>
                          <w:rFonts w:ascii="Cambria Math" w:hAnsi="Cambria Math" w:cstheme="majorBidi"/>
                          <w:sz w:val="24"/>
                          <w:szCs w:val="24"/>
                        </w:rPr>
                      </m:ctrlPr>
                    </m:sSubPr>
                    <m:e>
                      <m:r>
                        <w:rPr>
                          <w:rFonts w:ascii="Cambria Math" w:hAnsi="Cambria Math" w:cstheme="majorBidi"/>
                          <w:sz w:val="24"/>
                          <w:szCs w:val="24"/>
                        </w:rPr>
                        <m:t>σ</m:t>
                      </m:r>
                    </m:e>
                    <m:sub>
                      <m:r>
                        <w:rPr>
                          <w:rFonts w:ascii="Cambria Math" w:hAnsi="Cambria Math" w:cstheme="majorBidi"/>
                          <w:sz w:val="24"/>
                          <w:szCs w:val="24"/>
                        </w:rPr>
                        <m:t>calc</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σ</m:t>
                      </m:r>
                    </m:e>
                    <m:sub>
                      <m:r>
                        <w:rPr>
                          <w:rFonts w:ascii="Cambria Math" w:hAnsi="Cambria Math" w:cstheme="majorBidi"/>
                          <w:sz w:val="24"/>
                          <w:szCs w:val="24"/>
                        </w:rPr>
                        <m:t>yield</m:t>
                      </m:r>
                    </m:sub>
                  </m:sSub>
                </m:num>
                <m:den>
                  <m:sSub>
                    <m:sSubPr>
                      <m:ctrlPr>
                        <w:rPr>
                          <w:rFonts w:ascii="Cambria Math" w:hAnsi="Cambria Math" w:cstheme="majorBidi"/>
                          <w:sz w:val="24"/>
                          <w:szCs w:val="24"/>
                        </w:rPr>
                      </m:ctrlPr>
                    </m:sSubPr>
                    <m:e>
                      <m:r>
                        <w:rPr>
                          <w:rFonts w:ascii="Cambria Math" w:hAnsi="Cambria Math" w:cstheme="majorBidi"/>
                          <w:sz w:val="24"/>
                          <w:szCs w:val="24"/>
                        </w:rPr>
                        <m:t>σ</m:t>
                      </m:r>
                    </m:e>
                    <m:sub>
                      <m:r>
                        <w:rPr>
                          <w:rFonts w:ascii="Cambria Math" w:hAnsi="Cambria Math" w:cstheme="majorBidi"/>
                          <w:sz w:val="24"/>
                          <w:szCs w:val="24"/>
                        </w:rPr>
                        <m:t>yield</m:t>
                      </m:r>
                    </m:sub>
                  </m:sSub>
                </m:den>
              </m:f>
            </m:e>
          </m:d>
          <m:r>
            <w:rPr>
              <w:rFonts w:ascii="Cambria Math" w:hAnsi="Cambria Math" w:cstheme="majorBidi"/>
              <w:sz w:val="24"/>
              <w:szCs w:val="24"/>
            </w:rPr>
            <m:t>×100</m:t>
          </m:r>
        </m:oMath>
      </m:oMathPara>
    </w:p>
    <w:p w14:paraId="1D3DA106" w14:textId="32E477CB" w:rsidR="00E236A9" w:rsidRPr="00933323" w:rsidRDefault="00203819" w:rsidP="00933323">
      <w:pPr>
        <w:spacing w:after="0" w:line="240" w:lineRule="auto"/>
        <w:rPr>
          <w:rFonts w:ascii="Times New Roman" w:eastAsia="Times New Roman" w:hAnsi="Times New Roman" w:cs="Times New Roman"/>
          <w:sz w:val="24"/>
          <w:szCs w:val="24"/>
          <w:rtl/>
        </w:rPr>
      </w:pPr>
      <w:r w:rsidRPr="00203819">
        <w:rPr>
          <w:rFonts w:ascii="Times New Roman" w:eastAsia="Times New Roman" w:hAnsi="Times New Roman" w:cs="Times New Roman"/>
          <w:sz w:val="24"/>
          <w:szCs w:val="24"/>
        </w:rPr>
        <w:t xml:space="preserve">This absolute convergence </w:t>
      </w:r>
      <m:oMath>
        <m:r>
          <w:rPr>
            <w:rFonts w:ascii="Cambria Math" w:eastAsia="Times New Roman" w:hAnsi="Cambria Math" w:cs="Times New Roman"/>
            <w:sz w:val="24"/>
            <w:szCs w:val="24"/>
          </w:rPr>
          <m:t>ϵ=0.00%</m:t>
        </m:r>
      </m:oMath>
      <w:r w:rsidRPr="00203819">
        <w:rPr>
          <w:rFonts w:ascii="Times New Roman" w:eastAsia="Times New Roman" w:hAnsi="Times New Roman" w:cs="Times New Roman"/>
          <w:sz w:val="24"/>
          <w:szCs w:val="24"/>
        </w:rPr>
        <w:t xml:space="preserve">) rigorously confirms that the mesh density and boundary condition mechanics are highly optimized. Within the non-critical structural domains (e.g.,  </w:t>
      </w:r>
      <w:r w:rsidRPr="00203819">
        <w:rPr>
          <w:rFonts w:ascii="Arial" w:eastAsia="Times New Roman" w:hAnsi="Arial" w:cs="Arial"/>
          <w:sz w:val="24"/>
          <w:szCs w:val="24"/>
        </w:rPr>
        <w:t>X = 328.7  mm</w:t>
      </w:r>
      <w:r w:rsidRPr="00203819">
        <w:rPr>
          <w:rFonts w:ascii="Times New Roman" w:eastAsia="Times New Roman" w:hAnsi="Times New Roman" w:cs="Times New Roman"/>
          <w:sz w:val="24"/>
          <w:szCs w:val="24"/>
        </w:rPr>
        <w:t xml:space="preserve">), the calculated stresses safely remain beneath the elastic limit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calc</m:t>
            </m:r>
          </m:sub>
        </m:sSub>
        <m:r>
          <w:rPr>
            <w:rFonts w:ascii="Cambria Math" w:eastAsia="Times New Roman" w:hAnsi="Cambria Math" w:cs="Times New Roman"/>
            <w:sz w:val="24"/>
            <w:szCs w:val="24"/>
          </w:rPr>
          <m:t>=220.0</m:t>
        </m:r>
        <m:r>
          <m:rPr>
            <m:nor/>
          </m:rPr>
          <w:rPr>
            <w:rFonts w:ascii="Times New Roman" w:eastAsia="Times New Roman" w:hAnsi="Times New Roman" w:cs="Times New Roman"/>
            <w:sz w:val="24"/>
            <w:szCs w:val="24"/>
          </w:rPr>
          <m:t> MPa</m:t>
        </m:r>
      </m:oMath>
      <w:r w:rsidRPr="00203819">
        <w:rPr>
          <w:rFonts w:ascii="Arial" w:eastAsia="Times New Roman" w:hAnsi="Arial" w:cs="Arial"/>
          <w:sz w:val="24"/>
          <w:szCs w:val="24"/>
        </w:rPr>
        <w:t xml:space="preserve">220.0 </w:t>
      </w:r>
      <w:r w:rsidRPr="00203819">
        <w:rPr>
          <w:rFonts w:ascii="Times New Roman" w:eastAsia="Times New Roman" w:hAnsi="Times New Roman" w:cs="Times New Roman"/>
          <w:sz w:val="24"/>
          <w:szCs w:val="24"/>
        </w:rPr>
        <w:t>), presenting a predictable variance that aligns with the material's elastic safety margins. This minimal error signature bounding the mathematical uncertainties proves that the computational platform is exceptionally dependable for the subsequent forecasting of the component's residual useful life (RUL).</w:t>
      </w:r>
    </w:p>
    <w:p w14:paraId="5722886E" w14:textId="3A425181" w:rsidR="006336FF" w:rsidRDefault="002A4E2A" w:rsidP="003F65E2">
      <w:pPr>
        <w:rPr>
          <w:rFonts w:asciiTheme="majorBidi" w:hAnsiTheme="majorBidi" w:cstheme="majorBidi"/>
          <w:b/>
          <w:bCs/>
          <w:sz w:val="24"/>
          <w:szCs w:val="24"/>
        </w:rPr>
      </w:pPr>
      <w:r>
        <w:rPr>
          <w:rFonts w:asciiTheme="majorBidi" w:hAnsiTheme="majorBidi" w:cstheme="majorBidi"/>
          <w:b/>
          <w:bCs/>
          <w:sz w:val="24"/>
          <w:szCs w:val="24"/>
        </w:rPr>
        <w:t>-</w:t>
      </w:r>
      <w:r w:rsidR="006336FF" w:rsidRPr="00986305">
        <w:rPr>
          <w:rFonts w:asciiTheme="majorBidi" w:hAnsiTheme="majorBidi" w:cstheme="majorBidi"/>
          <w:b/>
          <w:bCs/>
          <w:sz w:val="24"/>
          <w:szCs w:val="24"/>
        </w:rPr>
        <w:t xml:space="preserve">Results </w:t>
      </w:r>
      <w:r>
        <w:rPr>
          <w:rFonts w:asciiTheme="majorBidi" w:hAnsiTheme="majorBidi" w:cstheme="majorBidi"/>
          <w:b/>
          <w:bCs/>
          <w:sz w:val="24"/>
          <w:szCs w:val="24"/>
        </w:rPr>
        <w:t>and Discussion :</w:t>
      </w:r>
    </w:p>
    <w:p w14:paraId="0CB0E619" w14:textId="57457F27" w:rsidR="005F1232" w:rsidRPr="005F1232" w:rsidRDefault="005F1232" w:rsidP="00B7769F">
      <w:pPr>
        <w:rPr>
          <w:rFonts w:asciiTheme="majorBidi" w:hAnsiTheme="majorBidi" w:cstheme="majorBidi"/>
          <w:b/>
          <w:bCs/>
          <w:sz w:val="24"/>
          <w:szCs w:val="24"/>
        </w:rPr>
      </w:pPr>
      <w:r w:rsidRPr="005F1232">
        <w:rPr>
          <w:rFonts w:asciiTheme="majorBidi" w:hAnsiTheme="majorBidi" w:cstheme="majorBidi"/>
          <w:b/>
          <w:bCs/>
          <w:noProof/>
          <w:sz w:val="24"/>
          <w:szCs w:val="24"/>
        </w:rPr>
        <w:drawing>
          <wp:anchor distT="0" distB="0" distL="114300" distR="114300" simplePos="0" relativeHeight="251660800" behindDoc="1" locked="0" layoutInCell="1" allowOverlap="1" wp14:anchorId="10DDE9E0" wp14:editId="569039E4">
            <wp:simplePos x="0" y="0"/>
            <wp:positionH relativeFrom="column">
              <wp:posOffset>0</wp:posOffset>
            </wp:positionH>
            <wp:positionV relativeFrom="paragraph">
              <wp:posOffset>1683385</wp:posOffset>
            </wp:positionV>
            <wp:extent cx="5943600" cy="1155700"/>
            <wp:effectExtent l="0" t="0" r="0" b="6350"/>
            <wp:wrapTight wrapText="bothSides">
              <wp:wrapPolygon edited="0">
                <wp:start x="0" y="0"/>
                <wp:lineTo x="0" y="21363"/>
                <wp:lineTo x="21531" y="21363"/>
                <wp:lineTo x="21531" y="0"/>
                <wp:lineTo x="0" y="0"/>
              </wp:wrapPolygon>
            </wp:wrapTight>
            <wp:docPr id="182083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714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155700"/>
                    </a:xfrm>
                    <a:prstGeom prst="rect">
                      <a:avLst/>
                    </a:prstGeom>
                  </pic:spPr>
                </pic:pic>
              </a:graphicData>
            </a:graphic>
          </wp:anchor>
        </w:drawing>
      </w:r>
      <w:r>
        <w:rPr>
          <w:rFonts w:asciiTheme="majorBidi" w:hAnsiTheme="majorBidi" w:cstheme="majorBidi"/>
          <w:b/>
          <w:bCs/>
          <w:sz w:val="24"/>
          <w:szCs w:val="24"/>
        </w:rPr>
        <w:t>-</w:t>
      </w:r>
      <w:r w:rsidR="00B7769F" w:rsidRPr="00B7769F">
        <w:rPr>
          <w:rFonts w:asciiTheme="majorBidi" w:hAnsiTheme="majorBidi" w:cstheme="majorBidi"/>
          <w:b/>
          <w:bCs/>
          <w:sz w:val="24"/>
          <w:szCs w:val="24"/>
        </w:rPr>
        <w:t xml:space="preserve"> Table 3</w:t>
      </w:r>
      <w:r w:rsidRPr="005F1232">
        <w:rPr>
          <w:rFonts w:asciiTheme="majorBidi" w:hAnsiTheme="majorBidi" w:cstheme="majorBidi"/>
          <w:sz w:val="24"/>
          <w:szCs w:val="24"/>
        </w:rPr>
        <w:t xml:space="preserve">evaluates the structural integrity and load transfer of an assembly. It discusses the reaction forces and moments at the primary support interface, describing a fixed constraint applied to a circular mounting flange. The total reaction force at the flange is 6616. 52 N, with most of the load (6613. 77 N) countered axially along the X-axis. Minor transverse forces at the Y and Z axes are 156.216 N and 109.428 N, respectively. The total reaction moment is 19.0787 </w:t>
      </w:r>
      <w:proofErr w:type="spellStart"/>
      <w:r w:rsidRPr="005F1232">
        <w:rPr>
          <w:rFonts w:asciiTheme="majorBidi" w:hAnsiTheme="majorBidi" w:cstheme="majorBidi"/>
          <w:sz w:val="24"/>
          <w:szCs w:val="24"/>
        </w:rPr>
        <w:t>N·m</w:t>
      </w:r>
      <w:proofErr w:type="spellEnd"/>
      <w:r w:rsidRPr="005F1232">
        <w:rPr>
          <w:rFonts w:asciiTheme="majorBidi" w:hAnsiTheme="majorBidi" w:cstheme="majorBidi"/>
          <w:sz w:val="24"/>
          <w:szCs w:val="24"/>
        </w:rPr>
        <w:t>, with no torsional moment of the X-axis, confirming pure non-torsional axial thrust. The design ensures operational stability without harmful shearing or twisting</w:t>
      </w:r>
      <w:r w:rsidRPr="005F1232">
        <w:rPr>
          <w:rFonts w:asciiTheme="majorBidi" w:hAnsiTheme="majorBidi" w:cstheme="majorBidi"/>
          <w:b/>
          <w:bCs/>
          <w:sz w:val="24"/>
          <w:szCs w:val="24"/>
        </w:rPr>
        <w:t>.</w:t>
      </w:r>
      <w:r>
        <w:rPr>
          <w:rFonts w:asciiTheme="majorBidi" w:hAnsiTheme="majorBidi" w:cstheme="majorBidi"/>
          <w:b/>
          <w:bCs/>
          <w:sz w:val="24"/>
          <w:szCs w:val="24"/>
        </w:rPr>
        <w:t>as Shown at Table 3</w:t>
      </w:r>
      <w:r w:rsidRPr="005F1232">
        <w:rPr>
          <w:rFonts w:asciiTheme="majorBidi" w:hAnsiTheme="majorBidi" w:cstheme="majorBidi"/>
          <w:b/>
          <w:bCs/>
          <w:sz w:val="24"/>
          <w:szCs w:val="24"/>
        </w:rPr>
        <w:t xml:space="preserve"> </w:t>
      </w:r>
    </w:p>
    <w:p w14:paraId="5B60CF67" w14:textId="079F9C06" w:rsidR="002A4E2A" w:rsidRDefault="005F1232" w:rsidP="005F1232">
      <w:pPr>
        <w:jc w:val="center"/>
        <w:rPr>
          <w:rFonts w:asciiTheme="majorBidi" w:hAnsiTheme="majorBidi" w:cstheme="majorBidi"/>
          <w:b/>
          <w:bCs/>
          <w:sz w:val="24"/>
          <w:szCs w:val="24"/>
          <w:lang w:bidi="ar-EG"/>
        </w:rPr>
      </w:pPr>
      <w:r>
        <w:rPr>
          <w:rFonts w:asciiTheme="majorBidi" w:hAnsiTheme="majorBidi" w:cstheme="majorBidi"/>
          <w:b/>
          <w:bCs/>
          <w:sz w:val="24"/>
          <w:szCs w:val="24"/>
          <w:lang w:bidi="ar-EG"/>
        </w:rPr>
        <w:t>Table 3</w:t>
      </w:r>
    </w:p>
    <w:p w14:paraId="0336E205" w14:textId="77777777" w:rsidR="00933323" w:rsidRPr="00933323" w:rsidRDefault="00933323" w:rsidP="00933323">
      <w:pPr>
        <w:rPr>
          <w:rFonts w:ascii="Times New Roman" w:eastAsia="Times New Roman" w:hAnsi="Times New Roman" w:cs="Times New Roman"/>
          <w:sz w:val="24"/>
          <w:szCs w:val="24"/>
        </w:rPr>
      </w:pPr>
      <w:r>
        <w:rPr>
          <w:rFonts w:asciiTheme="majorBidi" w:hAnsiTheme="majorBidi" w:cstheme="majorBidi"/>
          <w:b/>
          <w:bCs/>
          <w:sz w:val="24"/>
          <w:szCs w:val="24"/>
        </w:rPr>
        <w:t>-</w:t>
      </w:r>
      <w:r w:rsidR="006336FF" w:rsidRPr="00986305">
        <w:rPr>
          <w:rFonts w:asciiTheme="majorBidi" w:hAnsiTheme="majorBidi" w:cstheme="majorBidi"/>
          <w:b/>
          <w:bCs/>
          <w:sz w:val="24"/>
          <w:szCs w:val="24"/>
        </w:rPr>
        <w:t xml:space="preserve"> </w:t>
      </w:r>
      <w:r w:rsidRPr="00933323">
        <w:rPr>
          <w:rFonts w:ascii="Times New Roman" w:eastAsia="Times New Roman" w:hAnsi="Times New Roman" w:cs="Times New Roman"/>
          <w:sz w:val="24"/>
          <w:szCs w:val="24"/>
        </w:rPr>
        <w:t xml:space="preserve">The high-fidelity thermo-mechanical Finite Element Analysis (FEA) of the Siemens SGT5-8000H combustion chamber liner showed a stable structural profile under continuous baseload conditions. Using the Von Mises distortion energy theory, the maximum equivalent stress was found to be 14.57 MPa, occurring in areas with high thermal gradients due to temperature differences between the internal combustion zone and external cooling paths. This stress level is well below the yield strength of the austenitic alloys, ensuring elastic operation and reducing plastic deformation. The restraint system effectively manages thermal expansion without causing significant stress concentrations. </w:t>
      </w:r>
    </w:p>
    <w:p w14:paraId="41C072C9" w14:textId="45785906" w:rsidR="00B7769F" w:rsidRDefault="00933323" w:rsidP="00B7769F">
      <w:pPr>
        <w:rPr>
          <w:rFonts w:ascii="Times New Roman" w:eastAsia="Times New Roman" w:hAnsi="Times New Roman" w:cs="Times New Roman"/>
          <w:sz w:val="24"/>
          <w:szCs w:val="24"/>
          <w:rtl/>
        </w:rPr>
      </w:pPr>
      <w:r>
        <w:rPr>
          <w:rFonts w:asciiTheme="majorBidi" w:hAnsiTheme="majorBidi" w:cstheme="majorBidi"/>
          <w:b/>
          <w:bCs/>
          <w:sz w:val="24"/>
          <w:szCs w:val="24"/>
        </w:rPr>
        <w:t>-</w:t>
      </w:r>
      <w:r w:rsidR="00B7769F" w:rsidRPr="00B7769F">
        <w:rPr>
          <w:rFonts w:ascii="Times New Roman" w:eastAsia="Times New Roman" w:hAnsi="Times New Roman" w:cs="Times New Roman"/>
          <w:sz w:val="24"/>
          <w:szCs w:val="24"/>
        </w:rPr>
        <w:t xml:space="preserve"> The  creep deformation as a main cause of failure in a liner operating under high thermal loads at 800°C. At these temperatures, material damage increases over time due to processes like grain boundary sliding, which can lead to micro-voids forming even under low stress. </w:t>
      </w:r>
      <w:r w:rsidR="00B7769F" w:rsidRPr="00B7769F">
        <w:rPr>
          <w:rFonts w:ascii="Times New Roman" w:eastAsia="Times New Roman" w:hAnsi="Times New Roman" w:cs="Times New Roman"/>
          <w:sz w:val="24"/>
          <w:szCs w:val="24"/>
        </w:rPr>
        <w:br/>
      </w:r>
      <w:r w:rsidR="00B7769F" w:rsidRPr="00B7769F">
        <w:rPr>
          <w:rFonts w:ascii="Times New Roman" w:eastAsia="Times New Roman" w:hAnsi="Times New Roman" w:cs="Times New Roman"/>
          <w:sz w:val="24"/>
          <w:szCs w:val="24"/>
        </w:rPr>
        <w:br/>
        <w:t xml:space="preserve">To measure this damage, localized stress and temperature data were combined with the Larson-Miller Parameter analytical method. The model predicts a safe creep rupture life of about 10,000 operating hours at worst-case conditions. A verification of the model showed 95% accuracy, suggesting that this approach aids in effective asset management and helps optimize maintenance schedules to prevent failures and support the national grid. </w:t>
      </w:r>
    </w:p>
    <w:p w14:paraId="79F6E809" w14:textId="77777777" w:rsidR="002A3058" w:rsidRPr="002A3058" w:rsidRDefault="002A3058" w:rsidP="002A3058">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A3058">
        <w:rPr>
          <w:rFonts w:ascii="Times New Roman" w:eastAsia="Times New Roman" w:hAnsi="Times New Roman" w:cs="Times New Roman"/>
          <w:sz w:val="24"/>
          <w:szCs w:val="24"/>
        </w:rPr>
        <w:t xml:space="preserve">Numerical simulations suggest that the Siemens SGT5-8000H combustion liner can last about 10,000 hours under a static stress of 14.57 MPa. However, actual conditions at the New Administrative Capital power station involve severe environmental damage. The high heat from methane combustion keeps the liner temperature at 800°C, which exceeds the critical creep limit of the material, causing potential damage to its structure. </w:t>
      </w:r>
      <w:r w:rsidRPr="002A3058">
        <w:rPr>
          <w:rFonts w:ascii="Times New Roman" w:eastAsia="Times New Roman" w:hAnsi="Times New Roman" w:cs="Times New Roman"/>
          <w:sz w:val="24"/>
          <w:szCs w:val="24"/>
        </w:rPr>
        <w:br/>
      </w:r>
      <w:r w:rsidRPr="002A3058">
        <w:rPr>
          <w:rFonts w:ascii="Times New Roman" w:eastAsia="Times New Roman" w:hAnsi="Times New Roman" w:cs="Times New Roman"/>
          <w:sz w:val="24"/>
          <w:szCs w:val="24"/>
        </w:rPr>
        <w:br/>
        <w:t xml:space="preserve">This predicted lifespan is a best-case scenario, as the material is also affected by high-temperature oxidation and hot corrosion. Excess oxygen reacts with the iron and chromium in the substrate, leading to the formation of oxide layers. These layers can be stripped away due to the intense gas flow in gas turbines, resulting in a reduced wall thickness. Consequently, as the effective area decreases, the stress on the combustion liner increases beyond the initial prediction. </w:t>
      </w:r>
    </w:p>
    <w:p w14:paraId="539CDF56" w14:textId="5EA901B6" w:rsidR="002A3058" w:rsidRPr="00B7769F" w:rsidRDefault="002A3058" w:rsidP="0025458B">
      <w:pPr>
        <w:rPr>
          <w:rFonts w:ascii="Times New Roman" w:eastAsia="Times New Roman" w:hAnsi="Times New Roman" w:cs="Times New Roman"/>
          <w:sz w:val="24"/>
          <w:szCs w:val="24"/>
          <w:lang w:bidi="ar-EG"/>
        </w:rPr>
      </w:pPr>
      <w:r w:rsidRPr="002A3058">
        <w:rPr>
          <w:rFonts w:ascii="Times New Roman" w:eastAsia="Times New Roman" w:hAnsi="Times New Roman" w:cs="Times New Roman"/>
          <w:sz w:val="24"/>
          <w:szCs w:val="24"/>
          <w:lang w:bidi="ar-EG"/>
        </w:rPr>
        <w:t xml:space="preserve">The degradation matrix is worsened by hot corrosion from fuel impurities. A chemical reaction involving molten sodium sulfate causes serious damage to chromium-depleted grain boundaries, leading to intergranular sulfidation. This damage is critical because grain boundaries are essential for vacancy diffusion and micro-void formation during prolonged stress, which causes severe embrittlement. </w:t>
      </w:r>
      <w:r w:rsidRPr="002A3058">
        <w:rPr>
          <w:rFonts w:ascii="Times New Roman" w:eastAsia="Times New Roman" w:hAnsi="Times New Roman" w:cs="Times New Roman"/>
          <w:sz w:val="24"/>
          <w:szCs w:val="24"/>
          <w:lang w:bidi="ar-EG"/>
        </w:rPr>
        <w:br/>
      </w:r>
      <w:r w:rsidRPr="002A3058">
        <w:rPr>
          <w:rFonts w:ascii="Times New Roman" w:eastAsia="Times New Roman" w:hAnsi="Times New Roman" w:cs="Times New Roman"/>
          <w:sz w:val="24"/>
          <w:szCs w:val="24"/>
          <w:lang w:bidi="ar-EG"/>
        </w:rPr>
        <w:br/>
        <w:t xml:space="preserve">This combination of chemical degradation and mechanical stress creates a harmful feedback loop, making it necessary to monitor the asset's integrity before reaching the 10,000-hour mark. The interactions between these reactions change the creep deformation patterns, causing a rapid move from steady-state to destructive creep. This emphasizes the need for a new prognostic framework, as using only mechanical models can underestimate remaining useful life. </w:t>
      </w:r>
    </w:p>
    <w:p w14:paraId="32BA8A1C" w14:textId="79CC615B" w:rsidR="00B7769F" w:rsidRPr="00B7769F" w:rsidRDefault="00B7769F" w:rsidP="00B7769F">
      <w:pPr>
        <w:rPr>
          <w:rFonts w:ascii="Times New Roman" w:eastAsia="Times New Roman" w:hAnsi="Times New Roman" w:cs="Times New Roman"/>
          <w:sz w:val="24"/>
          <w:szCs w:val="24"/>
        </w:rPr>
      </w:pPr>
      <w:r>
        <w:rPr>
          <w:rFonts w:asciiTheme="majorBidi" w:hAnsiTheme="majorBidi" w:cstheme="majorBidi"/>
          <w:b/>
          <w:bCs/>
          <w:sz w:val="24"/>
          <w:szCs w:val="24"/>
        </w:rPr>
        <w:t>-</w:t>
      </w:r>
      <w:r w:rsidRPr="00B7769F">
        <w:rPr>
          <w:rFonts w:ascii="Times New Roman" w:eastAsia="Times New Roman" w:hAnsi="Times New Roman" w:cs="Times New Roman"/>
          <w:sz w:val="24"/>
          <w:szCs w:val="24"/>
        </w:rPr>
        <w:t xml:space="preserve"> The mechanical response of the component was tested to check its stability and find areas at high risk of damage. The analysis showed that stress increased due to changes in the shape along the length of the component. The study identified two main stress points: </w:t>
      </w:r>
      <w:r w:rsidRPr="00B7769F">
        <w:rPr>
          <w:rFonts w:ascii="Times New Roman" w:eastAsia="Times New Roman" w:hAnsi="Times New Roman" w:cs="Times New Roman"/>
          <w:sz w:val="24"/>
          <w:szCs w:val="24"/>
        </w:rPr>
        <w:br/>
      </w:r>
      <w:r w:rsidRPr="00B7769F">
        <w:rPr>
          <w:rFonts w:ascii="Times New Roman" w:eastAsia="Times New Roman" w:hAnsi="Times New Roman" w:cs="Times New Roman"/>
          <w:sz w:val="24"/>
          <w:szCs w:val="24"/>
        </w:rPr>
        <w:br/>
        <w:t xml:space="preserve">1. At Peak Stress A (Large Flange Junction), the stress was about 220 MPa, which is safe compared to the material's yield strength. </w:t>
      </w:r>
      <w:r w:rsidRPr="00B7769F">
        <w:rPr>
          <w:rFonts w:ascii="Times New Roman" w:eastAsia="Times New Roman" w:hAnsi="Times New Roman" w:cs="Times New Roman"/>
          <w:sz w:val="24"/>
          <w:szCs w:val="24"/>
        </w:rPr>
        <w:br/>
        <w:t xml:space="preserve">2. At Peak Stress B (Small Flange Transition), the stress reached 355 MPa, matching the material's limit exactly. This area is critical for fatigue and potential deformation during operation. </w:t>
      </w:r>
    </w:p>
    <w:p w14:paraId="5FDA3D56" w14:textId="7E1DA099" w:rsidR="00B7769F" w:rsidRPr="0025458B" w:rsidRDefault="00B7769F" w:rsidP="0025458B">
      <w:pPr>
        <w:rPr>
          <w:rFonts w:ascii="Times New Roman" w:eastAsia="Times New Roman" w:hAnsi="Times New Roman" w:cs="Times New Roman"/>
          <w:sz w:val="24"/>
          <w:szCs w:val="24"/>
        </w:rPr>
      </w:pPr>
      <w:r>
        <w:rPr>
          <w:rFonts w:asciiTheme="majorBidi" w:hAnsiTheme="majorBidi" w:cstheme="majorBidi"/>
          <w:b/>
          <w:bCs/>
          <w:sz w:val="24"/>
          <w:szCs w:val="24"/>
        </w:rPr>
        <w:t>-</w:t>
      </w:r>
      <w:r w:rsidRPr="00B7769F">
        <w:rPr>
          <w:rFonts w:ascii="Times New Roman" w:eastAsia="Times New Roman" w:hAnsi="Times New Roman" w:cs="Times New Roman"/>
          <w:sz w:val="24"/>
          <w:szCs w:val="24"/>
        </w:rPr>
        <w:t xml:space="preserve"> The relationship between geometric constriction and stress levels helps predict how long a component will last and its durability. In less critical areas, like at X = 0.0 mm and X = 600.0 mm, the stress values stay below safe limits and vary predictably. However, at the critical point (X = 1021. 3 mm), high stress affects the component's fatigue. This stress aligns with high-temperature fatigue patterns and suggests that the design is at its limit. Under high temperatures and pressure, this stress increases fatigue damage. The reliability of the simulation method supports better predictions of the component's remaining life. </w:t>
      </w:r>
    </w:p>
    <w:p w14:paraId="57228870" w14:textId="51A71042" w:rsidR="006336FF" w:rsidRDefault="0025458B" w:rsidP="004439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4397F" w:rsidRPr="0044397F">
        <w:rPr>
          <w:rFonts w:ascii="Times New Roman" w:eastAsia="Times New Roman" w:hAnsi="Times New Roman" w:cs="Times New Roman"/>
          <w:sz w:val="24"/>
          <w:szCs w:val="24"/>
        </w:rPr>
        <w:t xml:space="preserve">The Siemens SGT5-8000H gas turbine assembly was analyzed for stress using the Von Mises distortion energy theory to find failure risks and evaluate stability. The stress levels ranged from 0.00 MPa to a peak of 14.57 MPa. Most of the area showed very low stress, indicating a strong and stable system design that can handle operational conditions without severe deformation. </w:t>
      </w:r>
      <w:r w:rsidR="0044397F" w:rsidRPr="0044397F">
        <w:rPr>
          <w:rFonts w:ascii="Times New Roman" w:eastAsia="Times New Roman" w:hAnsi="Times New Roman" w:cs="Times New Roman"/>
          <w:sz w:val="24"/>
          <w:szCs w:val="24"/>
        </w:rPr>
        <w:br/>
      </w:r>
      <w:r w:rsidR="0044397F" w:rsidRPr="0044397F">
        <w:rPr>
          <w:rFonts w:ascii="Times New Roman" w:eastAsia="Times New Roman" w:hAnsi="Times New Roman" w:cs="Times New Roman"/>
          <w:sz w:val="24"/>
          <w:szCs w:val="24"/>
        </w:rPr>
        <w:br/>
        <w:t>However, there are areas of higher stress around bolt locations and structural interfaces where loads are applied, shown in green and yellow. This increased stress is due to shear stresses and design discontinuities. The maximum stress of 14.57 MPa is significantly lower than the yield strength of the materials used, ensuring a good safety margin against mechanical failure. This study confirms that the assembly is structurally sound for future evaluations of long-term performance under high temperatures using . as Shown Fig.(3)</w:t>
      </w:r>
    </w:p>
    <w:p w14:paraId="01F38ACA" w14:textId="77777777" w:rsidR="0044397F" w:rsidRPr="0044397F" w:rsidRDefault="0044397F" w:rsidP="0044397F">
      <w:pPr>
        <w:spacing w:after="0" w:line="240" w:lineRule="auto"/>
        <w:rPr>
          <w:rFonts w:ascii="Times New Roman" w:eastAsia="Times New Roman" w:hAnsi="Times New Roman" w:cs="Times New Roman"/>
          <w:sz w:val="24"/>
          <w:szCs w:val="24"/>
        </w:rPr>
      </w:pPr>
    </w:p>
    <w:p w14:paraId="2A249A43" w14:textId="5A69D20A" w:rsidR="002804C1" w:rsidRPr="00986305" w:rsidRDefault="00412D1A"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13BC173D" wp14:editId="6E9FE8A2">
            <wp:extent cx="4282440" cy="2517141"/>
            <wp:effectExtent l="0" t="0" r="3810" b="0"/>
            <wp:docPr id="1521402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85283" cy="2518812"/>
                    </a:xfrm>
                    <a:prstGeom prst="rect">
                      <a:avLst/>
                    </a:prstGeom>
                    <a:noFill/>
                  </pic:spPr>
                </pic:pic>
              </a:graphicData>
            </a:graphic>
          </wp:inline>
        </w:drawing>
      </w:r>
    </w:p>
    <w:p w14:paraId="29D29E63" w14:textId="06EE6CB2" w:rsidR="002804C1" w:rsidRPr="00986305" w:rsidRDefault="00986305" w:rsidP="00986305">
      <w:pPr>
        <w:ind w:left="-1152" w:right="-432"/>
        <w:jc w:val="center"/>
        <w:rPr>
          <w:rFonts w:asciiTheme="majorBidi" w:hAnsiTheme="majorBidi" w:cstheme="majorBidi"/>
          <w:sz w:val="24"/>
          <w:szCs w:val="24"/>
        </w:rPr>
      </w:pPr>
      <w:r w:rsidRPr="00986305">
        <w:rPr>
          <w:rFonts w:asciiTheme="majorBidi" w:hAnsiTheme="majorBidi" w:cstheme="majorBidi"/>
          <w:sz w:val="24"/>
          <w:szCs w:val="24"/>
        </w:rPr>
        <w:t>Fig. (3) Von Mises Stress</w:t>
      </w:r>
    </w:p>
    <w:p w14:paraId="46359D26" w14:textId="77777777" w:rsidR="002804C1" w:rsidRPr="00986305" w:rsidRDefault="002804C1" w:rsidP="003F65E2">
      <w:pPr>
        <w:rPr>
          <w:rFonts w:asciiTheme="majorBidi" w:hAnsiTheme="majorBidi" w:cstheme="majorBidi"/>
          <w:sz w:val="24"/>
          <w:szCs w:val="24"/>
        </w:rPr>
      </w:pPr>
    </w:p>
    <w:p w14:paraId="5BFF7E60" w14:textId="77777777" w:rsidR="004A5896" w:rsidRDefault="004A5896" w:rsidP="003F65E2">
      <w:pPr>
        <w:rPr>
          <w:rFonts w:asciiTheme="majorBidi" w:hAnsiTheme="majorBidi" w:cstheme="majorBidi"/>
          <w:b/>
          <w:bCs/>
          <w:sz w:val="24"/>
          <w:szCs w:val="24"/>
        </w:rPr>
      </w:pPr>
    </w:p>
    <w:p w14:paraId="57228871" w14:textId="45A6D203" w:rsidR="006336FF" w:rsidRPr="00986305" w:rsidRDefault="006336FF" w:rsidP="003F65E2">
      <w:pPr>
        <w:rPr>
          <w:rFonts w:asciiTheme="majorBidi" w:hAnsiTheme="majorBidi" w:cstheme="majorBidi"/>
          <w:b/>
          <w:bCs/>
          <w:sz w:val="24"/>
          <w:szCs w:val="24"/>
        </w:rPr>
      </w:pPr>
    </w:p>
    <w:p w14:paraId="46C803DB" w14:textId="2BD39475" w:rsidR="0044397F" w:rsidRPr="0044397F" w:rsidRDefault="0044397F" w:rsidP="0044397F">
      <w:pPr>
        <w:rPr>
          <w:rFonts w:asciiTheme="majorBidi" w:hAnsiTheme="majorBidi" w:cstheme="majorBidi"/>
          <w:sz w:val="24"/>
          <w:szCs w:val="24"/>
        </w:rPr>
      </w:pPr>
      <w:r>
        <w:rPr>
          <w:rFonts w:asciiTheme="majorBidi" w:hAnsiTheme="majorBidi" w:cstheme="majorBidi"/>
          <w:sz w:val="24"/>
          <w:szCs w:val="24"/>
        </w:rPr>
        <w:t>-</w:t>
      </w:r>
      <w:r w:rsidRPr="0044397F">
        <w:rPr>
          <w:rFonts w:asciiTheme="majorBidi" w:hAnsiTheme="majorBidi" w:cstheme="majorBidi"/>
          <w:sz w:val="24"/>
          <w:szCs w:val="24"/>
        </w:rPr>
        <w:t xml:space="preserve">The physical response of the Siemens SGT5-8000H assembly under combined thermo-mechanical loading was studied by analyzing the global displacement field. The total displacement ranges from 0.00 mm at the rigid anchoring interface to a maximum of 0.007724 mm. </w:t>
      </w:r>
      <w:r w:rsidRPr="0044397F">
        <w:rPr>
          <w:rFonts w:asciiTheme="majorBidi" w:hAnsiTheme="majorBidi" w:cstheme="majorBidi"/>
          <w:sz w:val="24"/>
          <w:szCs w:val="24"/>
        </w:rPr>
        <w:br/>
      </w:r>
      <w:r w:rsidRPr="0044397F">
        <w:rPr>
          <w:rFonts w:asciiTheme="majorBidi" w:hAnsiTheme="majorBidi" w:cstheme="majorBidi"/>
          <w:sz w:val="24"/>
          <w:szCs w:val="24"/>
        </w:rPr>
        <w:br/>
        <w:t xml:space="preserve">The deformation profile shows a highly constrained structure, with the main mounting flange displaying almost no displacement, confirming the effectiveness of the fixed constraint in preventing movements. The greatest deformation, at 0.007724 mm, occurs on the outer shell of the cylinder, indicating slight radial expansion due to thermal expansion at 800°C and internal pressure. </w:t>
      </w:r>
      <w:r w:rsidRPr="0044397F">
        <w:rPr>
          <w:rFonts w:asciiTheme="majorBidi" w:hAnsiTheme="majorBidi" w:cstheme="majorBidi"/>
          <w:sz w:val="24"/>
          <w:szCs w:val="24"/>
        </w:rPr>
        <w:br/>
      </w:r>
      <w:r w:rsidRPr="0044397F">
        <w:rPr>
          <w:rFonts w:asciiTheme="majorBidi" w:hAnsiTheme="majorBidi" w:cstheme="majorBidi"/>
          <w:sz w:val="24"/>
          <w:szCs w:val="24"/>
        </w:rPr>
        <w:br/>
        <w:t xml:space="preserve">This minimal displacement is structurally insignificant, ensuring that the component remains stable during operation, thus eliminating risks related to reduced clearance or interference with adjacent machinery. The assembly's high stiffness supports its structural integrity for long-term use. </w:t>
      </w:r>
    </w:p>
    <w:p w14:paraId="13CCF193" w14:textId="58155E1B" w:rsidR="00740A5D"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w:t>
      </w:r>
      <w:r w:rsidR="004A5896">
        <w:rPr>
          <w:rFonts w:asciiTheme="majorBidi" w:hAnsiTheme="majorBidi" w:cstheme="majorBidi"/>
          <w:sz w:val="24"/>
          <w:szCs w:val="24"/>
        </w:rPr>
        <w:t>Fig</w:t>
      </w:r>
      <w:r w:rsidR="000A1946">
        <w:rPr>
          <w:rFonts w:asciiTheme="majorBidi" w:hAnsiTheme="majorBidi" w:cstheme="majorBidi"/>
          <w:sz w:val="24"/>
          <w:szCs w:val="24"/>
        </w:rPr>
        <w:t>.(4)</w:t>
      </w:r>
    </w:p>
    <w:p w14:paraId="382810B9" w14:textId="2F5ABF9C" w:rsidR="00412D1A" w:rsidRPr="00986305" w:rsidRDefault="002804C1" w:rsidP="00412D1A">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CDB45C5" wp14:editId="62A988CC">
            <wp:extent cx="4163695" cy="2152015"/>
            <wp:effectExtent l="0" t="0" r="8255" b="635"/>
            <wp:docPr id="1745250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3695" cy="2152015"/>
                    </a:xfrm>
                    <a:prstGeom prst="rect">
                      <a:avLst/>
                    </a:prstGeom>
                    <a:noFill/>
                  </pic:spPr>
                </pic:pic>
              </a:graphicData>
            </a:graphic>
          </wp:inline>
        </w:drawing>
      </w:r>
    </w:p>
    <w:p w14:paraId="57228872" w14:textId="20C37F11" w:rsidR="006336FF" w:rsidRPr="00986305" w:rsidRDefault="006336FF" w:rsidP="00986305">
      <w:pPr>
        <w:ind w:left="-1152" w:right="-432"/>
        <w:jc w:val="center"/>
        <w:rPr>
          <w:rFonts w:asciiTheme="majorBidi" w:hAnsiTheme="majorBidi" w:cstheme="majorBidi"/>
          <w:sz w:val="24"/>
          <w:szCs w:val="24"/>
        </w:rPr>
      </w:pPr>
      <w:r w:rsidRPr="00986305">
        <w:rPr>
          <w:rFonts w:asciiTheme="majorBidi" w:hAnsiTheme="majorBidi" w:cstheme="majorBidi"/>
          <w:sz w:val="24"/>
          <w:szCs w:val="24"/>
        </w:rPr>
        <w:t xml:space="preserve"> </w:t>
      </w:r>
      <w:r w:rsidR="00986305" w:rsidRPr="00986305">
        <w:rPr>
          <w:rFonts w:asciiTheme="majorBidi" w:hAnsiTheme="majorBidi" w:cstheme="majorBidi"/>
          <w:sz w:val="24"/>
          <w:szCs w:val="24"/>
        </w:rPr>
        <w:t>Fig. (4) Displacement Analysis</w:t>
      </w:r>
      <w:r w:rsidR="00986305" w:rsidRPr="00986305">
        <w:rPr>
          <w:rFonts w:asciiTheme="majorBidi" w:hAnsiTheme="majorBidi" w:cstheme="majorBidi"/>
          <w:b/>
          <w:bCs/>
          <w:sz w:val="24"/>
          <w:szCs w:val="24"/>
        </w:rPr>
        <w:t xml:space="preserve">  </w:t>
      </w:r>
    </w:p>
    <w:p w14:paraId="57228873" w14:textId="4E009704"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 </w:t>
      </w:r>
    </w:p>
    <w:p w14:paraId="0B84C47F" w14:textId="77777777" w:rsidR="002A3058" w:rsidRPr="002A3058" w:rsidRDefault="002A3058" w:rsidP="002A3058">
      <w:pPr>
        <w:rPr>
          <w:rFonts w:ascii="Times New Roman" w:eastAsia="Times New Roman" w:hAnsi="Times New Roman" w:cs="Times New Roman"/>
          <w:sz w:val="24"/>
          <w:szCs w:val="24"/>
        </w:rPr>
      </w:pPr>
      <w:r>
        <w:rPr>
          <w:rFonts w:asciiTheme="majorBidi" w:hAnsiTheme="majorBidi" w:cstheme="majorBidi"/>
          <w:sz w:val="24"/>
          <w:szCs w:val="24"/>
        </w:rPr>
        <w:t>-</w:t>
      </w:r>
      <w:r w:rsidRPr="002A3058">
        <w:rPr>
          <w:rFonts w:ascii="Times New Roman" w:eastAsia="Times New Roman" w:hAnsi="Times New Roman" w:cs="Times New Roman"/>
          <w:sz w:val="24"/>
          <w:szCs w:val="24"/>
        </w:rPr>
        <w:t xml:space="preserve">A grid convergence study was done to ensure that the stress and displacement fields are independent of the finite element mesh used. The study's geometric layout and convergence trajectory are shown in image_a0d0a2. </w:t>
      </w:r>
      <w:proofErr w:type="spellStart"/>
      <w:r w:rsidRPr="002A3058">
        <w:rPr>
          <w:rFonts w:ascii="Times New Roman" w:eastAsia="Times New Roman" w:hAnsi="Times New Roman" w:cs="Times New Roman"/>
          <w:sz w:val="24"/>
          <w:szCs w:val="24"/>
        </w:rPr>
        <w:t>png</w:t>
      </w:r>
      <w:proofErr w:type="spellEnd"/>
      <w:r w:rsidRPr="002A3058">
        <w:rPr>
          <w:rFonts w:ascii="Times New Roman" w:eastAsia="Times New Roman" w:hAnsi="Times New Roman" w:cs="Times New Roman"/>
          <w:sz w:val="24"/>
          <w:szCs w:val="24"/>
        </w:rPr>
        <w:t xml:space="preserve">. Key dimensions include a length of 1296. 7 mm, a flange diameter of 733.8 mm, and a sub-step span of 592.2 mm, which were important for grid discretization. </w:t>
      </w:r>
      <w:r w:rsidRPr="002A3058">
        <w:rPr>
          <w:rFonts w:ascii="Times New Roman" w:eastAsia="Times New Roman" w:hAnsi="Times New Roman" w:cs="Times New Roman"/>
          <w:sz w:val="24"/>
          <w:szCs w:val="24"/>
        </w:rPr>
        <w:br/>
      </w:r>
      <w:r w:rsidRPr="002A3058">
        <w:rPr>
          <w:rFonts w:ascii="Times New Roman" w:eastAsia="Times New Roman" w:hAnsi="Times New Roman" w:cs="Times New Roman"/>
          <w:sz w:val="24"/>
          <w:szCs w:val="24"/>
        </w:rPr>
        <w:br/>
        <w:t xml:space="preserve">The maximum Von Mises stress was tracked over five solution steps with increasing mesh refinement. In the first step, the stress was 5.853 MPa, and as the mesh got finer, the solver captured high-frequency stress gradients around significant areas, stabilizing between 14.57 MPa in steps 4 and 5. The final convergence rate was 1.449%, well below the 5% threshold, confirming minimal spatial discretization error. This shows high accuracy in the finite element model, making the thermo-mechanical stress values reliable for Larson-Miller Parameter life-prediction algorithms. </w:t>
      </w:r>
    </w:p>
    <w:p w14:paraId="57228874" w14:textId="7F72F3CE"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w:t>
      </w:r>
      <w:r w:rsidR="000A1946">
        <w:rPr>
          <w:rFonts w:asciiTheme="majorBidi" w:hAnsiTheme="majorBidi" w:cstheme="majorBidi"/>
          <w:sz w:val="24"/>
          <w:szCs w:val="24"/>
        </w:rPr>
        <w:t>As Shown Fig(5)</w:t>
      </w:r>
      <w:r w:rsidRPr="00986305">
        <w:rPr>
          <w:rFonts w:asciiTheme="majorBidi" w:hAnsiTheme="majorBidi" w:cstheme="majorBidi"/>
          <w:sz w:val="24"/>
          <w:szCs w:val="24"/>
        </w:rPr>
        <w:t xml:space="preserve"> </w:t>
      </w:r>
    </w:p>
    <w:p w14:paraId="1B57A4A8" w14:textId="140D67AB" w:rsidR="00E17942" w:rsidRPr="00986305" w:rsidRDefault="00412D1A" w:rsidP="00412D1A">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C649A89" wp14:editId="166D554D">
            <wp:extent cx="4884420" cy="2486931"/>
            <wp:effectExtent l="0" t="0" r="0" b="8890"/>
            <wp:docPr id="1981872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94575" cy="2492102"/>
                    </a:xfrm>
                    <a:prstGeom prst="rect">
                      <a:avLst/>
                    </a:prstGeom>
                    <a:noFill/>
                  </pic:spPr>
                </pic:pic>
              </a:graphicData>
            </a:graphic>
          </wp:inline>
        </w:drawing>
      </w:r>
    </w:p>
    <w:p w14:paraId="5361BE52" w14:textId="6F35BD8F" w:rsidR="000A1946" w:rsidRPr="00B7769F" w:rsidRDefault="00986305" w:rsidP="00B7769F">
      <w:pPr>
        <w:ind w:left="-1152" w:right="-432"/>
        <w:jc w:val="center"/>
        <w:rPr>
          <w:rFonts w:asciiTheme="majorBidi" w:hAnsiTheme="majorBidi" w:cstheme="majorBidi"/>
          <w:sz w:val="24"/>
          <w:szCs w:val="24"/>
        </w:rPr>
      </w:pPr>
      <w:r w:rsidRPr="00986305">
        <w:rPr>
          <w:rFonts w:asciiTheme="majorBidi" w:hAnsiTheme="majorBidi" w:cstheme="majorBidi"/>
          <w:sz w:val="24"/>
          <w:szCs w:val="24"/>
        </w:rPr>
        <w:t xml:space="preserve">Fig. (5) Convergence Analysis  </w:t>
      </w:r>
    </w:p>
    <w:p w14:paraId="57228875" w14:textId="18A6D5B8"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4.4 Residual Lifetime Prediction  </w:t>
      </w:r>
    </w:p>
    <w:p w14:paraId="5589801F" w14:textId="77777777" w:rsidR="007F0ADA" w:rsidRPr="007F0ADA" w:rsidRDefault="007F0ADA" w:rsidP="007F0ADA">
      <w:pPr>
        <w:rPr>
          <w:rFonts w:asciiTheme="majorBidi" w:hAnsiTheme="majorBidi" w:cstheme="majorBidi"/>
          <w:sz w:val="24"/>
          <w:szCs w:val="24"/>
        </w:rPr>
      </w:pPr>
      <w:r w:rsidRPr="007F0ADA">
        <w:rPr>
          <w:rFonts w:asciiTheme="majorBidi" w:hAnsiTheme="majorBidi" w:cstheme="majorBidi"/>
          <w:sz w:val="24"/>
          <w:szCs w:val="24"/>
        </w:rPr>
        <w:t>The analytical prognostic evaluation uses the Larson-Miller Parameter (LMP) framework to predict an operational baseline for a component experiencing thermo-mechanical stress at 800°C, estimating a creep rupture life of around 10,000 hours. The component operates at a stress level of 14.57 MPa, placing it in a low-stress region of the stress-rupture curve, where structural degradation is mainly due to microstructural changes rather than mechanical overload.</w:t>
      </w:r>
    </w:p>
    <w:p w14:paraId="1705131C" w14:textId="77777777" w:rsidR="007F0ADA" w:rsidRPr="007F0ADA" w:rsidRDefault="007F0ADA" w:rsidP="007F0ADA">
      <w:pPr>
        <w:rPr>
          <w:rFonts w:asciiTheme="majorBidi" w:hAnsiTheme="majorBidi" w:cstheme="majorBidi"/>
          <w:sz w:val="24"/>
          <w:szCs w:val="24"/>
        </w:rPr>
      </w:pPr>
    </w:p>
    <w:p w14:paraId="57228877" w14:textId="58A9DFF7" w:rsidR="006336FF" w:rsidRPr="00986305" w:rsidRDefault="007F0ADA" w:rsidP="007F0ADA">
      <w:pPr>
        <w:rPr>
          <w:rFonts w:asciiTheme="majorBidi" w:hAnsiTheme="majorBidi" w:cstheme="majorBidi"/>
          <w:sz w:val="24"/>
          <w:szCs w:val="24"/>
        </w:rPr>
      </w:pPr>
      <w:r w:rsidRPr="007F0ADA">
        <w:rPr>
          <w:rFonts w:asciiTheme="majorBidi" w:hAnsiTheme="majorBidi" w:cstheme="majorBidi"/>
          <w:sz w:val="24"/>
          <w:szCs w:val="24"/>
        </w:rPr>
        <w:t>At this temperature, the energy allows for effective vacancy movement within the material. The limited stress keeps strain growth very low, suggesting a stable and long operational life without immediate risk of failure. For asset management, ensuring the design stays in this safe stress zone is crucial for the Siemens SGT5-8000H gas turbine. However, ongoing monitoring is needed to avoid degradation from oxidation and sulfidation, which can raise stress levels over time.</w:t>
      </w:r>
      <w:r w:rsidRPr="00986305">
        <w:rPr>
          <w:rFonts w:asciiTheme="majorBidi" w:hAnsiTheme="majorBidi" w:cstheme="majorBidi"/>
          <w:sz w:val="24"/>
          <w:szCs w:val="24"/>
        </w:rPr>
        <w:t xml:space="preserve"> </w:t>
      </w:r>
      <w:r>
        <w:rPr>
          <w:rFonts w:asciiTheme="majorBidi" w:hAnsiTheme="majorBidi" w:cstheme="majorBidi"/>
          <w:sz w:val="24"/>
          <w:szCs w:val="24"/>
        </w:rPr>
        <w:t>As</w:t>
      </w:r>
      <w:r w:rsidR="00701E57">
        <w:rPr>
          <w:rFonts w:asciiTheme="majorBidi" w:hAnsiTheme="majorBidi" w:cstheme="majorBidi"/>
          <w:sz w:val="24"/>
          <w:szCs w:val="24"/>
        </w:rPr>
        <w:t xml:space="preserve"> Shown Fig(6)</w:t>
      </w:r>
    </w:p>
    <w:p w14:paraId="4A44D6E8" w14:textId="4A802A3A" w:rsidR="00E17942" w:rsidRPr="00986305" w:rsidRDefault="00A85586" w:rsidP="003F65E2">
      <w:pPr>
        <w:rPr>
          <w:rFonts w:asciiTheme="majorBidi" w:hAnsiTheme="majorBidi" w:cstheme="majorBidi" w:hint="cs"/>
          <w:sz w:val="24"/>
          <w:szCs w:val="24"/>
          <w:rtl/>
          <w:lang w:bidi="ar-EG"/>
        </w:rPr>
      </w:pPr>
      <w:r w:rsidRPr="00A85586">
        <w:rPr>
          <w:rFonts w:asciiTheme="majorBidi" w:hAnsiTheme="majorBidi" w:cstheme="majorBidi"/>
          <w:sz w:val="24"/>
          <w:szCs w:val="24"/>
        </w:rPr>
        <w:drawing>
          <wp:inline distT="0" distB="0" distL="0" distR="0" wp14:anchorId="31E0CEB5" wp14:editId="59E90A77">
            <wp:extent cx="5943600" cy="3546475"/>
            <wp:effectExtent l="0" t="0" r="0" b="0"/>
            <wp:docPr id="85752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25822" name=""/>
                    <pic:cNvPicPr/>
                  </pic:nvPicPr>
                  <pic:blipFill>
                    <a:blip r:embed="rId30"/>
                    <a:stretch>
                      <a:fillRect/>
                    </a:stretch>
                  </pic:blipFill>
                  <pic:spPr>
                    <a:xfrm>
                      <a:off x="0" y="0"/>
                      <a:ext cx="5943600" cy="3546475"/>
                    </a:xfrm>
                    <a:prstGeom prst="rect">
                      <a:avLst/>
                    </a:prstGeom>
                  </pic:spPr>
                </pic:pic>
              </a:graphicData>
            </a:graphic>
          </wp:inline>
        </w:drawing>
      </w:r>
    </w:p>
    <w:p w14:paraId="59C1D896" w14:textId="41023D74" w:rsidR="00E17942" w:rsidRDefault="00AB4DAB" w:rsidP="00701E57">
      <w:pPr>
        <w:jc w:val="center"/>
        <w:rPr>
          <w:rFonts w:asciiTheme="majorBidi" w:hAnsiTheme="majorBidi" w:cstheme="majorBidi"/>
          <w:sz w:val="24"/>
          <w:szCs w:val="24"/>
          <w:rtl/>
        </w:rPr>
      </w:pPr>
      <w:r>
        <w:rPr>
          <w:rFonts w:asciiTheme="majorBidi" w:hAnsiTheme="majorBidi" w:cstheme="majorBidi"/>
          <w:sz w:val="24"/>
          <w:szCs w:val="24"/>
        </w:rPr>
        <w:t>Fig(6)</w:t>
      </w:r>
    </w:p>
    <w:p w14:paraId="3EF94EBA" w14:textId="2CC69986" w:rsidR="00A52EF1" w:rsidRPr="00986305" w:rsidRDefault="00975249" w:rsidP="00A71788">
      <w:pPr>
        <w:rPr>
          <w:rFonts w:asciiTheme="majorBidi" w:hAnsiTheme="majorBidi" w:cstheme="majorBidi"/>
          <w:sz w:val="24"/>
          <w:szCs w:val="24"/>
          <w:lang w:bidi="ar-EG"/>
        </w:rPr>
      </w:pPr>
      <w:r w:rsidRPr="00975249">
        <w:rPr>
          <w:rFonts w:asciiTheme="majorBidi" w:hAnsiTheme="majorBidi" w:cstheme="majorBidi"/>
          <w:sz w:val="24"/>
          <w:szCs w:val="24"/>
          <w:lang w:bidi="ar-EG"/>
        </w:rPr>
        <w:t>By defining C1, C2, and C3 for a specific metal alloy</w:t>
      </w:r>
      <w:r w:rsidR="000D2E52">
        <w:rPr>
          <w:rFonts w:asciiTheme="majorBidi" w:hAnsiTheme="majorBidi" w:cstheme="majorBidi"/>
          <w:sz w:val="24"/>
          <w:szCs w:val="24"/>
          <w:lang w:bidi="ar-EG"/>
        </w:rPr>
        <w:t xml:space="preserve"> F</w:t>
      </w:r>
      <w:r w:rsidR="000832F3">
        <w:rPr>
          <w:rFonts w:asciiTheme="majorBidi" w:hAnsiTheme="majorBidi" w:cstheme="majorBidi"/>
          <w:sz w:val="24"/>
          <w:szCs w:val="24"/>
          <w:lang w:bidi="ar-EG"/>
        </w:rPr>
        <w:t>rom ASME Table</w:t>
      </w:r>
      <w:r w:rsidRPr="00975249">
        <w:rPr>
          <w:rFonts w:asciiTheme="majorBidi" w:hAnsiTheme="majorBidi" w:cstheme="majorBidi"/>
          <w:sz w:val="24"/>
          <w:szCs w:val="24"/>
          <w:lang w:bidi="ar-EG"/>
        </w:rPr>
        <w:t xml:space="preserve"> (such as SS316 or SS304), engineers can </w:t>
      </w:r>
      <w:r w:rsidR="000832F3" w:rsidRPr="00975249">
        <w:rPr>
          <w:rFonts w:asciiTheme="majorBidi" w:hAnsiTheme="majorBidi" w:cstheme="majorBidi"/>
          <w:sz w:val="24"/>
          <w:szCs w:val="24"/>
          <w:lang w:bidi="ar-EG"/>
        </w:rPr>
        <w:t>input</w:t>
      </w:r>
      <w:r w:rsidRPr="00975249">
        <w:rPr>
          <w:rFonts w:asciiTheme="majorBidi" w:hAnsiTheme="majorBidi" w:cstheme="majorBidi"/>
          <w:sz w:val="24"/>
          <w:szCs w:val="24"/>
          <w:lang w:bidi="ar-EG"/>
        </w:rPr>
        <w:t xml:space="preserve"> any operating stress </w:t>
      </w:r>
      <m:oMath>
        <m:r>
          <w:rPr>
            <w:rFonts w:ascii="Cambria Math" w:hAnsi="Cambria Math" w:cstheme="majorBidi"/>
            <w:sz w:val="24"/>
            <w:szCs w:val="24"/>
          </w:rPr>
          <m:t>σ</m:t>
        </m:r>
      </m:oMath>
      <w:r w:rsidRPr="00975249">
        <w:rPr>
          <w:rFonts w:asciiTheme="majorBidi" w:hAnsiTheme="majorBidi" w:cstheme="majorBidi"/>
          <w:sz w:val="24"/>
          <w:szCs w:val="24"/>
          <w:lang w:bidi="ar-EG"/>
        </w:rPr>
        <w:t>and temperature (T) to directly solve for the Time to Rupture (tr), allowing for precise Residual Useful Life (RUL) and structural integrity assessments of power station components</w:t>
      </w:r>
    </w:p>
    <w:p w14:paraId="57228878" w14:textId="77777777" w:rsidR="00314A57" w:rsidRPr="00986305" w:rsidRDefault="00AB0195"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8">
          <v:rect id="_x0000_i1031" style="width:468pt;height:1.5pt" o:hralign="center" o:hrstd="t" o:hr="t" fillcolor="#a0a0a0" stroked="f"/>
        </w:pict>
      </w:r>
    </w:p>
    <w:p w14:paraId="57228879" w14:textId="77777777" w:rsidR="00314A57" w:rsidRPr="00986305" w:rsidRDefault="00314A57" w:rsidP="003F65E2">
      <w:pPr>
        <w:rPr>
          <w:rFonts w:asciiTheme="majorBidi" w:hAnsiTheme="majorBidi" w:cstheme="majorBidi"/>
          <w:sz w:val="24"/>
          <w:szCs w:val="24"/>
        </w:rPr>
      </w:pPr>
    </w:p>
    <w:p w14:paraId="5722887A" w14:textId="7B027582"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5. </w:t>
      </w:r>
      <w:r w:rsidR="007F0ADA">
        <w:rPr>
          <w:rFonts w:asciiTheme="majorBidi" w:hAnsiTheme="majorBidi" w:cstheme="majorBidi"/>
          <w:b/>
          <w:bCs/>
          <w:sz w:val="24"/>
          <w:szCs w:val="24"/>
        </w:rPr>
        <w:t xml:space="preserve">Conclusion </w:t>
      </w:r>
    </w:p>
    <w:p w14:paraId="624D4D1E" w14:textId="77777777" w:rsidR="007F0ADA" w:rsidRPr="007F0ADA" w:rsidRDefault="007F0ADA" w:rsidP="007F0ADA">
      <w:pPr>
        <w:spacing w:after="0"/>
        <w:jc w:val="center"/>
        <w:rPr>
          <w:rFonts w:asciiTheme="majorBidi" w:hAnsiTheme="majorBidi" w:cstheme="majorBidi"/>
          <w:sz w:val="24"/>
          <w:szCs w:val="24"/>
        </w:rPr>
      </w:pPr>
      <w:r w:rsidRPr="007F0ADA">
        <w:rPr>
          <w:rFonts w:asciiTheme="majorBidi" w:hAnsiTheme="majorBidi" w:cstheme="majorBidi"/>
          <w:sz w:val="24"/>
          <w:szCs w:val="24"/>
        </w:rPr>
        <w:t xml:space="preserve">This study successfully developed and validated a robust hybrid prognostic framework for predicting the Residual Useful Life (RUL) of combustion chamber liners in heavy-duty gas turbines, specifically focusing on the Siemens SGT5-8000H operating under actual baseload conditions at the New Administrative Capital power station. By integrating high-fidelity 3D Finite Element Analysis (FEA) with empirical parameter methodologies and chemical kinetics, a comprehensive thermo-chemo-mechanical evaluation was achieved. </w:t>
      </w:r>
    </w:p>
    <w:p w14:paraId="4A9467B1" w14:textId="77777777" w:rsidR="007F0ADA" w:rsidRPr="007F0ADA" w:rsidRDefault="007F0ADA" w:rsidP="007F0ADA">
      <w:pPr>
        <w:spacing w:after="0"/>
        <w:jc w:val="center"/>
        <w:rPr>
          <w:rFonts w:asciiTheme="majorBidi" w:hAnsiTheme="majorBidi" w:cstheme="majorBidi"/>
          <w:sz w:val="24"/>
          <w:szCs w:val="24"/>
        </w:rPr>
      </w:pPr>
    </w:p>
    <w:p w14:paraId="3A5ACB71" w14:textId="77777777" w:rsidR="007F0ADA" w:rsidRPr="007F0ADA" w:rsidRDefault="007F0ADA" w:rsidP="007F0ADA">
      <w:pPr>
        <w:spacing w:after="0"/>
        <w:rPr>
          <w:rFonts w:asciiTheme="majorBidi" w:hAnsiTheme="majorBidi" w:cstheme="majorBidi"/>
          <w:sz w:val="24"/>
          <w:szCs w:val="24"/>
        </w:rPr>
      </w:pPr>
      <w:r w:rsidRPr="007F0ADA">
        <w:rPr>
          <w:rFonts w:asciiTheme="majorBidi" w:hAnsiTheme="majorBidi" w:cstheme="majorBidi"/>
          <w:sz w:val="24"/>
          <w:szCs w:val="24"/>
        </w:rPr>
        <w:t>The investigation yielded several critical conclusions:</w:t>
      </w:r>
    </w:p>
    <w:p w14:paraId="483B753C" w14:textId="77777777" w:rsidR="007F0ADA" w:rsidRPr="007F0ADA" w:rsidRDefault="007F0ADA" w:rsidP="007F0ADA">
      <w:pPr>
        <w:spacing w:after="0"/>
        <w:jc w:val="center"/>
        <w:rPr>
          <w:rFonts w:asciiTheme="majorBidi" w:hAnsiTheme="majorBidi" w:cstheme="majorBidi"/>
          <w:sz w:val="24"/>
          <w:szCs w:val="24"/>
        </w:rPr>
      </w:pPr>
    </w:p>
    <w:p w14:paraId="2C0D47B4" w14:textId="336F8991" w:rsidR="007F0ADA" w:rsidRPr="007F0ADA" w:rsidRDefault="0025458B" w:rsidP="0025458B">
      <w:pPr>
        <w:spacing w:after="0"/>
        <w:rPr>
          <w:rFonts w:asciiTheme="majorBidi" w:hAnsiTheme="majorBidi" w:cstheme="majorBidi"/>
          <w:sz w:val="24"/>
          <w:szCs w:val="24"/>
        </w:rPr>
      </w:pPr>
      <w:r>
        <w:rPr>
          <w:rFonts w:asciiTheme="majorBidi" w:hAnsiTheme="majorBidi" w:cstheme="majorBidi"/>
          <w:sz w:val="24"/>
          <w:szCs w:val="24"/>
        </w:rPr>
        <w:t>-</w:t>
      </w:r>
      <w:r w:rsidR="007F0ADA" w:rsidRPr="007F0ADA">
        <w:rPr>
          <w:rFonts w:asciiTheme="majorBidi" w:hAnsiTheme="majorBidi" w:cstheme="majorBidi"/>
          <w:sz w:val="24"/>
          <w:szCs w:val="24"/>
        </w:rPr>
        <w:t>High-Fidelity Validation and Model Fidelity: The established finite element platform demonstrated exceptional numerical accuracy. Structural cross-verification under normative axial loading against governing mechanical equations confirmed a perfect convergence (0.00% relative error) at the critical geometric constrictions (X = 1021.3 mm), where the computed stress matched the material's elastic yield limit of 355 MPa. Furthermore, a comprehensive grid independence study yielded a strict convergence rate of 1.449%, mathematically validating that the simulated stress fields are completely independent of spatial discretization uncertainties.</w:t>
      </w:r>
    </w:p>
    <w:p w14:paraId="1484941E" w14:textId="77777777" w:rsidR="007F0ADA" w:rsidRPr="007F0ADA" w:rsidRDefault="007F0ADA" w:rsidP="007F0ADA">
      <w:pPr>
        <w:spacing w:after="0"/>
        <w:jc w:val="center"/>
        <w:rPr>
          <w:rFonts w:asciiTheme="majorBidi" w:hAnsiTheme="majorBidi" w:cstheme="majorBidi"/>
          <w:sz w:val="24"/>
          <w:szCs w:val="24"/>
        </w:rPr>
      </w:pPr>
    </w:p>
    <w:p w14:paraId="3D330091" w14:textId="12C89D8F" w:rsidR="007F0ADA" w:rsidRPr="007F0ADA" w:rsidRDefault="0025458B" w:rsidP="007F0ADA">
      <w:pPr>
        <w:spacing w:after="0"/>
        <w:jc w:val="center"/>
        <w:rPr>
          <w:rFonts w:asciiTheme="majorBidi" w:hAnsiTheme="majorBidi" w:cstheme="majorBidi"/>
          <w:sz w:val="24"/>
          <w:szCs w:val="24"/>
        </w:rPr>
      </w:pPr>
      <w:r>
        <w:rPr>
          <w:rFonts w:asciiTheme="majorBidi" w:hAnsiTheme="majorBidi" w:cstheme="majorBidi"/>
          <w:sz w:val="24"/>
          <w:szCs w:val="24"/>
        </w:rPr>
        <w:t>-</w:t>
      </w:r>
      <w:r w:rsidR="007F0ADA" w:rsidRPr="007F0ADA">
        <w:rPr>
          <w:rFonts w:asciiTheme="majorBidi" w:hAnsiTheme="majorBidi" w:cstheme="majorBidi"/>
          <w:sz w:val="24"/>
          <w:szCs w:val="24"/>
        </w:rPr>
        <w:t>Thermo-Mechanical Stability under Baseload Profile: The steady-state thermo-mechanical simulation under full operational envelopes quantified a localized maximum Von Mises equivalent stress of 14.57 MPa and an absolute peak displacement of 0.007724 mm. The spatial distribution demonstrated that the vast majority of the liner body remains within a low-stress, highly rigid envelope, and the sub-micron radial expansion (bulging) poses no threat to structural clearances or macro-yielding under continuous operation.</w:t>
      </w:r>
    </w:p>
    <w:p w14:paraId="68A980F5" w14:textId="77777777" w:rsidR="007F0ADA" w:rsidRPr="007F0ADA" w:rsidRDefault="007F0ADA" w:rsidP="007F0ADA">
      <w:pPr>
        <w:spacing w:after="0"/>
        <w:jc w:val="center"/>
        <w:rPr>
          <w:rFonts w:asciiTheme="majorBidi" w:hAnsiTheme="majorBidi" w:cstheme="majorBidi"/>
          <w:sz w:val="24"/>
          <w:szCs w:val="24"/>
        </w:rPr>
      </w:pPr>
    </w:p>
    <w:p w14:paraId="49C51F61" w14:textId="42914589" w:rsidR="007F0ADA" w:rsidRPr="007F0ADA" w:rsidRDefault="0025458B" w:rsidP="007F0ADA">
      <w:pPr>
        <w:spacing w:after="0"/>
        <w:jc w:val="center"/>
        <w:rPr>
          <w:rFonts w:asciiTheme="majorBidi" w:hAnsiTheme="majorBidi" w:cstheme="majorBidi"/>
          <w:sz w:val="24"/>
          <w:szCs w:val="24"/>
        </w:rPr>
      </w:pPr>
      <w:r>
        <w:rPr>
          <w:rFonts w:asciiTheme="majorBidi" w:hAnsiTheme="majorBidi" w:cstheme="majorBidi"/>
          <w:sz w:val="24"/>
          <w:szCs w:val="24"/>
        </w:rPr>
        <w:t>-</w:t>
      </w:r>
      <w:r w:rsidR="007F0ADA" w:rsidRPr="007F0ADA">
        <w:rPr>
          <w:rFonts w:asciiTheme="majorBidi" w:hAnsiTheme="majorBidi" w:cstheme="majorBidi"/>
          <w:sz w:val="24"/>
          <w:szCs w:val="24"/>
        </w:rPr>
        <w:t>Baseline Creep Life Forecasting: Utilizing the localized stress and temperature fields (800°C peak temperature and 14.57 MPa stress) within the analytical Larson-Miller Parameter (LMP) framework, the baseline model predicted an ideal creep rupture life of approximately 10,000 operating hours. This design point positions the combustion liner deep within the stable, low-stress, diffusion-controlled secondary creep regime of the material’s stress-rupture master curve.</w:t>
      </w:r>
    </w:p>
    <w:p w14:paraId="2A51A70E" w14:textId="77777777" w:rsidR="007F0ADA" w:rsidRPr="007F0ADA" w:rsidRDefault="007F0ADA" w:rsidP="007F0ADA">
      <w:pPr>
        <w:spacing w:after="0"/>
        <w:jc w:val="center"/>
        <w:rPr>
          <w:rFonts w:asciiTheme="majorBidi" w:hAnsiTheme="majorBidi" w:cstheme="majorBidi"/>
          <w:sz w:val="24"/>
          <w:szCs w:val="24"/>
        </w:rPr>
      </w:pPr>
    </w:p>
    <w:p w14:paraId="19827D42" w14:textId="134A638F" w:rsidR="007F0ADA" w:rsidRPr="007F0ADA" w:rsidRDefault="0025458B" w:rsidP="0025458B">
      <w:pPr>
        <w:spacing w:after="0"/>
        <w:jc w:val="center"/>
        <w:rPr>
          <w:rFonts w:asciiTheme="majorBidi" w:hAnsiTheme="majorBidi" w:cstheme="majorBidi"/>
          <w:sz w:val="24"/>
          <w:szCs w:val="24"/>
        </w:rPr>
      </w:pPr>
      <w:r>
        <w:rPr>
          <w:rFonts w:asciiTheme="majorBidi" w:hAnsiTheme="majorBidi" w:cstheme="majorBidi"/>
          <w:sz w:val="24"/>
          <w:szCs w:val="24"/>
        </w:rPr>
        <w:t>-</w:t>
      </w:r>
      <w:r w:rsidR="007F0ADA" w:rsidRPr="007F0ADA">
        <w:rPr>
          <w:rFonts w:asciiTheme="majorBidi" w:hAnsiTheme="majorBidi" w:cstheme="majorBidi"/>
          <w:sz w:val="24"/>
          <w:szCs w:val="24"/>
        </w:rPr>
        <w:t xml:space="preserve"> Coupled Thermo-Chemo-Mechanical Degradation: Crucially, the ideal 10,000-hour lifespan serves as an upper-bound limit due to the aggressive environmental synergism occurring within the combustion zone. Highly exothermic methane combustion maintains the substrate above its critical creep threshold (0.5 </w:t>
      </w:r>
      <w:proofErr w:type="spellStart"/>
      <w:r w:rsidR="007F0ADA" w:rsidRPr="007F0ADA">
        <w:rPr>
          <w:rFonts w:asciiTheme="majorBidi" w:hAnsiTheme="majorBidi" w:cstheme="majorBidi"/>
          <w:sz w:val="24"/>
          <w:szCs w:val="24"/>
        </w:rPr>
        <w:t>T_m</w:t>
      </w:r>
      <w:proofErr w:type="spellEnd"/>
      <w:r w:rsidR="007F0ADA" w:rsidRPr="007F0ADA">
        <w:rPr>
          <w:rFonts w:asciiTheme="majorBidi" w:hAnsiTheme="majorBidi" w:cstheme="majorBidi"/>
          <w:sz w:val="24"/>
          <w:szCs w:val="24"/>
        </w:rPr>
        <w:t>), while concurrent high-temperature oxidation (Fe_2O_3 and Cr_2O_3 formation) combined with high-velocity aerodynamic spallation continuously degrades the effective wall thickness (t_{eff}). This material loss triggers a non-linear acceleration of operating stress (</w:t>
      </w:r>
      <m:oMath>
        <m:r>
          <w:rPr>
            <w:rFonts w:ascii="Cambria Math" w:hAnsi="Cambria Math" w:cstheme="majorBidi"/>
            <w:sz w:val="24"/>
            <w:szCs w:val="24"/>
          </w:rPr>
          <m:t>σ</m:t>
        </m:r>
      </m:oMath>
      <w:r w:rsidR="007F0ADA" w:rsidRPr="007F0ADA">
        <w:rPr>
          <w:rFonts w:asciiTheme="majorBidi" w:hAnsiTheme="majorBidi" w:cstheme="majorBidi"/>
          <w:sz w:val="24"/>
          <w:szCs w:val="24"/>
        </w:rPr>
        <w:t xml:space="preserve"> = F/A), causing it to surpass the baseline 14.57 MPa.</w:t>
      </w:r>
    </w:p>
    <w:p w14:paraId="3E0C1728" w14:textId="77777777" w:rsidR="007F0ADA" w:rsidRPr="007F0ADA" w:rsidRDefault="007F0ADA" w:rsidP="007F0ADA">
      <w:pPr>
        <w:spacing w:after="0"/>
        <w:jc w:val="center"/>
        <w:rPr>
          <w:rFonts w:asciiTheme="majorBidi" w:hAnsiTheme="majorBidi" w:cstheme="majorBidi"/>
          <w:sz w:val="24"/>
          <w:szCs w:val="24"/>
        </w:rPr>
      </w:pPr>
    </w:p>
    <w:p w14:paraId="70E12CA0" w14:textId="4F79A6BA" w:rsidR="007F0ADA" w:rsidRPr="007F0ADA" w:rsidRDefault="0025458B" w:rsidP="007F0ADA">
      <w:pPr>
        <w:spacing w:after="0"/>
        <w:jc w:val="center"/>
        <w:rPr>
          <w:rFonts w:asciiTheme="majorBidi" w:hAnsiTheme="majorBidi" w:cstheme="majorBidi"/>
          <w:sz w:val="24"/>
          <w:szCs w:val="24"/>
        </w:rPr>
      </w:pPr>
      <w:r>
        <w:rPr>
          <w:rFonts w:asciiTheme="majorBidi" w:hAnsiTheme="majorBidi" w:cstheme="majorBidi"/>
          <w:sz w:val="24"/>
          <w:szCs w:val="24"/>
        </w:rPr>
        <w:t>-</w:t>
      </w:r>
      <w:r w:rsidR="007F0ADA" w:rsidRPr="007F0ADA">
        <w:rPr>
          <w:rFonts w:asciiTheme="majorBidi" w:hAnsiTheme="majorBidi" w:cstheme="majorBidi"/>
          <w:sz w:val="24"/>
          <w:szCs w:val="24"/>
        </w:rPr>
        <w:t>Hot Corrosion and Premature Failure Precursors: The degradation loop is severely accelerated by hot corrosion resulting from trace fuel impurities. The deposition of molten sodium sulfate (Na_2SO_4) drives aggressive intergranular sulfidation, targeting chromium-depleted grain boundaries. Because these boundaries govern vacancy diffusion and void nucleation during creep, this chemical attack induces severe intergranular embrittlement. The synergy between chemical wall thinning and microstructural embrittlement establishes a destructive feedback loop that prematurely transitions the material from secondary creep into catastrophic tertiary creep.</w:t>
      </w:r>
    </w:p>
    <w:p w14:paraId="0979E0D4" w14:textId="77777777" w:rsidR="007F0ADA" w:rsidRPr="007F0ADA" w:rsidRDefault="007F0ADA" w:rsidP="007F0ADA">
      <w:pPr>
        <w:spacing w:after="0"/>
        <w:jc w:val="center"/>
        <w:rPr>
          <w:rFonts w:asciiTheme="majorBidi" w:hAnsiTheme="majorBidi" w:cstheme="majorBidi"/>
          <w:sz w:val="24"/>
          <w:szCs w:val="24"/>
        </w:rPr>
      </w:pPr>
    </w:p>
    <w:p w14:paraId="5722887E" w14:textId="23B2CB4E" w:rsidR="00314A57" w:rsidRPr="00986305" w:rsidRDefault="007F0ADA" w:rsidP="007F0ADA">
      <w:pPr>
        <w:spacing w:after="0"/>
        <w:jc w:val="center"/>
        <w:rPr>
          <w:rFonts w:asciiTheme="majorBidi" w:eastAsia="Times New Roman" w:hAnsiTheme="majorBidi" w:cstheme="majorBidi"/>
          <w:sz w:val="24"/>
          <w:szCs w:val="24"/>
        </w:rPr>
      </w:pPr>
      <w:r w:rsidRPr="007F0ADA">
        <w:rPr>
          <w:rFonts w:asciiTheme="majorBidi" w:hAnsiTheme="majorBidi" w:cstheme="majorBidi"/>
          <w:sz w:val="24"/>
          <w:szCs w:val="24"/>
        </w:rPr>
        <w:t>In conclusion, this research highlights that pure mechanical life-prediction models over-optimistically estimate component longevity by ignoring environmental physics. The proposed coupled thermo-chemo-mechanical framework provides an essential, data-driven tool for strategic asset management and predictive maintenance planning. Implementing this prognostic tool at national generation infrastructures like the New Administrative Capital power station dramatically enhances grid sustainability, optimizes inspection intervals, and prevents catastrophic in-service failures of critical power generation assets.</w:t>
      </w:r>
      <w:r w:rsidR="00AB0195">
        <w:rPr>
          <w:rFonts w:asciiTheme="majorBidi" w:eastAsia="Times New Roman" w:hAnsiTheme="majorBidi" w:cstheme="majorBidi"/>
          <w:sz w:val="24"/>
          <w:szCs w:val="24"/>
        </w:rPr>
        <w:pict w14:anchorId="572288D9">
          <v:rect id="_x0000_i1032" style="width:468pt;height:1.5pt" o:hralign="center" o:hrstd="t" o:hr="t" fillcolor="#a0a0a0" stroked="f"/>
        </w:pict>
      </w:r>
    </w:p>
    <w:p w14:paraId="5722887F" w14:textId="77777777" w:rsidR="00314A57" w:rsidRPr="00986305" w:rsidRDefault="00314A57" w:rsidP="003F65E2">
      <w:pPr>
        <w:rPr>
          <w:rFonts w:asciiTheme="majorBidi" w:hAnsiTheme="majorBidi" w:cstheme="majorBidi"/>
          <w:sz w:val="24"/>
          <w:szCs w:val="24"/>
        </w:rPr>
      </w:pPr>
    </w:p>
    <w:p w14:paraId="57228880"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6. Practical Implications  </w:t>
      </w:r>
    </w:p>
    <w:p w14:paraId="57228881"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This method has significant implications for:  </w:t>
      </w:r>
    </w:p>
    <w:p w14:paraId="57228882"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Predictive maintenance strategies  </w:t>
      </w:r>
    </w:p>
    <w:p w14:paraId="57228883"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Asset management optimization  </w:t>
      </w:r>
    </w:p>
    <w:p w14:paraId="57228884"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Power plant reliability improvement  </w:t>
      </w:r>
    </w:p>
    <w:p w14:paraId="57228885"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National energy security  </w:t>
      </w:r>
    </w:p>
    <w:p w14:paraId="57228886" w14:textId="77777777" w:rsidR="00314A57" w:rsidRPr="00986305" w:rsidRDefault="00AB0195"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A">
          <v:rect id="_x0000_i1033" style="width:468pt;height:1.5pt" o:hralign="center" o:hrstd="t" o:hr="t" fillcolor="#a0a0a0" stroked="f"/>
        </w:pict>
      </w:r>
    </w:p>
    <w:p w14:paraId="57228887" w14:textId="77777777" w:rsidR="00314A57" w:rsidRPr="00986305" w:rsidRDefault="00314A57" w:rsidP="003F65E2">
      <w:pPr>
        <w:pStyle w:val="ListParagraph"/>
        <w:ind w:left="0"/>
        <w:rPr>
          <w:rFonts w:asciiTheme="majorBidi" w:hAnsiTheme="majorBidi" w:cstheme="majorBidi"/>
          <w:sz w:val="24"/>
          <w:szCs w:val="24"/>
        </w:rPr>
      </w:pPr>
    </w:p>
    <w:p w14:paraId="57228888"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7. Future Work  </w:t>
      </w:r>
    </w:p>
    <w:p w14:paraId="57228889"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Future research should focus on:  </w:t>
      </w:r>
    </w:p>
    <w:p w14:paraId="5722888A"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Creep-fatigue interaction under cyclic loading conditions  </w:t>
      </w:r>
    </w:p>
    <w:p w14:paraId="5722888B"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 Nonlinear transient finite element analysis using advanced software (ANSYS, Abaqus)  </w:t>
      </w:r>
    </w:p>
    <w:p w14:paraId="5722888C"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Coupled CFD-FEA simulations for accurate thermal mapping  </w:t>
      </w:r>
    </w:p>
    <w:p w14:paraId="5722888D"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Oxidation and corrosion modeling under real combustion conditions  </w:t>
      </w:r>
    </w:p>
    <w:p w14:paraId="5722888E"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Developing advanced thermal barrier coatings  </w:t>
      </w:r>
    </w:p>
    <w:p w14:paraId="57228895" w14:textId="1615F4A9" w:rsidR="00314A57" w:rsidRPr="0025458B" w:rsidRDefault="00AB0195" w:rsidP="0025458B">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B">
          <v:rect id="_x0000_i1034" style="width:468pt;height:1.5pt" o:hralign="center" o:hrstd="t" o:hr="t" fillcolor="#a0a0a0" stroked="f"/>
        </w:pict>
      </w:r>
    </w:p>
    <w:p w14:paraId="57228896" w14:textId="77777777" w:rsidR="00314A57" w:rsidRPr="00986305" w:rsidRDefault="00314A57" w:rsidP="003F65E2">
      <w:pPr>
        <w:rPr>
          <w:rFonts w:asciiTheme="majorBidi" w:hAnsiTheme="majorBidi" w:cstheme="majorBidi"/>
          <w:sz w:val="24"/>
          <w:szCs w:val="24"/>
        </w:rPr>
      </w:pPr>
    </w:p>
    <w:p w14:paraId="57228897" w14:textId="51801B94" w:rsidR="003F65E2"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References  </w:t>
      </w:r>
    </w:p>
    <w:p w14:paraId="6206D77C" w14:textId="77777777" w:rsidR="003669CE" w:rsidRDefault="003669CE" w:rsidP="003F65E2">
      <w:pPr>
        <w:rPr>
          <w:rFonts w:asciiTheme="majorBidi" w:hAnsiTheme="majorBidi" w:cstheme="majorBidi"/>
          <w:b/>
          <w:bCs/>
          <w:sz w:val="24"/>
          <w:szCs w:val="24"/>
        </w:rPr>
      </w:pPr>
    </w:p>
    <w:p w14:paraId="10A251A0" w14:textId="3BEC32D3" w:rsidR="003669CE" w:rsidRDefault="003669CE" w:rsidP="003669CE">
      <w:pPr>
        <w:rPr>
          <w:rFonts w:asciiTheme="majorBidi" w:hAnsiTheme="majorBidi" w:cstheme="majorBidi"/>
          <w:b/>
          <w:bCs/>
          <w:sz w:val="24"/>
          <w:szCs w:val="24"/>
        </w:rPr>
      </w:pPr>
      <w:proofErr w:type="spellStart"/>
      <w:r w:rsidRPr="003669CE">
        <w:rPr>
          <w:rFonts w:asciiTheme="majorBidi" w:hAnsiTheme="majorBidi" w:cstheme="majorBidi"/>
          <w:b/>
          <w:bCs/>
          <w:sz w:val="24"/>
          <w:szCs w:val="24"/>
        </w:rPr>
        <w:t>Assefinejad</w:t>
      </w:r>
      <w:proofErr w:type="spellEnd"/>
      <w:r w:rsidRPr="003669CE">
        <w:rPr>
          <w:rFonts w:asciiTheme="majorBidi" w:hAnsiTheme="majorBidi" w:cstheme="majorBidi"/>
          <w:b/>
          <w:bCs/>
          <w:sz w:val="24"/>
          <w:szCs w:val="24"/>
        </w:rPr>
        <w:t xml:space="preserve">, Ahmad Hossein and </w:t>
      </w:r>
      <w:proofErr w:type="spellStart"/>
      <w:r w:rsidRPr="003669CE">
        <w:rPr>
          <w:rFonts w:asciiTheme="majorBidi" w:hAnsiTheme="majorBidi" w:cstheme="majorBidi"/>
          <w:b/>
          <w:bCs/>
          <w:sz w:val="24"/>
          <w:szCs w:val="24"/>
        </w:rPr>
        <w:t>Kermanpur</w:t>
      </w:r>
      <w:proofErr w:type="spellEnd"/>
      <w:r w:rsidRPr="003669CE">
        <w:rPr>
          <w:rFonts w:asciiTheme="majorBidi" w:hAnsiTheme="majorBidi" w:cstheme="majorBidi"/>
          <w:b/>
          <w:bCs/>
          <w:sz w:val="24"/>
          <w:szCs w:val="24"/>
        </w:rPr>
        <w:t xml:space="preserve">, Ahmad and Eslami, </w:t>
      </w:r>
      <w:proofErr w:type="spellStart"/>
      <w:r w:rsidRPr="003669CE">
        <w:rPr>
          <w:rFonts w:asciiTheme="majorBidi" w:hAnsiTheme="majorBidi" w:cstheme="majorBidi"/>
          <w:b/>
          <w:bCs/>
          <w:sz w:val="24"/>
          <w:szCs w:val="24"/>
        </w:rPr>
        <w:t>Abdoulmajid</w:t>
      </w:r>
      <w:proofErr w:type="spellEnd"/>
      <w:r>
        <w:rPr>
          <w:rFonts w:asciiTheme="majorBidi" w:hAnsiTheme="majorBidi" w:cstheme="majorBidi"/>
          <w:b/>
          <w:bCs/>
          <w:sz w:val="24"/>
          <w:szCs w:val="24"/>
        </w:rPr>
        <w:t>(2026)</w:t>
      </w:r>
      <w:r w:rsidRPr="003669CE">
        <w:rPr>
          <w:rFonts w:asciiTheme="majorBidi" w:hAnsiTheme="majorBidi" w:cstheme="majorBidi"/>
          <w:b/>
          <w:bCs/>
          <w:sz w:val="24"/>
          <w:szCs w:val="24"/>
        </w:rPr>
        <w:t>, Long term high temperature mechanical behavior of the boiler water wall tubes in the presence of the corrosion and oxide layer growth. Available at SSRN: </w:t>
      </w:r>
      <w:hyperlink r:id="rId31" w:tgtFrame="_blank" w:history="1">
        <w:r w:rsidRPr="003669CE">
          <w:rPr>
            <w:rStyle w:val="Hyperlink"/>
            <w:rFonts w:asciiTheme="majorBidi" w:hAnsiTheme="majorBidi" w:cstheme="majorBidi"/>
            <w:b/>
            <w:bCs/>
            <w:sz w:val="24"/>
            <w:szCs w:val="24"/>
          </w:rPr>
          <w:t>https://ssrn.com/abstract=6791330</w:t>
        </w:r>
      </w:hyperlink>
      <w:r w:rsidRPr="003669CE">
        <w:rPr>
          <w:rFonts w:asciiTheme="majorBidi" w:hAnsiTheme="majorBidi" w:cstheme="majorBidi"/>
          <w:b/>
          <w:bCs/>
          <w:sz w:val="24"/>
          <w:szCs w:val="24"/>
        </w:rPr>
        <w:t> or </w:t>
      </w:r>
      <w:hyperlink r:id="rId32" w:tgtFrame="_blank" w:history="1">
        <w:r w:rsidRPr="003669CE">
          <w:rPr>
            <w:rStyle w:val="Hyperlink"/>
            <w:rFonts w:asciiTheme="majorBidi" w:hAnsiTheme="majorBidi" w:cstheme="majorBidi"/>
            <w:b/>
            <w:bCs/>
            <w:sz w:val="24"/>
            <w:szCs w:val="24"/>
          </w:rPr>
          <w:t>http://dx.doi.org/10.2139/ssrn.6791330</w:t>
        </w:r>
      </w:hyperlink>
    </w:p>
    <w:p w14:paraId="2A3C29A6" w14:textId="77777777" w:rsidR="003669CE" w:rsidRDefault="003669CE" w:rsidP="003669CE">
      <w:pPr>
        <w:rPr>
          <w:rFonts w:asciiTheme="majorBidi" w:hAnsiTheme="majorBidi" w:cstheme="majorBidi"/>
          <w:b/>
          <w:bCs/>
          <w:sz w:val="24"/>
          <w:szCs w:val="24"/>
        </w:rPr>
      </w:pPr>
    </w:p>
    <w:p w14:paraId="38188BD4" w14:textId="0EF54E88" w:rsidR="003669CE" w:rsidRDefault="003669CE" w:rsidP="003669CE">
      <w:pPr>
        <w:rPr>
          <w:rFonts w:asciiTheme="majorBidi" w:hAnsiTheme="majorBidi" w:cstheme="majorBidi"/>
          <w:b/>
          <w:bCs/>
          <w:sz w:val="24"/>
          <w:szCs w:val="24"/>
        </w:rPr>
      </w:pPr>
      <w:r w:rsidRPr="003669CE">
        <w:rPr>
          <w:rFonts w:asciiTheme="majorBidi" w:hAnsiTheme="majorBidi" w:cstheme="majorBidi"/>
          <w:b/>
          <w:bCs/>
          <w:sz w:val="24"/>
          <w:szCs w:val="24"/>
        </w:rPr>
        <w:t>- Li, J., Cheng, Y., Wu, J. </w:t>
      </w:r>
      <w:r w:rsidRPr="003669CE">
        <w:rPr>
          <w:rFonts w:asciiTheme="majorBidi" w:hAnsiTheme="majorBidi" w:cstheme="majorBidi"/>
          <w:b/>
          <w:bCs/>
          <w:i/>
          <w:iCs/>
          <w:sz w:val="24"/>
          <w:szCs w:val="24"/>
        </w:rPr>
        <w:t>et al.</w:t>
      </w:r>
      <w:r w:rsidRPr="003669CE">
        <w:rPr>
          <w:rFonts w:asciiTheme="majorBidi" w:hAnsiTheme="majorBidi" w:cstheme="majorBidi"/>
          <w:b/>
          <w:bCs/>
          <w:sz w:val="24"/>
          <w:szCs w:val="24"/>
        </w:rPr>
        <w:t> A Life Prediction Method for the Thrust Chamber of Liquid Rocket Engine Based on Improved Sandwich Beam Model. </w:t>
      </w:r>
      <w:r w:rsidRPr="003669CE">
        <w:rPr>
          <w:rFonts w:asciiTheme="majorBidi" w:hAnsiTheme="majorBidi" w:cstheme="majorBidi"/>
          <w:b/>
          <w:bCs/>
          <w:i/>
          <w:iCs/>
          <w:sz w:val="24"/>
          <w:szCs w:val="24"/>
        </w:rPr>
        <w:t>Adv. Astronaut.</w:t>
      </w:r>
      <w:r w:rsidRPr="003669CE">
        <w:rPr>
          <w:rFonts w:asciiTheme="majorBidi" w:hAnsiTheme="majorBidi" w:cstheme="majorBidi"/>
          <w:b/>
          <w:bCs/>
          <w:sz w:val="24"/>
          <w:szCs w:val="24"/>
        </w:rPr>
        <w:t xml:space="preserve"> (2026). </w:t>
      </w:r>
      <w:hyperlink r:id="rId33" w:history="1">
        <w:r w:rsidR="008C55ED" w:rsidRPr="00F2508B">
          <w:rPr>
            <w:rStyle w:val="Hyperlink"/>
            <w:rFonts w:asciiTheme="majorBidi" w:hAnsiTheme="majorBidi" w:cstheme="majorBidi"/>
            <w:b/>
            <w:bCs/>
            <w:sz w:val="24"/>
            <w:szCs w:val="24"/>
          </w:rPr>
          <w:t>https://doi.org/10.1007/s42423-026-00207-8</w:t>
        </w:r>
      </w:hyperlink>
      <w:r>
        <w:rPr>
          <w:rFonts w:asciiTheme="majorBidi" w:hAnsiTheme="majorBidi" w:cstheme="majorBidi"/>
          <w:b/>
          <w:bCs/>
          <w:sz w:val="24"/>
          <w:szCs w:val="24"/>
        </w:rPr>
        <w:t>.</w:t>
      </w:r>
    </w:p>
    <w:p w14:paraId="2A26E419" w14:textId="597EEC96" w:rsidR="008C55ED" w:rsidRDefault="008C55ED" w:rsidP="008C55ED">
      <w:pPr>
        <w:rPr>
          <w:rFonts w:asciiTheme="majorBidi" w:hAnsiTheme="majorBidi" w:cstheme="majorBidi"/>
          <w:b/>
          <w:bCs/>
          <w:sz w:val="24"/>
          <w:szCs w:val="24"/>
        </w:rPr>
      </w:pPr>
      <w:r w:rsidRPr="008C55ED">
        <w:rPr>
          <w:rFonts w:asciiTheme="majorBidi" w:hAnsiTheme="majorBidi" w:cstheme="majorBidi"/>
          <w:b/>
          <w:bCs/>
          <w:sz w:val="24"/>
          <w:szCs w:val="24"/>
        </w:rPr>
        <w:t xml:space="preserve">Kun Xu  , Jiang Liu , Ziye Miao  , </w:t>
      </w:r>
      <w:proofErr w:type="spellStart"/>
      <w:r w:rsidRPr="008C55ED">
        <w:rPr>
          <w:rFonts w:asciiTheme="majorBidi" w:hAnsiTheme="majorBidi" w:cstheme="majorBidi"/>
          <w:b/>
          <w:bCs/>
          <w:sz w:val="24"/>
          <w:szCs w:val="24"/>
        </w:rPr>
        <w:t>Jinshuo</w:t>
      </w:r>
      <w:proofErr w:type="spellEnd"/>
      <w:r w:rsidRPr="008C55ED">
        <w:rPr>
          <w:rFonts w:asciiTheme="majorBidi" w:hAnsiTheme="majorBidi" w:cstheme="majorBidi"/>
          <w:b/>
          <w:bCs/>
          <w:sz w:val="24"/>
          <w:szCs w:val="24"/>
        </w:rPr>
        <w:t xml:space="preserve"> Li Fluid-thermal-structural coupling analysis on swirler flashback in a gas turbine combustion chamber K Xu, J Liu, Z Miao, J Li - Journal </w:t>
      </w:r>
      <w:proofErr w:type="spellStart"/>
      <w:r w:rsidRPr="008C55ED">
        <w:rPr>
          <w:rFonts w:asciiTheme="majorBidi" w:hAnsiTheme="majorBidi" w:cstheme="majorBidi"/>
          <w:b/>
          <w:bCs/>
          <w:sz w:val="24"/>
          <w:szCs w:val="24"/>
        </w:rPr>
        <w:t>ournal</w:t>
      </w:r>
      <w:proofErr w:type="spellEnd"/>
      <w:r w:rsidRPr="008C55ED">
        <w:rPr>
          <w:rFonts w:asciiTheme="majorBidi" w:hAnsiTheme="majorBidi" w:cstheme="majorBidi"/>
          <w:b/>
          <w:bCs/>
          <w:sz w:val="24"/>
          <w:szCs w:val="24"/>
        </w:rPr>
        <w:t xml:space="preserve"> of Physics: Conference Series 3207 (2026) 012108, doi:10.1088/1742-6596/3207/1/012108</w:t>
      </w:r>
      <w:r>
        <w:rPr>
          <w:rFonts w:asciiTheme="majorBidi" w:hAnsiTheme="majorBidi" w:cstheme="majorBidi"/>
          <w:b/>
          <w:bCs/>
          <w:sz w:val="24"/>
          <w:szCs w:val="24"/>
        </w:rPr>
        <w:t>.</w:t>
      </w:r>
    </w:p>
    <w:p w14:paraId="42F465DC" w14:textId="77777777" w:rsidR="008C55ED" w:rsidRDefault="008C55ED" w:rsidP="003669CE">
      <w:pPr>
        <w:rPr>
          <w:rFonts w:asciiTheme="majorBidi" w:hAnsiTheme="majorBidi" w:cstheme="majorBidi"/>
          <w:b/>
          <w:bCs/>
          <w:sz w:val="24"/>
          <w:szCs w:val="24"/>
        </w:rPr>
      </w:pPr>
    </w:p>
    <w:p w14:paraId="2191784D" w14:textId="6DE39480" w:rsidR="008C55ED" w:rsidRDefault="008C55ED" w:rsidP="008C55ED">
      <w:pPr>
        <w:rPr>
          <w:rFonts w:asciiTheme="majorBidi" w:hAnsiTheme="majorBidi" w:cstheme="majorBidi"/>
          <w:b/>
          <w:bCs/>
          <w:sz w:val="24"/>
          <w:szCs w:val="24"/>
        </w:rPr>
      </w:pPr>
      <w:r w:rsidRPr="008C55ED">
        <w:rPr>
          <w:rFonts w:asciiTheme="majorBidi" w:hAnsiTheme="majorBidi" w:cstheme="majorBidi"/>
          <w:b/>
          <w:bCs/>
          <w:sz w:val="24"/>
          <w:szCs w:val="24"/>
        </w:rPr>
        <w:t>Feng, S., Han, Z. &amp; Qu, S. Nonlinear Creep Constitutive Model and Its Finite Element Implementation for Composite Solid Propellant with Aging and Damage. </w:t>
      </w:r>
      <w:r w:rsidRPr="008C55ED">
        <w:rPr>
          <w:rFonts w:asciiTheme="majorBidi" w:hAnsiTheme="majorBidi" w:cstheme="majorBidi"/>
          <w:b/>
          <w:bCs/>
          <w:i/>
          <w:iCs/>
          <w:sz w:val="24"/>
          <w:szCs w:val="24"/>
        </w:rPr>
        <w:t>Acta Mech. Solida Sin.</w:t>
      </w:r>
      <w:r w:rsidRPr="008C55ED">
        <w:rPr>
          <w:rFonts w:asciiTheme="majorBidi" w:hAnsiTheme="majorBidi" w:cstheme="majorBidi"/>
          <w:b/>
          <w:bCs/>
          <w:sz w:val="24"/>
          <w:szCs w:val="24"/>
        </w:rPr>
        <w:t xml:space="preserve"> (2026). </w:t>
      </w:r>
      <w:hyperlink r:id="rId34" w:history="1">
        <w:r w:rsidRPr="008C55ED">
          <w:rPr>
            <w:rStyle w:val="Hyperlink"/>
            <w:rFonts w:asciiTheme="majorBidi" w:hAnsiTheme="majorBidi" w:cstheme="majorBidi"/>
            <w:b/>
            <w:bCs/>
            <w:sz w:val="24"/>
            <w:szCs w:val="24"/>
          </w:rPr>
          <w:t>https://doi.org/10.1007/s10338-026-00739-4</w:t>
        </w:r>
      </w:hyperlink>
      <w:r>
        <w:rPr>
          <w:rFonts w:asciiTheme="majorBidi" w:hAnsiTheme="majorBidi" w:cstheme="majorBidi"/>
          <w:b/>
          <w:bCs/>
          <w:sz w:val="24"/>
          <w:szCs w:val="24"/>
        </w:rPr>
        <w:t>.</w:t>
      </w:r>
    </w:p>
    <w:p w14:paraId="75CBBAFE" w14:textId="5EFDE81E" w:rsidR="008C55ED" w:rsidRDefault="008C55ED" w:rsidP="008C55ED">
      <w:pPr>
        <w:rPr>
          <w:rFonts w:asciiTheme="majorBidi" w:hAnsiTheme="majorBidi" w:cstheme="majorBidi"/>
          <w:b/>
          <w:bCs/>
          <w:sz w:val="24"/>
          <w:szCs w:val="24"/>
        </w:rPr>
      </w:pPr>
      <w:r w:rsidRPr="008C55ED">
        <w:rPr>
          <w:rFonts w:asciiTheme="majorBidi" w:hAnsiTheme="majorBidi" w:cstheme="majorBidi"/>
          <w:b/>
          <w:bCs/>
          <w:sz w:val="24"/>
          <w:szCs w:val="24"/>
        </w:rPr>
        <w:t xml:space="preserve">N. Mahato and R. Subbarao, “Stress Distribution and Heat Transfer of Steel Alloys Insights Into Gas Turbine Compressor Stator Blade Performance and Failure Mechanisms.” ChemistrySelect11, no. 13 (2026): e06438. </w:t>
      </w:r>
      <w:hyperlink r:id="rId35" w:history="1">
        <w:r w:rsidR="004F31BC" w:rsidRPr="00F2508B">
          <w:rPr>
            <w:rStyle w:val="Hyperlink"/>
            <w:rFonts w:asciiTheme="majorBidi" w:hAnsiTheme="majorBidi" w:cstheme="majorBidi"/>
            <w:b/>
            <w:bCs/>
            <w:sz w:val="24"/>
            <w:szCs w:val="24"/>
          </w:rPr>
          <w:t>https://doi.org/10.1002/slct.202506438</w:t>
        </w:r>
      </w:hyperlink>
      <w:r>
        <w:rPr>
          <w:rFonts w:asciiTheme="majorBidi" w:hAnsiTheme="majorBidi" w:cstheme="majorBidi"/>
          <w:b/>
          <w:bCs/>
          <w:sz w:val="24"/>
          <w:szCs w:val="24"/>
        </w:rPr>
        <w:t>.</w:t>
      </w:r>
    </w:p>
    <w:p w14:paraId="3BD8ED91" w14:textId="77777777" w:rsidR="004F31BC" w:rsidRDefault="004F31BC" w:rsidP="008C55ED">
      <w:pPr>
        <w:rPr>
          <w:rFonts w:asciiTheme="majorBidi" w:hAnsiTheme="majorBidi" w:cstheme="majorBidi"/>
          <w:b/>
          <w:bCs/>
          <w:sz w:val="24"/>
          <w:szCs w:val="24"/>
        </w:rPr>
      </w:pPr>
    </w:p>
    <w:p w14:paraId="4A224165" w14:textId="7068B7F9" w:rsidR="004F31BC" w:rsidRDefault="004F31BC" w:rsidP="004F31BC">
      <w:pPr>
        <w:rPr>
          <w:rFonts w:asciiTheme="majorBidi" w:hAnsiTheme="majorBidi" w:cstheme="majorBidi"/>
          <w:b/>
          <w:bCs/>
          <w:sz w:val="24"/>
          <w:szCs w:val="24"/>
        </w:rPr>
      </w:pPr>
      <w:r w:rsidRPr="004F31BC">
        <w:rPr>
          <w:rFonts w:asciiTheme="majorBidi" w:hAnsiTheme="majorBidi" w:cstheme="majorBidi"/>
          <w:b/>
          <w:bCs/>
          <w:sz w:val="24"/>
          <w:szCs w:val="24"/>
        </w:rPr>
        <w:t xml:space="preserve">de Beaulieu MH, Jha MS, Garnier H et al (2024) Remaining useful life prediction based on physics-informed data augmentation. </w:t>
      </w:r>
      <w:proofErr w:type="spellStart"/>
      <w:r w:rsidRPr="004F31BC">
        <w:rPr>
          <w:rFonts w:asciiTheme="majorBidi" w:hAnsiTheme="majorBidi" w:cstheme="majorBidi"/>
          <w:b/>
          <w:bCs/>
          <w:sz w:val="24"/>
          <w:szCs w:val="24"/>
        </w:rPr>
        <w:t>Reliab</w:t>
      </w:r>
      <w:proofErr w:type="spellEnd"/>
      <w:r w:rsidRPr="004F31BC">
        <w:rPr>
          <w:rFonts w:asciiTheme="majorBidi" w:hAnsiTheme="majorBidi" w:cstheme="majorBidi"/>
          <w:b/>
          <w:bCs/>
          <w:sz w:val="24"/>
          <w:szCs w:val="24"/>
        </w:rPr>
        <w:t xml:space="preserve"> Eng Syst Saf 252:110451</w:t>
      </w:r>
      <w:r>
        <w:rPr>
          <w:rFonts w:asciiTheme="majorBidi" w:hAnsiTheme="majorBidi" w:cstheme="majorBidi"/>
          <w:b/>
          <w:bCs/>
          <w:sz w:val="24"/>
          <w:szCs w:val="24"/>
        </w:rPr>
        <w:t>.</w:t>
      </w:r>
    </w:p>
    <w:p w14:paraId="0B83BEF9" w14:textId="6CFAC863" w:rsidR="004F31BC" w:rsidRDefault="004F31BC" w:rsidP="004F31BC">
      <w:pPr>
        <w:rPr>
          <w:rFonts w:asciiTheme="majorBidi" w:hAnsiTheme="majorBidi" w:cstheme="majorBidi"/>
          <w:b/>
          <w:bCs/>
          <w:sz w:val="24"/>
          <w:szCs w:val="24"/>
        </w:rPr>
      </w:pPr>
      <w:r w:rsidRPr="004F31BC">
        <w:rPr>
          <w:rFonts w:asciiTheme="majorBidi" w:hAnsiTheme="majorBidi" w:cstheme="majorBidi"/>
          <w:b/>
          <w:bCs/>
          <w:sz w:val="24"/>
          <w:szCs w:val="24"/>
        </w:rPr>
        <w:t>Zhang S, Wang L, Zhu S et al (2024) Physics-informed neural network for creep-fatigue life prediction of Inconel 617 and interpretation of influencing factors. Mater Des 245:113267</w:t>
      </w:r>
      <w:r>
        <w:rPr>
          <w:rFonts w:asciiTheme="majorBidi" w:hAnsiTheme="majorBidi" w:cstheme="majorBidi"/>
          <w:b/>
          <w:bCs/>
          <w:sz w:val="24"/>
          <w:szCs w:val="24"/>
        </w:rPr>
        <w:t>.</w:t>
      </w:r>
    </w:p>
    <w:p w14:paraId="7F7E2319" w14:textId="18FFB54E" w:rsidR="004F31BC" w:rsidRPr="00986305" w:rsidRDefault="004F31BC" w:rsidP="004F31BC">
      <w:pPr>
        <w:rPr>
          <w:rFonts w:asciiTheme="majorBidi" w:hAnsiTheme="majorBidi" w:cstheme="majorBidi"/>
          <w:b/>
          <w:bCs/>
          <w:sz w:val="24"/>
          <w:szCs w:val="24"/>
        </w:rPr>
      </w:pPr>
      <w:r w:rsidRPr="004F31BC">
        <w:rPr>
          <w:rFonts w:asciiTheme="majorBidi" w:hAnsiTheme="majorBidi" w:cstheme="majorBidi"/>
          <w:b/>
          <w:bCs/>
          <w:sz w:val="24"/>
          <w:szCs w:val="24"/>
        </w:rPr>
        <w:t xml:space="preserve"> Wang JX, Fang QZ, Sha BL. Investigation on the creep models of the NEPE solid propellant. Mech Adv Mater Struct. 2024;31(13):2772–83</w:t>
      </w:r>
      <w:r>
        <w:rPr>
          <w:rFonts w:asciiTheme="majorBidi" w:hAnsiTheme="majorBidi" w:cstheme="majorBidi"/>
          <w:b/>
          <w:bCs/>
          <w:sz w:val="24"/>
          <w:szCs w:val="24"/>
        </w:rPr>
        <w:t>.</w:t>
      </w:r>
    </w:p>
    <w:p w14:paraId="5722889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Cirigliano, D., D'Souza, H. L., Grimm, F., Kutne, P., &amp; Aigner, M. (2023). Creep-damage modelling for micro gas turbine combustion chambers lifetime prediction. Journal of the Global Power and Propulsion Society, 7, 166-176. Https://doi.org/10.33737/jgpps/163088</w:t>
      </w:r>
    </w:p>
    <w:p w14:paraId="57228899" w14:textId="6972246D" w:rsidR="003F65E2" w:rsidRDefault="00EF6D80" w:rsidP="00EF6D80">
      <w:pPr>
        <w:rPr>
          <w:rFonts w:asciiTheme="majorBidi" w:hAnsiTheme="majorBidi" w:cstheme="majorBidi"/>
          <w:b/>
          <w:bCs/>
          <w:sz w:val="24"/>
          <w:szCs w:val="24"/>
        </w:rPr>
      </w:pPr>
      <w:r w:rsidRPr="00EF6D80">
        <w:rPr>
          <w:rFonts w:asciiTheme="majorBidi" w:hAnsiTheme="majorBidi" w:cstheme="majorBidi"/>
          <w:b/>
          <w:bCs/>
          <w:sz w:val="24"/>
          <w:szCs w:val="24"/>
        </w:rPr>
        <w:t>Roberto C, Michele F, Michele P et al (2022) Thermo-structural numerical analysis of the thrust chamber of a liquid propellant rocket engine[J]. Materials 15(15):5427.</w:t>
      </w:r>
    </w:p>
    <w:p w14:paraId="2A611EA3" w14:textId="4E38F6C5" w:rsidR="00EF6D80" w:rsidRDefault="00EF6D80" w:rsidP="00EF6D80">
      <w:pPr>
        <w:rPr>
          <w:rFonts w:asciiTheme="majorBidi" w:hAnsiTheme="majorBidi" w:cstheme="majorBidi"/>
          <w:b/>
          <w:bCs/>
          <w:sz w:val="24"/>
          <w:szCs w:val="24"/>
        </w:rPr>
      </w:pPr>
      <w:r w:rsidRPr="00EF6D80">
        <w:rPr>
          <w:rFonts w:asciiTheme="majorBidi" w:hAnsiTheme="majorBidi" w:cstheme="majorBidi"/>
          <w:b/>
          <w:bCs/>
          <w:sz w:val="24"/>
          <w:szCs w:val="24"/>
        </w:rPr>
        <w:t>Liu D, Sun B, Wang T et al (2020) Thermo-structural analysis of regenerative cooling thrust chamber cylinder segment based on experimental data[J]. Chin J Astronaut 33(1):102–115</w:t>
      </w:r>
      <w:r>
        <w:rPr>
          <w:rFonts w:asciiTheme="majorBidi" w:hAnsiTheme="majorBidi" w:cstheme="majorBidi"/>
          <w:b/>
          <w:bCs/>
          <w:sz w:val="24"/>
          <w:szCs w:val="24"/>
        </w:rPr>
        <w:t>.</w:t>
      </w:r>
    </w:p>
    <w:p w14:paraId="491CABFC" w14:textId="5C0747C7" w:rsidR="00EF6D80" w:rsidRDefault="00EF6D80" w:rsidP="00EF6D80">
      <w:pPr>
        <w:rPr>
          <w:rFonts w:asciiTheme="majorBidi" w:hAnsiTheme="majorBidi" w:cstheme="majorBidi"/>
          <w:b/>
          <w:bCs/>
          <w:sz w:val="24"/>
          <w:szCs w:val="24"/>
        </w:rPr>
      </w:pPr>
      <w:r w:rsidRPr="00EF6D80">
        <w:rPr>
          <w:rFonts w:asciiTheme="majorBidi" w:hAnsiTheme="majorBidi" w:cstheme="majorBidi"/>
          <w:b/>
          <w:bCs/>
          <w:sz w:val="24"/>
          <w:szCs w:val="24"/>
        </w:rPr>
        <w:t xml:space="preserve">Marco P (2020) An algebraic model for structural and life analysis of regeneratively-cooled thrust chambers[J]. J </w:t>
      </w:r>
      <w:proofErr w:type="spellStart"/>
      <w:r w:rsidRPr="00EF6D80">
        <w:rPr>
          <w:rFonts w:asciiTheme="majorBidi" w:hAnsiTheme="majorBidi" w:cstheme="majorBidi"/>
          <w:b/>
          <w:bCs/>
          <w:sz w:val="24"/>
          <w:szCs w:val="24"/>
        </w:rPr>
        <w:t>Propuls</w:t>
      </w:r>
      <w:proofErr w:type="spellEnd"/>
      <w:r w:rsidRPr="00EF6D80">
        <w:rPr>
          <w:rFonts w:asciiTheme="majorBidi" w:hAnsiTheme="majorBidi" w:cstheme="majorBidi"/>
          <w:b/>
          <w:bCs/>
          <w:sz w:val="24"/>
          <w:szCs w:val="24"/>
        </w:rPr>
        <w:t xml:space="preserve"> Power 36(2):191–202</w:t>
      </w:r>
    </w:p>
    <w:p w14:paraId="55DE863F" w14:textId="6946AF42" w:rsidR="00EF6D80" w:rsidRDefault="00EF6D80" w:rsidP="00EF6D80">
      <w:pPr>
        <w:rPr>
          <w:rFonts w:asciiTheme="majorBidi" w:hAnsiTheme="majorBidi" w:cstheme="majorBidi"/>
          <w:b/>
          <w:bCs/>
          <w:sz w:val="24"/>
          <w:szCs w:val="24"/>
        </w:rPr>
      </w:pPr>
      <w:r w:rsidRPr="00EF6D80">
        <w:rPr>
          <w:rFonts w:asciiTheme="majorBidi" w:hAnsiTheme="majorBidi" w:cstheme="majorBidi"/>
          <w:b/>
          <w:bCs/>
          <w:sz w:val="24"/>
          <w:szCs w:val="24"/>
        </w:rPr>
        <w:t>Zhang JB, Lu BJ, Gong SF. Comparative analyses of creep models of a solid propellant. IOP Conf Ser Mater Sci Eng. 2018;359:012050. DOI 10.1088/1757-899X/359/1/012050</w:t>
      </w:r>
      <w:r>
        <w:rPr>
          <w:rFonts w:asciiTheme="majorBidi" w:hAnsiTheme="majorBidi" w:cstheme="majorBidi"/>
          <w:b/>
          <w:bCs/>
          <w:sz w:val="24"/>
          <w:szCs w:val="24"/>
        </w:rPr>
        <w:t>.</w:t>
      </w:r>
    </w:p>
    <w:p w14:paraId="3FE39D69" w14:textId="35DF00E9" w:rsidR="00EF6D80" w:rsidRPr="00986305" w:rsidRDefault="00EF6D80" w:rsidP="00EF6D80">
      <w:pPr>
        <w:rPr>
          <w:rFonts w:asciiTheme="majorBidi" w:hAnsiTheme="majorBidi" w:cstheme="majorBidi"/>
          <w:b/>
          <w:bCs/>
          <w:sz w:val="24"/>
          <w:szCs w:val="24"/>
        </w:rPr>
      </w:pPr>
      <w:r w:rsidRPr="00EF6D80">
        <w:rPr>
          <w:rFonts w:asciiTheme="majorBidi" w:hAnsiTheme="majorBidi" w:cstheme="majorBidi"/>
          <w:b/>
          <w:bCs/>
          <w:sz w:val="24"/>
          <w:szCs w:val="24"/>
        </w:rPr>
        <w:t xml:space="preserve">Zhu GC, Liu S, Liu WH. Creep behaviors of HTPE propellants. Propellants </w:t>
      </w:r>
      <w:proofErr w:type="spellStart"/>
      <w:r w:rsidRPr="00EF6D80">
        <w:rPr>
          <w:rFonts w:asciiTheme="majorBidi" w:hAnsiTheme="majorBidi" w:cstheme="majorBidi"/>
          <w:b/>
          <w:bCs/>
          <w:sz w:val="24"/>
          <w:szCs w:val="24"/>
        </w:rPr>
        <w:t>Explos</w:t>
      </w:r>
      <w:proofErr w:type="spellEnd"/>
      <w:r w:rsidRPr="00EF6D80">
        <w:rPr>
          <w:rFonts w:asciiTheme="majorBidi" w:hAnsiTheme="majorBidi" w:cstheme="majorBidi"/>
          <w:b/>
          <w:bCs/>
          <w:sz w:val="24"/>
          <w:szCs w:val="24"/>
        </w:rPr>
        <w:t xml:space="preserve"> </w:t>
      </w:r>
      <w:proofErr w:type="spellStart"/>
      <w:r w:rsidRPr="00EF6D80">
        <w:rPr>
          <w:rFonts w:asciiTheme="majorBidi" w:hAnsiTheme="majorBidi" w:cstheme="majorBidi"/>
          <w:b/>
          <w:bCs/>
          <w:sz w:val="24"/>
          <w:szCs w:val="24"/>
        </w:rPr>
        <w:t>Pyrotech</w:t>
      </w:r>
      <w:proofErr w:type="spellEnd"/>
      <w:r w:rsidRPr="00EF6D80">
        <w:rPr>
          <w:rFonts w:asciiTheme="majorBidi" w:hAnsiTheme="majorBidi" w:cstheme="majorBidi"/>
          <w:b/>
          <w:bCs/>
          <w:sz w:val="24"/>
          <w:szCs w:val="24"/>
        </w:rPr>
        <w:t>. 2018;48(4):e202200295. https://doi.org/10.1002/prep.202200295</w:t>
      </w:r>
    </w:p>
    <w:p w14:paraId="5722889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Sun, L., et al. (2012). Numerical simulation of a complete gas turbine engine with wet compression. Journal of Engineering for Gas Turbines and Power, 135(1), 012002. Https://doi.org/10.1115/1.4007366</w:t>
      </w:r>
    </w:p>
    <w:p w14:paraId="5722889B" w14:textId="77777777" w:rsidR="003F65E2" w:rsidRPr="00986305" w:rsidRDefault="003F65E2" w:rsidP="003F65E2">
      <w:pPr>
        <w:rPr>
          <w:rFonts w:asciiTheme="majorBidi" w:hAnsiTheme="majorBidi" w:cstheme="majorBidi"/>
          <w:b/>
          <w:bCs/>
          <w:sz w:val="24"/>
          <w:szCs w:val="24"/>
        </w:rPr>
      </w:pPr>
    </w:p>
    <w:p w14:paraId="5722889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Palmer, C. (2021). Worldwide gas turbine market report 2022. Turbomachinery Magazine, Handbook 2022. Retrieved from https://www.turbomachinerymag.com/view/worldwide-gas-turbine-market-report-2022</w:t>
      </w:r>
    </w:p>
    <w:p w14:paraId="5722889D" w14:textId="77777777" w:rsidR="003F65E2" w:rsidRPr="00986305" w:rsidRDefault="003F65E2" w:rsidP="003F65E2">
      <w:pPr>
        <w:rPr>
          <w:rFonts w:asciiTheme="majorBidi" w:hAnsiTheme="majorBidi" w:cstheme="majorBidi"/>
          <w:b/>
          <w:bCs/>
          <w:sz w:val="24"/>
          <w:szCs w:val="24"/>
        </w:rPr>
      </w:pPr>
    </w:p>
    <w:p w14:paraId="5722889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Ofualagba, G. (2012). The modeling and simulation of a microturbine generation system. International Journal of Scientific &amp; Engineering Research, 2(2), 1-7. Https://doi.org/10.15373/22778179/FEB2013/1</w:t>
      </w:r>
    </w:p>
    <w:p w14:paraId="5722889F" w14:textId="77777777" w:rsidR="003F65E2" w:rsidRPr="00986305" w:rsidRDefault="003F65E2" w:rsidP="003F65E2">
      <w:pPr>
        <w:rPr>
          <w:rFonts w:asciiTheme="majorBidi" w:hAnsiTheme="majorBidi" w:cstheme="majorBidi"/>
          <w:b/>
          <w:bCs/>
          <w:sz w:val="24"/>
          <w:szCs w:val="24"/>
        </w:rPr>
      </w:pPr>
    </w:p>
    <w:p w14:paraId="572288A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Beith, R. (2011). Small and micro combined heat and power (CHP) systems. In Woodhead Publishing Series in Energy (pp. 42-69).</w:t>
      </w:r>
    </w:p>
    <w:p w14:paraId="572288A1" w14:textId="77777777" w:rsidR="003F65E2" w:rsidRPr="00986305" w:rsidRDefault="003F65E2" w:rsidP="003F65E2">
      <w:pPr>
        <w:rPr>
          <w:rFonts w:asciiTheme="majorBidi" w:hAnsiTheme="majorBidi" w:cstheme="majorBidi"/>
          <w:b/>
          <w:bCs/>
          <w:sz w:val="24"/>
          <w:szCs w:val="24"/>
        </w:rPr>
      </w:pPr>
    </w:p>
    <w:p w14:paraId="572288A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Enagi, I. I., Al-Attab, K., &amp; Zainal, Z. A. (2017). Combustion chamber design and performance for micro gas turbine application. Fuel Processing Technology, 166, 258-268. Https://doi.org/10.1016/j.fuproc.2017.05.037</w:t>
      </w:r>
    </w:p>
    <w:p w14:paraId="572288A3" w14:textId="77777777" w:rsidR="003F65E2" w:rsidRPr="00986305" w:rsidRDefault="003F65E2" w:rsidP="003F65E2">
      <w:pPr>
        <w:rPr>
          <w:rFonts w:asciiTheme="majorBidi" w:hAnsiTheme="majorBidi" w:cstheme="majorBidi"/>
          <w:b/>
          <w:bCs/>
          <w:sz w:val="24"/>
          <w:szCs w:val="24"/>
        </w:rPr>
      </w:pPr>
    </w:p>
    <w:p w14:paraId="572288A4"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Cirigliano, D., et al. (2020). Thermo-structural analysis of a micro gas turbine jet- and recirculation-stabilized combustion chamber. Proceedings of ASME Turbo Expo 2020, GT2020-16285.</w:t>
      </w:r>
    </w:p>
    <w:p w14:paraId="572288A5" w14:textId="77777777" w:rsidR="003F65E2" w:rsidRPr="00986305" w:rsidRDefault="003F65E2" w:rsidP="003F65E2">
      <w:pPr>
        <w:rPr>
          <w:rFonts w:asciiTheme="majorBidi" w:hAnsiTheme="majorBidi" w:cstheme="majorBidi"/>
          <w:b/>
          <w:bCs/>
          <w:sz w:val="24"/>
          <w:szCs w:val="24"/>
        </w:rPr>
      </w:pPr>
    </w:p>
    <w:p w14:paraId="572288A6"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Abe, F. (2014). Development of creep-resistant steels and alloys for use in power plants. In A. Shirzadi &amp; S. Jackson (Eds.), Structural Alloys for Power Plants (pp. 250-293). Cambridge, UK: Woodhead Publishing. Https://doi.org/10.1533/9780857097552.2.250</w:t>
      </w:r>
    </w:p>
    <w:p w14:paraId="572288A7" w14:textId="77777777" w:rsidR="003F65E2" w:rsidRPr="00986305" w:rsidRDefault="003F65E2" w:rsidP="003F65E2">
      <w:pPr>
        <w:rPr>
          <w:rFonts w:asciiTheme="majorBidi" w:hAnsiTheme="majorBidi" w:cstheme="majorBidi"/>
          <w:b/>
          <w:bCs/>
          <w:sz w:val="24"/>
          <w:szCs w:val="24"/>
        </w:rPr>
      </w:pPr>
    </w:p>
    <w:p w14:paraId="572288A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Alain, I. (1998). The correlation between the power-law coefficients in creep: The temperature dependence. Journal of Materials Science, 33, 3201-3206. Https://doi.org/10.1023/A:1004368511595</w:t>
      </w:r>
    </w:p>
    <w:p w14:paraId="572288A9" w14:textId="77777777" w:rsidR="003F65E2" w:rsidRPr="00986305" w:rsidRDefault="003F65E2" w:rsidP="003F65E2">
      <w:pPr>
        <w:rPr>
          <w:rFonts w:asciiTheme="majorBidi" w:hAnsiTheme="majorBidi" w:cstheme="majorBidi"/>
          <w:b/>
          <w:bCs/>
          <w:sz w:val="24"/>
          <w:szCs w:val="24"/>
        </w:rPr>
      </w:pPr>
    </w:p>
    <w:p w14:paraId="572288A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Barbosa, A. L., Taylor, N. G., Ashby, M. F., Dyson, B. F., &amp; McLean, M. (1988). A model-based computer analysis of creep data (CRIPSEN): Applications to nickel-base superalloys. Acta Metallurgica, 88, 683-692</w:t>
      </w:r>
    </w:p>
    <w:p w14:paraId="572288AB" w14:textId="77777777" w:rsidR="003F65E2" w:rsidRPr="00986305" w:rsidRDefault="003F65E2" w:rsidP="003F65E2">
      <w:pPr>
        <w:rPr>
          <w:rFonts w:asciiTheme="majorBidi" w:hAnsiTheme="majorBidi" w:cstheme="majorBidi"/>
          <w:b/>
          <w:bCs/>
          <w:sz w:val="24"/>
          <w:szCs w:val="24"/>
        </w:rPr>
      </w:pPr>
    </w:p>
    <w:p w14:paraId="572288A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Betten, J. (2008). Creep Mechanics. Berlin, Heidelberg: Springer Science &amp; Business Media.</w:t>
      </w:r>
    </w:p>
    <w:p w14:paraId="572288AD" w14:textId="77777777" w:rsidR="003F65E2" w:rsidRPr="00986305" w:rsidRDefault="003F65E2" w:rsidP="003F65E2">
      <w:pPr>
        <w:rPr>
          <w:rFonts w:asciiTheme="majorBidi" w:hAnsiTheme="majorBidi" w:cstheme="majorBidi"/>
          <w:b/>
          <w:bCs/>
          <w:sz w:val="24"/>
          <w:szCs w:val="24"/>
        </w:rPr>
      </w:pPr>
    </w:p>
    <w:p w14:paraId="572288A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Brinkman, C., Booker, M., &amp; Ding, J. (1991). Creep and creep-rupture behavior of Alloy 718.</w:t>
      </w:r>
    </w:p>
    <w:p w14:paraId="572288AF" w14:textId="77777777" w:rsidR="003F65E2" w:rsidRPr="00986305" w:rsidRDefault="003F65E2" w:rsidP="003F65E2">
      <w:pPr>
        <w:rPr>
          <w:rFonts w:asciiTheme="majorBidi" w:hAnsiTheme="majorBidi" w:cstheme="majorBidi"/>
          <w:b/>
          <w:bCs/>
          <w:sz w:val="24"/>
          <w:szCs w:val="24"/>
        </w:rPr>
      </w:pPr>
    </w:p>
    <w:p w14:paraId="572288B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Caliari, F. R., Candioto, K. C. G., Couto, A. A., Nunes, C. ., &amp; Reis, D. A. P. (2016). Effect of double aging heat treatment on the short-term creep behavior of Inconel 718. Journal of Materials Engineering and Performance, 25(6), 2307-2317. Https://doi.org/10.1007/s11665-016-2051-2</w:t>
      </w:r>
    </w:p>
    <w:p w14:paraId="572288B1" w14:textId="77777777" w:rsidR="003F65E2" w:rsidRPr="00986305" w:rsidRDefault="003F65E2" w:rsidP="003F65E2">
      <w:pPr>
        <w:rPr>
          <w:rFonts w:asciiTheme="majorBidi" w:hAnsiTheme="majorBidi" w:cstheme="majorBidi"/>
          <w:b/>
          <w:bCs/>
          <w:sz w:val="24"/>
          <w:szCs w:val="24"/>
        </w:rPr>
      </w:pPr>
    </w:p>
    <w:p w14:paraId="572288B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Carey, J., Sargent, P., &amp; Jones, D. (1990). Deformation mechanism map for IN738LC superalloy. Journal of Materials Science Letters, 9, 572-575. Https://doi.org/10.1007/BF00725881</w:t>
      </w:r>
    </w:p>
    <w:p w14:paraId="572288B3" w14:textId="77777777" w:rsidR="003F65E2" w:rsidRPr="00986305" w:rsidRDefault="003F65E2" w:rsidP="003F65E2">
      <w:pPr>
        <w:rPr>
          <w:rFonts w:asciiTheme="majorBidi" w:hAnsiTheme="majorBidi" w:cstheme="majorBidi"/>
          <w:b/>
          <w:bCs/>
          <w:sz w:val="24"/>
          <w:szCs w:val="24"/>
        </w:rPr>
      </w:pPr>
    </w:p>
    <w:p w14:paraId="572288B4"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Chaboche, J. L., &amp; Rousselier, G. (1983). On the plastic and viscoplastic constitutive equations-Part I: Rules developed with internal variable concept. Journal of Pressure Vessel Technology, 105(2), 153-158. Https://doi.org/10.1115/1.3264257</w:t>
      </w:r>
    </w:p>
    <w:p w14:paraId="572288B5" w14:textId="77777777" w:rsidR="003F65E2" w:rsidRPr="00986305" w:rsidRDefault="003F65E2" w:rsidP="003F65E2">
      <w:pPr>
        <w:rPr>
          <w:rFonts w:asciiTheme="majorBidi" w:hAnsiTheme="majorBidi" w:cstheme="majorBidi"/>
          <w:b/>
          <w:bCs/>
          <w:sz w:val="24"/>
          <w:szCs w:val="24"/>
        </w:rPr>
      </w:pPr>
    </w:p>
    <w:p w14:paraId="572288B6"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Chandrupatla, T. R., &amp; Belegundu, A. D. (2012). Introduction to Finite Elements in Engineering (4th ed.). Upper Saddle River, NJ: Pearson.</w:t>
      </w:r>
    </w:p>
    <w:p w14:paraId="572288B7" w14:textId="77777777" w:rsidR="003F65E2" w:rsidRPr="00986305" w:rsidRDefault="003F65E2" w:rsidP="003F65E2">
      <w:pPr>
        <w:rPr>
          <w:rFonts w:asciiTheme="majorBidi" w:hAnsiTheme="majorBidi" w:cstheme="majorBidi"/>
          <w:b/>
          <w:bCs/>
          <w:sz w:val="24"/>
          <w:szCs w:val="24"/>
        </w:rPr>
      </w:pPr>
    </w:p>
    <w:p w14:paraId="572288B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Ciela, M., Maka, M., Binczyk, F., &amp; Grado, P. (2016). Creep behaviour of modified MAR-247 superalloy. Archives of Metallurgy and Materials, 61, 701-704.</w:t>
      </w:r>
    </w:p>
    <w:p w14:paraId="572288B9" w14:textId="77777777" w:rsidR="003F65E2" w:rsidRPr="00986305" w:rsidRDefault="003F65E2" w:rsidP="003F65E2">
      <w:pPr>
        <w:rPr>
          <w:rFonts w:asciiTheme="majorBidi" w:hAnsiTheme="majorBidi" w:cstheme="majorBidi"/>
          <w:b/>
          <w:bCs/>
          <w:sz w:val="24"/>
          <w:szCs w:val="24"/>
        </w:rPr>
      </w:pPr>
    </w:p>
    <w:p w14:paraId="572288B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Das, Y., Fernandez-Caballero, A., Elmukashfi, E., Jazaeri, H., Forsey, A., et al. (2022). Stress-driven creep deformation and cavitation damage in pure copper. Materials Science and Engineering: A, 833, 142543. Https://doi.org/10.1016/j.msea.2021.142543</w:t>
      </w:r>
    </w:p>
    <w:p w14:paraId="572288BB" w14:textId="77777777" w:rsidR="003F65E2" w:rsidRPr="00986305" w:rsidRDefault="003F65E2" w:rsidP="003F65E2">
      <w:pPr>
        <w:rPr>
          <w:rFonts w:asciiTheme="majorBidi" w:hAnsiTheme="majorBidi" w:cstheme="majorBidi"/>
          <w:b/>
          <w:bCs/>
          <w:sz w:val="24"/>
          <w:szCs w:val="24"/>
        </w:rPr>
      </w:pPr>
    </w:p>
    <w:p w14:paraId="572288B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Frost, H. J., &amp; Ashby, M. F. (1982). Deformation-Mechanism Maps. Oxford, UK: Pergamon Press.</w:t>
      </w:r>
    </w:p>
    <w:p w14:paraId="572288BD" w14:textId="77777777" w:rsidR="003F65E2" w:rsidRPr="00986305" w:rsidRDefault="003F65E2" w:rsidP="003F65E2">
      <w:pPr>
        <w:rPr>
          <w:rFonts w:asciiTheme="majorBidi" w:hAnsiTheme="majorBidi" w:cstheme="majorBidi"/>
          <w:b/>
          <w:bCs/>
          <w:sz w:val="24"/>
          <w:szCs w:val="24"/>
        </w:rPr>
      </w:pPr>
    </w:p>
    <w:p w14:paraId="572288B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Golan, O., Arbel, A., Eliezer, D., &amp; Moreno, D. (1996). Applicability of Norton's creep power law to CMSX-2 superalloy. Materials Science and Engineering: A, 216(1), 125-130. Https://doi.org/10.1016/0921-5093(96)10400-7</w:t>
      </w:r>
    </w:p>
    <w:p w14:paraId="572288BF" w14:textId="77777777" w:rsidR="003F65E2" w:rsidRPr="00986305" w:rsidRDefault="003F65E2" w:rsidP="003F65E2">
      <w:pPr>
        <w:rPr>
          <w:rFonts w:asciiTheme="majorBidi" w:hAnsiTheme="majorBidi" w:cstheme="majorBidi"/>
          <w:b/>
          <w:bCs/>
          <w:sz w:val="24"/>
          <w:szCs w:val="24"/>
        </w:rPr>
      </w:pPr>
    </w:p>
    <w:p w14:paraId="572288C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Kachanov, L. M. (1999). Rupture time under creep conditions. International Journal of Fracture, 97(1-4), 11-18. Https://doi.org/10.1023/A:1018671022008</w:t>
      </w:r>
    </w:p>
    <w:p w14:paraId="572288C1" w14:textId="77777777" w:rsidR="003F65E2" w:rsidRPr="00986305" w:rsidRDefault="003F65E2" w:rsidP="003F65E2">
      <w:pPr>
        <w:rPr>
          <w:rFonts w:asciiTheme="majorBidi" w:hAnsiTheme="majorBidi" w:cstheme="majorBidi"/>
          <w:b/>
          <w:bCs/>
          <w:sz w:val="24"/>
          <w:szCs w:val="24"/>
        </w:rPr>
      </w:pPr>
    </w:p>
    <w:p w14:paraId="572288C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Kim, D.-H., Kim, J.-H., Sa, J.-W., Lee, Y.-S., Park, C.-K., &amp; Moon, S.-I. (2008). Stress rupture characteristics of Inconel 718 alloy for ramjet combustor. Materials Science and Engineering: A, 483-484, 262-265. Https://doi.org/10.1016/j.msea.2006.12.159</w:t>
      </w:r>
    </w:p>
    <w:p w14:paraId="572288C3" w14:textId="77777777" w:rsidR="003F65E2" w:rsidRPr="00986305" w:rsidRDefault="003F65E2" w:rsidP="003F65E2">
      <w:pPr>
        <w:rPr>
          <w:rFonts w:asciiTheme="majorBidi" w:hAnsiTheme="majorBidi" w:cstheme="majorBidi"/>
          <w:b/>
          <w:bCs/>
          <w:sz w:val="24"/>
          <w:szCs w:val="24"/>
        </w:rPr>
      </w:pPr>
    </w:p>
    <w:p w14:paraId="572288C4"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Lemaitre, J. (1985). A continuous damage mechanics model for ductile fracture. Journal of Engineering Materials and Technology, 107(1), 83-89. Https://doi.org/10.1115/1.3225775</w:t>
      </w:r>
    </w:p>
    <w:p w14:paraId="572288C5" w14:textId="77777777" w:rsidR="003F65E2" w:rsidRPr="00986305" w:rsidRDefault="003F65E2" w:rsidP="003F65E2">
      <w:pPr>
        <w:rPr>
          <w:rFonts w:asciiTheme="majorBidi" w:hAnsiTheme="majorBidi" w:cstheme="majorBidi"/>
          <w:b/>
          <w:bCs/>
          <w:sz w:val="24"/>
          <w:szCs w:val="24"/>
        </w:rPr>
      </w:pPr>
    </w:p>
    <w:p w14:paraId="572288C6"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Lemaitre, J., &amp; Chaboche, J.-L. (1978). Aspect phnomnologique de la rupture par endommagement. Journal de Mcanique Applique, 2(3), 317-365</w:t>
      </w:r>
    </w:p>
    <w:p w14:paraId="572288C7" w14:textId="77777777" w:rsidR="003F65E2" w:rsidRPr="00986305" w:rsidRDefault="003F65E2" w:rsidP="003F65E2">
      <w:pPr>
        <w:rPr>
          <w:rFonts w:asciiTheme="majorBidi" w:hAnsiTheme="majorBidi" w:cstheme="majorBidi"/>
          <w:b/>
          <w:bCs/>
          <w:sz w:val="24"/>
          <w:szCs w:val="24"/>
        </w:rPr>
      </w:pPr>
    </w:p>
    <w:p w14:paraId="572288C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 L., Song, Y., &amp; Huang, X. (2010). Analysis on creep and creep life of rotor connecting bolts. Technology &amp; New Process, 6, 75-79</w:t>
      </w:r>
    </w:p>
    <w:p w14:paraId="572288C9" w14:textId="77777777" w:rsidR="003F65E2" w:rsidRPr="00986305" w:rsidRDefault="003F65E2" w:rsidP="003F65E2">
      <w:pPr>
        <w:rPr>
          <w:rFonts w:asciiTheme="majorBidi" w:hAnsiTheme="majorBidi" w:cstheme="majorBidi"/>
          <w:b/>
          <w:bCs/>
          <w:sz w:val="24"/>
          <w:szCs w:val="24"/>
        </w:rPr>
      </w:pPr>
    </w:p>
    <w:p w14:paraId="572288C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Lin, G. (1999). ANSYS User Material Subroutine (USERMAT). Canonsburg, PA: ANSYS</w:t>
      </w:r>
    </w:p>
    <w:p w14:paraId="572288CB" w14:textId="77777777" w:rsidR="003F65E2" w:rsidRPr="00986305" w:rsidRDefault="003F65E2" w:rsidP="003F65E2">
      <w:pPr>
        <w:rPr>
          <w:rFonts w:asciiTheme="majorBidi" w:hAnsiTheme="majorBidi" w:cstheme="majorBidi"/>
          <w:b/>
          <w:bCs/>
          <w:sz w:val="24"/>
          <w:szCs w:val="24"/>
        </w:rPr>
      </w:pPr>
    </w:p>
    <w:p w14:paraId="572288C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Liu, D., Li, H., &amp; Liu, Y. (2015). Numerical simulation of creep damage and life prediction of superalloy turbine blade. Mathematical Problems in Engineering, 2015, 732502. Https://doi.org/10.1155/2015/732502</w:t>
      </w:r>
    </w:p>
    <w:p w14:paraId="572288CD" w14:textId="77777777" w:rsidR="003F65E2" w:rsidRPr="00986305" w:rsidRDefault="003F65E2" w:rsidP="003F65E2">
      <w:pPr>
        <w:rPr>
          <w:rFonts w:asciiTheme="majorBidi" w:hAnsiTheme="majorBidi" w:cstheme="majorBidi"/>
          <w:b/>
          <w:bCs/>
          <w:sz w:val="24"/>
          <w:szCs w:val="24"/>
        </w:rPr>
      </w:pPr>
    </w:p>
    <w:p w14:paraId="572288C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McLean, M., Ghosh, R., Curtis, R., Basu-Conlin, U., &amp; Winstone, M. (1992). Anisotropy of high-temperature deformation of single crystal superalloys. Superalloys, 609-618</w:t>
      </w:r>
    </w:p>
    <w:p w14:paraId="572288CF" w14:textId="77777777" w:rsidR="003F65E2" w:rsidRPr="00986305" w:rsidRDefault="003F65E2" w:rsidP="003F65E2">
      <w:pPr>
        <w:rPr>
          <w:rFonts w:asciiTheme="majorBidi" w:hAnsiTheme="majorBidi" w:cstheme="majorBidi"/>
          <w:b/>
          <w:bCs/>
          <w:sz w:val="24"/>
          <w:szCs w:val="24"/>
        </w:rPr>
      </w:pPr>
    </w:p>
    <w:p w14:paraId="572288D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Sugahara, T., Martinolli, K., Reis, D. A., de Moura Neto, C., Couto, A. A., et al. (2012). Creep behavior of Inconel 718 superalloy. In Defect and Diffusion Forum (Vol. 326-328, pp. 509-514). Trans Tech Publications. Https://doi.org/10.4028/www.scientific.net/DDF.326-328.509</w:t>
      </w:r>
    </w:p>
    <w:p w14:paraId="572288D1" w14:textId="77777777" w:rsidR="003F65E2" w:rsidRPr="00986305" w:rsidRDefault="003F65E2" w:rsidP="003F65E2">
      <w:pPr>
        <w:rPr>
          <w:rFonts w:asciiTheme="majorBidi" w:hAnsiTheme="majorBidi" w:cstheme="majorBidi"/>
          <w:b/>
          <w:bCs/>
          <w:sz w:val="24"/>
          <w:szCs w:val="24"/>
        </w:rPr>
      </w:pPr>
    </w:p>
    <w:p w14:paraId="572288D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VDM Metals. (2020). VDM Alloy 718: Material Data Sheet No. 4127 (Rev. 02). Retrieved from https://www.vdm-metals.com/fileadmin/userupload/Downloads/DataSheets/DataSheetVDMAlloy718.pdf</w:t>
      </w:r>
    </w:p>
    <w:sectPr w:rsidR="003F65E2" w:rsidRPr="00986305">
      <w:footerReference w:type="default" r:id="rId3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CF61A" w14:textId="77777777" w:rsidR="00AB0195" w:rsidRDefault="00AB0195" w:rsidP="00125619">
      <w:pPr>
        <w:spacing w:after="0" w:line="240" w:lineRule="auto"/>
      </w:pPr>
      <w:r>
        <w:separator/>
      </w:r>
    </w:p>
  </w:endnote>
  <w:endnote w:type="continuationSeparator" w:id="0">
    <w:p w14:paraId="7D5179B0" w14:textId="77777777" w:rsidR="00AB0195" w:rsidRDefault="00AB0195" w:rsidP="00125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8"/>
        <w:szCs w:val="28"/>
      </w:rPr>
      <w:id w:val="831494138"/>
      <w:docPartObj>
        <w:docPartGallery w:val="Page Numbers (Bottom of Page)"/>
        <w:docPartUnique/>
      </w:docPartObj>
    </w:sdtPr>
    <w:sdtEndPr>
      <w:rPr>
        <w:noProof/>
      </w:rPr>
    </w:sdtEndPr>
    <w:sdtContent>
      <w:p w14:paraId="572288E1" w14:textId="77777777" w:rsidR="00125619" w:rsidRPr="00DD5C87" w:rsidRDefault="00125619">
        <w:pPr>
          <w:pStyle w:val="Footer"/>
          <w:jc w:val="center"/>
          <w:rPr>
            <w:rFonts w:asciiTheme="majorBidi" w:hAnsiTheme="majorBidi" w:cstheme="majorBidi"/>
            <w:sz w:val="28"/>
            <w:szCs w:val="28"/>
          </w:rPr>
        </w:pPr>
        <w:r w:rsidRPr="00DD5C87">
          <w:rPr>
            <w:rFonts w:asciiTheme="majorBidi" w:hAnsiTheme="majorBidi" w:cstheme="majorBidi"/>
            <w:sz w:val="28"/>
            <w:szCs w:val="28"/>
          </w:rPr>
          <w:fldChar w:fldCharType="begin"/>
        </w:r>
        <w:r w:rsidRPr="00DD5C87">
          <w:rPr>
            <w:rFonts w:asciiTheme="majorBidi" w:hAnsiTheme="majorBidi" w:cstheme="majorBidi"/>
            <w:sz w:val="28"/>
            <w:szCs w:val="28"/>
          </w:rPr>
          <w:instrText xml:space="preserve"> PAGE   \* MERGEFORMAT </w:instrText>
        </w:r>
        <w:r w:rsidRPr="00DD5C87">
          <w:rPr>
            <w:rFonts w:asciiTheme="majorBidi" w:hAnsiTheme="majorBidi" w:cstheme="majorBidi"/>
            <w:sz w:val="28"/>
            <w:szCs w:val="28"/>
          </w:rPr>
          <w:fldChar w:fldCharType="separate"/>
        </w:r>
        <w:r w:rsidR="00461C1A" w:rsidRPr="00DD5C87">
          <w:rPr>
            <w:rFonts w:asciiTheme="majorBidi" w:hAnsiTheme="majorBidi" w:cstheme="majorBidi"/>
            <w:noProof/>
            <w:sz w:val="28"/>
            <w:szCs w:val="28"/>
          </w:rPr>
          <w:t>6</w:t>
        </w:r>
        <w:r w:rsidRPr="00DD5C87">
          <w:rPr>
            <w:rFonts w:asciiTheme="majorBidi" w:hAnsiTheme="majorBidi" w:cstheme="majorBidi"/>
            <w:noProof/>
            <w:sz w:val="28"/>
            <w:szCs w:val="28"/>
          </w:rPr>
          <w:fldChar w:fldCharType="end"/>
        </w:r>
      </w:p>
    </w:sdtContent>
  </w:sdt>
  <w:p w14:paraId="572288E2" w14:textId="77777777" w:rsidR="00125619" w:rsidRDefault="00125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0519" w14:textId="77777777" w:rsidR="00AB0195" w:rsidRDefault="00AB0195" w:rsidP="00125619">
      <w:pPr>
        <w:spacing w:after="0" w:line="240" w:lineRule="auto"/>
      </w:pPr>
      <w:r>
        <w:separator/>
      </w:r>
    </w:p>
  </w:footnote>
  <w:footnote w:type="continuationSeparator" w:id="0">
    <w:p w14:paraId="44996FA7" w14:textId="77777777" w:rsidR="00AB0195" w:rsidRDefault="00AB0195" w:rsidP="001256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1D65"/>
    <w:multiLevelType w:val="hybridMultilevel"/>
    <w:tmpl w:val="B83E9214"/>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645E38"/>
    <w:multiLevelType w:val="hybridMultilevel"/>
    <w:tmpl w:val="62362D20"/>
    <w:lvl w:ilvl="0" w:tplc="E408AD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E7D60"/>
    <w:multiLevelType w:val="hybridMultilevel"/>
    <w:tmpl w:val="64D6E42C"/>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6371EC"/>
    <w:multiLevelType w:val="hybridMultilevel"/>
    <w:tmpl w:val="8944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B7309"/>
    <w:multiLevelType w:val="hybridMultilevel"/>
    <w:tmpl w:val="C8A2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22DCB"/>
    <w:multiLevelType w:val="hybridMultilevel"/>
    <w:tmpl w:val="FFEA7B26"/>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451018C"/>
    <w:multiLevelType w:val="hybridMultilevel"/>
    <w:tmpl w:val="0298E124"/>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9EC72D6"/>
    <w:multiLevelType w:val="hybridMultilevel"/>
    <w:tmpl w:val="9E5E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14602"/>
    <w:multiLevelType w:val="hybridMultilevel"/>
    <w:tmpl w:val="0E3A1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623CD2"/>
    <w:multiLevelType w:val="hybridMultilevel"/>
    <w:tmpl w:val="EE80475A"/>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C402690"/>
    <w:multiLevelType w:val="hybridMultilevel"/>
    <w:tmpl w:val="588A3B88"/>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B4437A3"/>
    <w:multiLevelType w:val="hybridMultilevel"/>
    <w:tmpl w:val="5854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37770"/>
    <w:multiLevelType w:val="hybridMultilevel"/>
    <w:tmpl w:val="94FE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174687">
    <w:abstractNumId w:val="4"/>
  </w:num>
  <w:num w:numId="2" w16cid:durableId="779688094">
    <w:abstractNumId w:val="7"/>
  </w:num>
  <w:num w:numId="3" w16cid:durableId="1970624362">
    <w:abstractNumId w:val="12"/>
  </w:num>
  <w:num w:numId="4" w16cid:durableId="1172329149">
    <w:abstractNumId w:val="11"/>
  </w:num>
  <w:num w:numId="5" w16cid:durableId="824974854">
    <w:abstractNumId w:val="8"/>
  </w:num>
  <w:num w:numId="6" w16cid:durableId="1639529326">
    <w:abstractNumId w:val="3"/>
  </w:num>
  <w:num w:numId="7" w16cid:durableId="1695836771">
    <w:abstractNumId w:val="1"/>
  </w:num>
  <w:num w:numId="8" w16cid:durableId="315457358">
    <w:abstractNumId w:val="5"/>
  </w:num>
  <w:num w:numId="9" w16cid:durableId="1645885759">
    <w:abstractNumId w:val="2"/>
  </w:num>
  <w:num w:numId="10" w16cid:durableId="1129980328">
    <w:abstractNumId w:val="0"/>
  </w:num>
  <w:num w:numId="11" w16cid:durableId="322394743">
    <w:abstractNumId w:val="10"/>
  </w:num>
  <w:num w:numId="12" w16cid:durableId="215895201">
    <w:abstractNumId w:val="9"/>
  </w:num>
  <w:num w:numId="13" w16cid:durableId="869301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64"/>
    <w:rsid w:val="00001762"/>
    <w:rsid w:val="00015515"/>
    <w:rsid w:val="00017766"/>
    <w:rsid w:val="000832F3"/>
    <w:rsid w:val="000A1946"/>
    <w:rsid w:val="000B30E9"/>
    <w:rsid w:val="000C7A10"/>
    <w:rsid w:val="000D2E52"/>
    <w:rsid w:val="000D4FA5"/>
    <w:rsid w:val="000D6950"/>
    <w:rsid w:val="000F6814"/>
    <w:rsid w:val="001021BA"/>
    <w:rsid w:val="00125619"/>
    <w:rsid w:val="00151BDE"/>
    <w:rsid w:val="001707DA"/>
    <w:rsid w:val="00174E20"/>
    <w:rsid w:val="001A1788"/>
    <w:rsid w:val="001B3346"/>
    <w:rsid w:val="001B35CD"/>
    <w:rsid w:val="001C1ACB"/>
    <w:rsid w:val="001E346B"/>
    <w:rsid w:val="001E79A7"/>
    <w:rsid w:val="00203819"/>
    <w:rsid w:val="002048C4"/>
    <w:rsid w:val="002279BD"/>
    <w:rsid w:val="002315B9"/>
    <w:rsid w:val="00235574"/>
    <w:rsid w:val="0025458B"/>
    <w:rsid w:val="00271687"/>
    <w:rsid w:val="002804C1"/>
    <w:rsid w:val="002A3058"/>
    <w:rsid w:val="002A4E2A"/>
    <w:rsid w:val="002A59D9"/>
    <w:rsid w:val="002B18FA"/>
    <w:rsid w:val="003025B8"/>
    <w:rsid w:val="00304936"/>
    <w:rsid w:val="0030606E"/>
    <w:rsid w:val="00314A57"/>
    <w:rsid w:val="00322E5A"/>
    <w:rsid w:val="003552D8"/>
    <w:rsid w:val="003669CE"/>
    <w:rsid w:val="00376C7F"/>
    <w:rsid w:val="00381E4D"/>
    <w:rsid w:val="00385454"/>
    <w:rsid w:val="0039313C"/>
    <w:rsid w:val="003F082F"/>
    <w:rsid w:val="003F31CB"/>
    <w:rsid w:val="003F65E2"/>
    <w:rsid w:val="00404161"/>
    <w:rsid w:val="00412D1A"/>
    <w:rsid w:val="00431438"/>
    <w:rsid w:val="0044397F"/>
    <w:rsid w:val="00461C1A"/>
    <w:rsid w:val="00495104"/>
    <w:rsid w:val="004953CF"/>
    <w:rsid w:val="004A5896"/>
    <w:rsid w:val="004B2F4B"/>
    <w:rsid w:val="004B7977"/>
    <w:rsid w:val="004C50DD"/>
    <w:rsid w:val="004C5960"/>
    <w:rsid w:val="004E4216"/>
    <w:rsid w:val="004F130A"/>
    <w:rsid w:val="004F31BC"/>
    <w:rsid w:val="00501E58"/>
    <w:rsid w:val="00515395"/>
    <w:rsid w:val="00527118"/>
    <w:rsid w:val="00535B45"/>
    <w:rsid w:val="005532C3"/>
    <w:rsid w:val="005B4D64"/>
    <w:rsid w:val="005C718D"/>
    <w:rsid w:val="005E1916"/>
    <w:rsid w:val="005F1232"/>
    <w:rsid w:val="006336FF"/>
    <w:rsid w:val="00635AAA"/>
    <w:rsid w:val="0065094A"/>
    <w:rsid w:val="00651F01"/>
    <w:rsid w:val="00657696"/>
    <w:rsid w:val="006A3082"/>
    <w:rsid w:val="006B1809"/>
    <w:rsid w:val="006C50C0"/>
    <w:rsid w:val="00701E57"/>
    <w:rsid w:val="00722A38"/>
    <w:rsid w:val="00734D24"/>
    <w:rsid w:val="0073616C"/>
    <w:rsid w:val="007368F7"/>
    <w:rsid w:val="00740A5D"/>
    <w:rsid w:val="007634E9"/>
    <w:rsid w:val="0078599B"/>
    <w:rsid w:val="007A28FD"/>
    <w:rsid w:val="007D4481"/>
    <w:rsid w:val="007E7C07"/>
    <w:rsid w:val="007F0ADA"/>
    <w:rsid w:val="007F52C4"/>
    <w:rsid w:val="008550D6"/>
    <w:rsid w:val="00871FEB"/>
    <w:rsid w:val="0088465B"/>
    <w:rsid w:val="00893B23"/>
    <w:rsid w:val="008C55ED"/>
    <w:rsid w:val="008D1241"/>
    <w:rsid w:val="008D1A80"/>
    <w:rsid w:val="008E7684"/>
    <w:rsid w:val="008E7D45"/>
    <w:rsid w:val="009016E7"/>
    <w:rsid w:val="009019ED"/>
    <w:rsid w:val="00906CCB"/>
    <w:rsid w:val="0090790F"/>
    <w:rsid w:val="00927B52"/>
    <w:rsid w:val="00933323"/>
    <w:rsid w:val="00953C5A"/>
    <w:rsid w:val="009672F2"/>
    <w:rsid w:val="00967A02"/>
    <w:rsid w:val="00975249"/>
    <w:rsid w:val="00985908"/>
    <w:rsid w:val="00986305"/>
    <w:rsid w:val="009C2989"/>
    <w:rsid w:val="00A12BF9"/>
    <w:rsid w:val="00A1475B"/>
    <w:rsid w:val="00A14A08"/>
    <w:rsid w:val="00A23ABA"/>
    <w:rsid w:val="00A34DB7"/>
    <w:rsid w:val="00A42EA1"/>
    <w:rsid w:val="00A43957"/>
    <w:rsid w:val="00A52EF1"/>
    <w:rsid w:val="00A62CAE"/>
    <w:rsid w:val="00A71788"/>
    <w:rsid w:val="00A75FFE"/>
    <w:rsid w:val="00A85586"/>
    <w:rsid w:val="00AA2EA4"/>
    <w:rsid w:val="00AB0195"/>
    <w:rsid w:val="00AB4DAB"/>
    <w:rsid w:val="00AC1387"/>
    <w:rsid w:val="00AD16DC"/>
    <w:rsid w:val="00AD785E"/>
    <w:rsid w:val="00AF0F09"/>
    <w:rsid w:val="00AF293A"/>
    <w:rsid w:val="00AF4FB1"/>
    <w:rsid w:val="00B443E0"/>
    <w:rsid w:val="00B46C71"/>
    <w:rsid w:val="00B54313"/>
    <w:rsid w:val="00B7769F"/>
    <w:rsid w:val="00BB63C1"/>
    <w:rsid w:val="00BD4318"/>
    <w:rsid w:val="00BF5BCD"/>
    <w:rsid w:val="00C059EB"/>
    <w:rsid w:val="00C81390"/>
    <w:rsid w:val="00CA0DEC"/>
    <w:rsid w:val="00CB0051"/>
    <w:rsid w:val="00CC7BFD"/>
    <w:rsid w:val="00CD1A0C"/>
    <w:rsid w:val="00D109CA"/>
    <w:rsid w:val="00D653C4"/>
    <w:rsid w:val="00D705E0"/>
    <w:rsid w:val="00D77E82"/>
    <w:rsid w:val="00D95FE2"/>
    <w:rsid w:val="00DA6666"/>
    <w:rsid w:val="00DC025F"/>
    <w:rsid w:val="00DC3DD6"/>
    <w:rsid w:val="00DD051A"/>
    <w:rsid w:val="00DD5C87"/>
    <w:rsid w:val="00DE708C"/>
    <w:rsid w:val="00E0039F"/>
    <w:rsid w:val="00E0229C"/>
    <w:rsid w:val="00E17942"/>
    <w:rsid w:val="00E2030A"/>
    <w:rsid w:val="00E236A9"/>
    <w:rsid w:val="00E26E7D"/>
    <w:rsid w:val="00E27D66"/>
    <w:rsid w:val="00E402BA"/>
    <w:rsid w:val="00E55631"/>
    <w:rsid w:val="00E934DF"/>
    <w:rsid w:val="00EB4482"/>
    <w:rsid w:val="00EE1AA8"/>
    <w:rsid w:val="00EE2ABF"/>
    <w:rsid w:val="00EF2A71"/>
    <w:rsid w:val="00EF59CE"/>
    <w:rsid w:val="00EF5E68"/>
    <w:rsid w:val="00EF6D80"/>
    <w:rsid w:val="00F03280"/>
    <w:rsid w:val="00F2541A"/>
    <w:rsid w:val="00F2769F"/>
    <w:rsid w:val="00F4028A"/>
    <w:rsid w:val="00F73A3F"/>
    <w:rsid w:val="00F76A56"/>
    <w:rsid w:val="00F96DE7"/>
    <w:rsid w:val="00FA2F83"/>
    <w:rsid w:val="00FA3DD0"/>
    <w:rsid w:val="00FB2B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8830"/>
  <w15:docId w15:val="{630A39D2-5D18-4F56-AC51-D648B821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3E0"/>
    <w:pPr>
      <w:ind w:left="720"/>
      <w:contextualSpacing/>
    </w:pPr>
  </w:style>
  <w:style w:type="paragraph" w:styleId="Header">
    <w:name w:val="header"/>
    <w:basedOn w:val="Normal"/>
    <w:link w:val="HeaderChar"/>
    <w:uiPriority w:val="99"/>
    <w:unhideWhenUsed/>
    <w:rsid w:val="00125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619"/>
  </w:style>
  <w:style w:type="paragraph" w:styleId="Footer">
    <w:name w:val="footer"/>
    <w:basedOn w:val="Normal"/>
    <w:link w:val="FooterChar"/>
    <w:uiPriority w:val="99"/>
    <w:unhideWhenUsed/>
    <w:rsid w:val="00125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619"/>
  </w:style>
  <w:style w:type="character" w:styleId="Hyperlink">
    <w:name w:val="Hyperlink"/>
    <w:basedOn w:val="DefaultParagraphFont"/>
    <w:uiPriority w:val="99"/>
    <w:unhideWhenUsed/>
    <w:rsid w:val="003669CE"/>
    <w:rPr>
      <w:color w:val="0000FF" w:themeColor="hyperlink"/>
      <w:u w:val="single"/>
    </w:rPr>
  </w:style>
  <w:style w:type="character" w:styleId="UnresolvedMention">
    <w:name w:val="Unresolved Mention"/>
    <w:basedOn w:val="DefaultParagraphFont"/>
    <w:uiPriority w:val="99"/>
    <w:semiHidden/>
    <w:unhideWhenUsed/>
    <w:rsid w:val="00366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966">
      <w:bodyDiv w:val="1"/>
      <w:marLeft w:val="0"/>
      <w:marRight w:val="0"/>
      <w:marTop w:val="0"/>
      <w:marBottom w:val="0"/>
      <w:divBdr>
        <w:top w:val="none" w:sz="0" w:space="0" w:color="auto"/>
        <w:left w:val="none" w:sz="0" w:space="0" w:color="auto"/>
        <w:bottom w:val="none" w:sz="0" w:space="0" w:color="auto"/>
        <w:right w:val="none" w:sz="0" w:space="0" w:color="auto"/>
      </w:divBdr>
      <w:divsChild>
        <w:div w:id="1387098146">
          <w:marLeft w:val="0"/>
          <w:marRight w:val="0"/>
          <w:marTop w:val="0"/>
          <w:marBottom w:val="200"/>
          <w:divBdr>
            <w:top w:val="none" w:sz="0" w:space="0" w:color="auto"/>
            <w:left w:val="none" w:sz="0" w:space="0" w:color="auto"/>
            <w:bottom w:val="none" w:sz="0" w:space="0" w:color="auto"/>
            <w:right w:val="none" w:sz="0" w:space="0" w:color="auto"/>
          </w:divBdr>
        </w:div>
      </w:divsChild>
    </w:div>
    <w:div w:id="800658117">
      <w:bodyDiv w:val="1"/>
      <w:marLeft w:val="0"/>
      <w:marRight w:val="0"/>
      <w:marTop w:val="0"/>
      <w:marBottom w:val="0"/>
      <w:divBdr>
        <w:top w:val="none" w:sz="0" w:space="0" w:color="auto"/>
        <w:left w:val="none" w:sz="0" w:space="0" w:color="auto"/>
        <w:bottom w:val="none" w:sz="0" w:space="0" w:color="auto"/>
        <w:right w:val="none" w:sz="0" w:space="0" w:color="auto"/>
      </w:divBdr>
      <w:divsChild>
        <w:div w:id="1462073047">
          <w:marLeft w:val="0"/>
          <w:marRight w:val="0"/>
          <w:marTop w:val="0"/>
          <w:marBottom w:val="200"/>
          <w:divBdr>
            <w:top w:val="none" w:sz="0" w:space="0" w:color="auto"/>
            <w:left w:val="none" w:sz="0" w:space="0" w:color="auto"/>
            <w:bottom w:val="none" w:sz="0" w:space="0" w:color="auto"/>
            <w:right w:val="none" w:sz="0" w:space="0" w:color="auto"/>
          </w:divBdr>
        </w:div>
      </w:divsChild>
    </w:div>
    <w:div w:id="1195583866">
      <w:bodyDiv w:val="1"/>
      <w:marLeft w:val="0"/>
      <w:marRight w:val="0"/>
      <w:marTop w:val="0"/>
      <w:marBottom w:val="0"/>
      <w:divBdr>
        <w:top w:val="none" w:sz="0" w:space="0" w:color="auto"/>
        <w:left w:val="none" w:sz="0" w:space="0" w:color="auto"/>
        <w:bottom w:val="none" w:sz="0" w:space="0" w:color="auto"/>
        <w:right w:val="none" w:sz="0" w:space="0" w:color="auto"/>
      </w:divBdr>
      <w:divsChild>
        <w:div w:id="247887118">
          <w:marLeft w:val="0"/>
          <w:marRight w:val="0"/>
          <w:marTop w:val="0"/>
          <w:marBottom w:val="200"/>
          <w:divBdr>
            <w:top w:val="none" w:sz="0" w:space="0" w:color="auto"/>
            <w:left w:val="none" w:sz="0" w:space="0" w:color="auto"/>
            <w:bottom w:val="none" w:sz="0" w:space="0" w:color="auto"/>
            <w:right w:val="none" w:sz="0" w:space="0" w:color="auto"/>
          </w:divBdr>
        </w:div>
      </w:divsChild>
    </w:div>
    <w:div w:id="1436513290">
      <w:bodyDiv w:val="1"/>
      <w:marLeft w:val="0"/>
      <w:marRight w:val="0"/>
      <w:marTop w:val="0"/>
      <w:marBottom w:val="0"/>
      <w:divBdr>
        <w:top w:val="none" w:sz="0" w:space="0" w:color="auto"/>
        <w:left w:val="none" w:sz="0" w:space="0" w:color="auto"/>
        <w:bottom w:val="none" w:sz="0" w:space="0" w:color="auto"/>
        <w:right w:val="none" w:sz="0" w:space="0" w:color="auto"/>
      </w:divBdr>
      <w:divsChild>
        <w:div w:id="1367827418">
          <w:marLeft w:val="0"/>
          <w:marRight w:val="0"/>
          <w:marTop w:val="0"/>
          <w:marBottom w:val="200"/>
          <w:divBdr>
            <w:top w:val="none" w:sz="0" w:space="0" w:color="auto"/>
            <w:left w:val="none" w:sz="0" w:space="0" w:color="auto"/>
            <w:bottom w:val="none" w:sz="0" w:space="0" w:color="auto"/>
            <w:right w:val="none" w:sz="0" w:space="0" w:color="auto"/>
          </w:divBdr>
        </w:div>
      </w:divsChild>
    </w:div>
    <w:div w:id="1487548227">
      <w:bodyDiv w:val="1"/>
      <w:marLeft w:val="0"/>
      <w:marRight w:val="0"/>
      <w:marTop w:val="0"/>
      <w:marBottom w:val="0"/>
      <w:divBdr>
        <w:top w:val="none" w:sz="0" w:space="0" w:color="auto"/>
        <w:left w:val="none" w:sz="0" w:space="0" w:color="auto"/>
        <w:bottom w:val="none" w:sz="0" w:space="0" w:color="auto"/>
        <w:right w:val="none" w:sz="0" w:space="0" w:color="auto"/>
      </w:divBdr>
      <w:divsChild>
        <w:div w:id="1465007527">
          <w:marLeft w:val="0"/>
          <w:marRight w:val="0"/>
          <w:marTop w:val="0"/>
          <w:marBottom w:val="200"/>
          <w:divBdr>
            <w:top w:val="none" w:sz="0" w:space="0" w:color="auto"/>
            <w:left w:val="none" w:sz="0" w:space="0" w:color="auto"/>
            <w:bottom w:val="none" w:sz="0" w:space="0" w:color="auto"/>
            <w:right w:val="none" w:sz="0" w:space="0" w:color="auto"/>
          </w:divBdr>
        </w:div>
      </w:divsChild>
    </w:div>
    <w:div w:id="1553881065">
      <w:bodyDiv w:val="1"/>
      <w:marLeft w:val="0"/>
      <w:marRight w:val="0"/>
      <w:marTop w:val="0"/>
      <w:marBottom w:val="0"/>
      <w:divBdr>
        <w:top w:val="none" w:sz="0" w:space="0" w:color="auto"/>
        <w:left w:val="none" w:sz="0" w:space="0" w:color="auto"/>
        <w:bottom w:val="none" w:sz="0" w:space="0" w:color="auto"/>
        <w:right w:val="none" w:sz="0" w:space="0" w:color="auto"/>
      </w:divBdr>
      <w:divsChild>
        <w:div w:id="1609509723">
          <w:marLeft w:val="0"/>
          <w:marRight w:val="0"/>
          <w:marTop w:val="0"/>
          <w:marBottom w:val="200"/>
          <w:divBdr>
            <w:top w:val="none" w:sz="0" w:space="0" w:color="auto"/>
            <w:left w:val="none" w:sz="0" w:space="0" w:color="auto"/>
            <w:bottom w:val="none" w:sz="0" w:space="0" w:color="auto"/>
            <w:right w:val="none" w:sz="0" w:space="0" w:color="auto"/>
          </w:divBdr>
        </w:div>
      </w:divsChild>
    </w:div>
    <w:div w:id="1616014795">
      <w:bodyDiv w:val="1"/>
      <w:marLeft w:val="0"/>
      <w:marRight w:val="0"/>
      <w:marTop w:val="0"/>
      <w:marBottom w:val="0"/>
      <w:divBdr>
        <w:top w:val="none" w:sz="0" w:space="0" w:color="auto"/>
        <w:left w:val="none" w:sz="0" w:space="0" w:color="auto"/>
        <w:bottom w:val="none" w:sz="0" w:space="0" w:color="auto"/>
        <w:right w:val="none" w:sz="0" w:space="0" w:color="auto"/>
      </w:divBdr>
      <w:divsChild>
        <w:div w:id="1709376144">
          <w:marLeft w:val="0"/>
          <w:marRight w:val="0"/>
          <w:marTop w:val="0"/>
          <w:marBottom w:val="200"/>
          <w:divBdr>
            <w:top w:val="none" w:sz="0" w:space="0" w:color="auto"/>
            <w:left w:val="none" w:sz="0" w:space="0" w:color="auto"/>
            <w:bottom w:val="none" w:sz="0" w:space="0" w:color="auto"/>
            <w:right w:val="none" w:sz="0" w:space="0" w:color="auto"/>
          </w:divBdr>
        </w:div>
      </w:divsChild>
    </w:div>
    <w:div w:id="1652904360">
      <w:bodyDiv w:val="1"/>
      <w:marLeft w:val="0"/>
      <w:marRight w:val="0"/>
      <w:marTop w:val="0"/>
      <w:marBottom w:val="0"/>
      <w:divBdr>
        <w:top w:val="none" w:sz="0" w:space="0" w:color="auto"/>
        <w:left w:val="none" w:sz="0" w:space="0" w:color="auto"/>
        <w:bottom w:val="none" w:sz="0" w:space="0" w:color="auto"/>
        <w:right w:val="none" w:sz="0" w:space="0" w:color="auto"/>
      </w:divBdr>
      <w:divsChild>
        <w:div w:id="665016916">
          <w:marLeft w:val="0"/>
          <w:marRight w:val="0"/>
          <w:marTop w:val="0"/>
          <w:marBottom w:val="200"/>
          <w:divBdr>
            <w:top w:val="none" w:sz="0" w:space="0" w:color="auto"/>
            <w:left w:val="none" w:sz="0" w:space="0" w:color="auto"/>
            <w:bottom w:val="none" w:sz="0" w:space="0" w:color="auto"/>
            <w:right w:val="none" w:sz="0" w:space="0" w:color="auto"/>
          </w:divBdr>
        </w:div>
      </w:divsChild>
    </w:div>
    <w:div w:id="1781683231">
      <w:bodyDiv w:val="1"/>
      <w:marLeft w:val="0"/>
      <w:marRight w:val="0"/>
      <w:marTop w:val="0"/>
      <w:marBottom w:val="0"/>
      <w:divBdr>
        <w:top w:val="none" w:sz="0" w:space="0" w:color="auto"/>
        <w:left w:val="none" w:sz="0" w:space="0" w:color="auto"/>
        <w:bottom w:val="none" w:sz="0" w:space="0" w:color="auto"/>
        <w:right w:val="none" w:sz="0" w:space="0" w:color="auto"/>
      </w:divBdr>
      <w:divsChild>
        <w:div w:id="607616699">
          <w:marLeft w:val="0"/>
          <w:marRight w:val="0"/>
          <w:marTop w:val="0"/>
          <w:marBottom w:val="200"/>
          <w:divBdr>
            <w:top w:val="none" w:sz="0" w:space="0" w:color="auto"/>
            <w:left w:val="none" w:sz="0" w:space="0" w:color="auto"/>
            <w:bottom w:val="none" w:sz="0" w:space="0" w:color="auto"/>
            <w:right w:val="none" w:sz="0" w:space="0" w:color="auto"/>
          </w:divBdr>
        </w:div>
      </w:divsChild>
    </w:div>
    <w:div w:id="1920289150">
      <w:bodyDiv w:val="1"/>
      <w:marLeft w:val="0"/>
      <w:marRight w:val="0"/>
      <w:marTop w:val="0"/>
      <w:marBottom w:val="0"/>
      <w:divBdr>
        <w:top w:val="none" w:sz="0" w:space="0" w:color="auto"/>
        <w:left w:val="none" w:sz="0" w:space="0" w:color="auto"/>
        <w:bottom w:val="none" w:sz="0" w:space="0" w:color="auto"/>
        <w:right w:val="none" w:sz="0" w:space="0" w:color="auto"/>
      </w:divBdr>
      <w:divsChild>
        <w:div w:id="938294012">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i.org/10.1007/s10338-026-00739-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doi.org/10.1007/s42423-026-00207-8"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dx.doi.org/10.2139/ssrn.6791330"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srn.com/abstract=679133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002/slct.202506438"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EADF0-5386-4495-80CD-1EBFC7BE6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33</Pages>
  <Words>8079</Words>
  <Characters>46054</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dc:creator>
  <cp:keywords/>
  <dc:description/>
  <cp:lastModifiedBy>Abouzied, Abderahman</cp:lastModifiedBy>
  <cp:revision>13</cp:revision>
  <dcterms:created xsi:type="dcterms:W3CDTF">2026-06-26T04:22:00Z</dcterms:created>
  <dcterms:modified xsi:type="dcterms:W3CDTF">2026-06-26T17:42:00Z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2026-06-10T00:37:36Z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d0d9693f-de64-41fa-8d00-eae513bb8fdb</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