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883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 Hybrid Finite Element and Larson-Miller Parameter Framework for Residual Useful Life Prediction of Gas Turbine Combustion Liners</w:t>
      </w:r>
    </w:p>
    <w:p w14:paraId="57228831"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3">
          <v:rect id="_x0000_i1025" style="width:468pt;height:1.5pt" o:hralign="center" o:hrstd="t" o:hr="t" fillcolor="#a0a0a0" stroked="f"/>
        </w:pict>
      </w:r>
    </w:p>
    <w:p w14:paraId="57228832" w14:textId="77777777" w:rsidR="00314A57" w:rsidRPr="00986305" w:rsidRDefault="00314A57" w:rsidP="003F65E2">
      <w:pPr>
        <w:rPr>
          <w:rFonts w:asciiTheme="majorBidi" w:hAnsiTheme="majorBidi" w:cstheme="majorBidi"/>
          <w:b/>
          <w:bCs/>
          <w:sz w:val="24"/>
          <w:szCs w:val="24"/>
        </w:rPr>
      </w:pPr>
    </w:p>
    <w:p w14:paraId="5722883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Abstract</w:t>
      </w:r>
    </w:p>
    <w:p w14:paraId="6891BF27" w14:textId="77777777" w:rsidR="00C059EB" w:rsidRPr="00C059EB" w:rsidRDefault="00C059EB" w:rsidP="00C059EB">
      <w:pPr>
        <w:rPr>
          <w:rFonts w:asciiTheme="majorBidi" w:hAnsiTheme="majorBidi" w:cstheme="majorBidi"/>
          <w:sz w:val="24"/>
          <w:szCs w:val="24"/>
        </w:rPr>
      </w:pPr>
      <w:r w:rsidRPr="00C059EB">
        <w:rPr>
          <w:rFonts w:asciiTheme="majorBidi" w:hAnsiTheme="majorBidi" w:cstheme="majorBidi"/>
          <w:sz w:val="24"/>
          <w:szCs w:val="24"/>
        </w:rPr>
        <w:t>Power generation infrastructure and strategic asset management are critical to national security and industrial sustainability, particularly in rapidly developing nations like Egypt. This study presents a hybrid prognostic framework integrating advanced Finite Element Analysis (FEA) with the empirical Larson-Miller Parameter (LMP) method to predict the Residual Useful Life (RUL) of combustion chamber liners in heavy-duty gas turbines. The investigation focuses on the high-temperature combustion system of the Siemens SGT5-8000H gas turbine operating under actual baseload conditions at the New Administrative Capital power station. High-temperature failure mechanisms are classified into primary and secondary categories; creep deformation is identified as the dominant life-limiting mechanism. Creep is critically hazardous due to its time-dependent nature under sustained thermo-mechanical loads, where permanent microstructural damage, such as grain boundary sliding and vacancy coalescence, accumulates at stresses well below the material's yield strength, serves as a precursor to macro-cracking, and is further exacerbated by severe thermal gradients.</w:t>
      </w:r>
    </w:p>
    <w:p w14:paraId="3A5F324E" w14:textId="78156DE5" w:rsidR="00C059EB" w:rsidRPr="00C059EB" w:rsidRDefault="00C059EB" w:rsidP="00C059EB">
      <w:pPr>
        <w:rPr>
          <w:rFonts w:asciiTheme="majorBidi" w:hAnsiTheme="majorBidi" w:cstheme="majorBidi"/>
          <w:sz w:val="24"/>
          <w:szCs w:val="24"/>
        </w:rPr>
      </w:pPr>
      <w:r w:rsidRPr="00C059EB">
        <w:rPr>
          <w:rFonts w:asciiTheme="majorBidi" w:hAnsiTheme="majorBidi" w:cstheme="majorBidi"/>
          <w:sz w:val="24"/>
          <w:szCs w:val="24"/>
        </w:rPr>
        <w:t>To evaluate structural integrity, a high-fidelity 3D CAD model was developed in Autodesk Inventor based on official engineering drawings obtained under a strict Non-Disclosure Agreement (NDA) with Siemens. Operational field data, including continuous temperature and pressure logs, were acquired from the plant following regulatory and security clearances from the Egyptian Ministry of Electricity and Renewable Energy. Thermomechanical FEA simulations based on Von Mises distortion energy theory were conducted utilizing temperature-dependent properties of austenitic stainless steels (SS304/SS316) and live operational boundary conditions. The maximum equivalent stress was quantified at 14.57 MPa, demonstrating a structurally stable configuration with minimal localized plastic deformation. By exporting the localized FEA stress and temperature fields into the analytical LMP model, the framework predicts a safe creep rupture life of approximately 10,000 operating hours at a peak temperature of 800°C. The proposed predictive model achieves a verified accuracy of 95% through analytical cross-verification against governing constitutive high-temperature equations, showcasing its value for optimizing predictive maintenance schedules and preventing catastrophic in-service failures.</w:t>
      </w:r>
    </w:p>
    <w:p w14:paraId="57228838"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b/>
          <w:bCs/>
          <w:sz w:val="24"/>
          <w:szCs w:val="24"/>
        </w:rPr>
        <w:t>Keywords</w:t>
      </w:r>
      <w:r w:rsidRPr="00986305">
        <w:rPr>
          <w:rFonts w:asciiTheme="majorBidi" w:hAnsiTheme="majorBidi" w:cstheme="majorBidi"/>
          <w:sz w:val="24"/>
          <w:szCs w:val="24"/>
        </w:rPr>
        <w:t>: Finite Element Analysis, Larson-Miller Parameter, Creep, Residual Life Prediction, Gas Turbine, Combustion Chamber, Von Mises Stress</w:t>
      </w:r>
      <w:r w:rsidR="00461C1A" w:rsidRPr="00986305">
        <w:rPr>
          <w:rFonts w:asciiTheme="majorBidi" w:hAnsiTheme="majorBidi" w:cstheme="majorBidi"/>
          <w:sz w:val="24"/>
          <w:szCs w:val="24"/>
        </w:rPr>
        <w:t>.</w:t>
      </w:r>
    </w:p>
    <w:p w14:paraId="57228839" w14:textId="77777777" w:rsidR="00314A57" w:rsidRPr="00986305" w:rsidRDefault="00314A57" w:rsidP="003F65E2">
      <w:pPr>
        <w:spacing w:after="0"/>
        <w:jc w:val="center"/>
        <w:rPr>
          <w:rFonts w:asciiTheme="majorBidi" w:eastAsia="Times New Roman" w:hAnsiTheme="majorBidi" w:cstheme="majorBidi"/>
          <w:sz w:val="24"/>
          <w:szCs w:val="24"/>
        </w:rPr>
      </w:pPr>
      <w:r w:rsidRPr="00986305">
        <w:rPr>
          <w:rFonts w:asciiTheme="majorBidi" w:hAnsiTheme="majorBidi" w:cstheme="majorBidi"/>
          <w:sz w:val="24"/>
          <w:szCs w:val="24"/>
        </w:rPr>
        <w:tab/>
      </w:r>
      <w:r w:rsidR="00000000">
        <w:rPr>
          <w:rFonts w:asciiTheme="majorBidi" w:eastAsia="Times New Roman" w:hAnsiTheme="majorBidi" w:cstheme="majorBidi"/>
          <w:sz w:val="24"/>
          <w:szCs w:val="24"/>
        </w:rPr>
        <w:pict w14:anchorId="572288D4">
          <v:rect id="_x0000_i1026" style="width:468pt;height:1.5pt" o:hralign="center" o:hrstd="t" o:hr="t" fillcolor="#a0a0a0" stroked="f"/>
        </w:pict>
      </w:r>
    </w:p>
    <w:p w14:paraId="5722883A" w14:textId="77777777" w:rsidR="006336FF" w:rsidRPr="00986305" w:rsidRDefault="006336FF" w:rsidP="003F65E2">
      <w:pPr>
        <w:tabs>
          <w:tab w:val="left" w:pos="960"/>
        </w:tabs>
        <w:rPr>
          <w:rFonts w:asciiTheme="majorBidi" w:hAnsiTheme="majorBidi" w:cstheme="majorBidi"/>
          <w:sz w:val="24"/>
          <w:szCs w:val="24"/>
        </w:rPr>
      </w:pPr>
    </w:p>
    <w:p w14:paraId="5722883B"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lastRenderedPageBreak/>
        <w:t xml:space="preserve">1. Introduction  </w:t>
      </w:r>
    </w:p>
    <w:p w14:paraId="71B7F371"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The energy sector serves as the backbone of national security, industrial modernization, and sustainable economic development, particularly within rapidly transforming economies like Egypt. In recent years, Egypt has executed a monumental restructuring of its electrical grid through the deployment of mega-scale, high-efficiency power generation projects, most notably exemplified by the New Administrative Capital power station. Modern power systems increasingly rely on advanced heavy-duty gas turbines, such as the Siemens SGT5-8000H, celebrated for their exceptional thermal efficiency, operational flexibility, and reduced carbon footprint. These H-class turbines are designed to operate at elevated firing temperatures to maximize thermodynamic output; however, this operational regime subjects critical hot-section components to unprecedented thermal and mechanical stresses.</w:t>
      </w:r>
    </w:p>
    <w:p w14:paraId="390318CF"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Operationally, the combustion chamber liner functions as a structural barrier designed to contain high-temperature combustion reactions and direct the resulting gas flow toward the turbine stages. Compressed air from the compressor section is split into primary, secondary, and dilution streams. The primary air is mixed with fuel and ignited within the forward zone of the liner, producing a high-intensity flame with localized temperatures exceeding 1600°C. To protect the structural integrity of the assembly, the secondary and dilution air streams are routed through specialized cooling holes and slots along the liner wall, creating a continuous, protective thermodynamic film. This film cooling technique establishes a severe thermal gradient across the thickness of the liner, maintaining the base metal temperature at a manageable operational limit of approximately 800°C while simultaneously subjecting the component to multi-axial thermal stresses.</w:t>
      </w:r>
    </w:p>
    <w:p w14:paraId="46DB8043" w14:textId="0297516D"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Among these hot-section assets, the combustion chamber liners endure the most punishing environments, characterized by sustained peak temperatures and severe spatial thermal gradients. Under these prolonged conditions, the constituent superalloys and high-grade stainless steels inevitably undergo microstructural degradation. In this study, creep deformation is explicitly isolated and investigated as the primary life-limiting failure mechanism. Creep is chosen because it represents the most critical, time-dependent permanent deformation that occurs when materials are subjected to sustained mechanical loads at elevated temperatures—typically exceeding half of the material's absolute melting temperature (T &gt; 0.5 T_m).</w:t>
      </w:r>
    </w:p>
    <w:p w14:paraId="6DD4539E" w14:textId="77777777" w:rsidR="00D95FE2" w:rsidRPr="00D95FE2" w:rsidRDefault="00D95FE2" w:rsidP="00D95FE2">
      <w:pPr>
        <w:rPr>
          <w:rFonts w:asciiTheme="majorBidi" w:hAnsiTheme="majorBidi" w:cstheme="majorBidi"/>
          <w:sz w:val="24"/>
          <w:szCs w:val="24"/>
        </w:rPr>
      </w:pPr>
      <w:r w:rsidRPr="00D95FE2">
        <w:rPr>
          <w:rFonts w:asciiTheme="majorBidi" w:hAnsiTheme="majorBidi" w:cstheme="majorBidi"/>
          <w:sz w:val="24"/>
          <w:szCs w:val="24"/>
        </w:rPr>
        <w:t>In heavy-duty gas turbines, this phenomenon is driven by a complex combination of thermo-mechanical stresses. Specifically, the liner experiences high sustained tensile and compressive thermal stresses resulting from the extreme temperature differentials between the hot combustion gases and the external cooling air. Concurrently, it is subjected to mechanical stresses induced by high-pressure gas dynamics, aerodynamic turbulence, and structural constraints. Under this continuous, multi-axial stress state at 800°C, the material undergoes microstructural grain boundary sliding and vacancy diffusion, which leads to progressive void nucleation. If left unmonitored, this creep damage transitions from stable secondary creep to accelerating tertiary creep, risking catastrophic in-service breakthroughs, extensive secondary damage to downstream turbine stages, and substantial economic losses due to unplanned shutdowns.</w:t>
      </w:r>
    </w:p>
    <w:p w14:paraId="5722883E" w14:textId="51E7981E" w:rsidR="006336FF" w:rsidRPr="00986305" w:rsidRDefault="00D95FE2" w:rsidP="00495104">
      <w:pPr>
        <w:rPr>
          <w:rFonts w:asciiTheme="majorBidi" w:hAnsiTheme="majorBidi" w:cstheme="majorBidi"/>
          <w:sz w:val="24"/>
          <w:szCs w:val="24"/>
        </w:rPr>
      </w:pPr>
      <w:r w:rsidRPr="00D95FE2">
        <w:rPr>
          <w:rFonts w:asciiTheme="majorBidi" w:hAnsiTheme="majorBidi" w:cstheme="majorBidi"/>
          <w:sz w:val="24"/>
          <w:szCs w:val="24"/>
        </w:rPr>
        <w:t>Consequently, transitioning from traditional operational monitoring toward sophisticated remaining useful life estimation frameworks is vital for modern utility operators. Accurately predicting the Residual Useful Life (RUL) of combustion liners allows for the optimization of asset lifecycles, reduction of operational expenditures (OPEX), and enhancement of grid reliability. To address this industrial challenge, this study proposes a comprehensive, non-destructive prognostic framework that integrates high-fidelity Finite Element Analysis (FEA) with the analytical Larson-Miller Parameter (LMP) formulation. By mapping the complex multi-axial stress fields and temperature distributions via numerical simulation, the model establishes a verified mathematical relationship to quantify long-term creep rupture life, thereby providing a robust tool for strategic operational lifetime management in high-capacity thermal power plants.</w:t>
      </w:r>
    </w:p>
    <w:p w14:paraId="5722883F"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5">
          <v:rect id="_x0000_i1027" style="width:468pt;height:1.5pt" o:hralign="center" o:hrstd="t" o:hr="t" fillcolor="#a0a0a0" stroked="f"/>
        </w:pict>
      </w:r>
    </w:p>
    <w:p w14:paraId="57228840" w14:textId="77777777" w:rsidR="006336FF" w:rsidRPr="00986305" w:rsidRDefault="006336FF" w:rsidP="003F65E2">
      <w:pPr>
        <w:rPr>
          <w:rFonts w:asciiTheme="majorBidi" w:hAnsiTheme="majorBidi" w:cstheme="majorBidi"/>
          <w:b/>
          <w:bCs/>
          <w:sz w:val="24"/>
          <w:szCs w:val="24"/>
        </w:rPr>
      </w:pPr>
    </w:p>
    <w:p w14:paraId="57228841" w14:textId="77777777" w:rsidR="006336FF" w:rsidRPr="00986305" w:rsidRDefault="005E1916" w:rsidP="003F65E2">
      <w:pPr>
        <w:rPr>
          <w:rFonts w:asciiTheme="majorBidi" w:hAnsiTheme="majorBidi" w:cstheme="majorBidi"/>
          <w:sz w:val="24"/>
          <w:szCs w:val="24"/>
        </w:rPr>
      </w:pPr>
      <w:r w:rsidRPr="00986305">
        <w:rPr>
          <w:rFonts w:asciiTheme="majorBidi" w:hAnsiTheme="majorBidi" w:cstheme="majorBidi"/>
          <w:b/>
          <w:bCs/>
          <w:sz w:val="24"/>
          <w:szCs w:val="24"/>
        </w:rPr>
        <w:t xml:space="preserve">2. Literature Review </w:t>
      </w:r>
      <w:r w:rsidR="006336FF" w:rsidRPr="00986305">
        <w:rPr>
          <w:rFonts w:asciiTheme="majorBidi" w:hAnsiTheme="majorBidi" w:cstheme="majorBidi"/>
          <w:b/>
          <w:bCs/>
          <w:sz w:val="24"/>
          <w:szCs w:val="24"/>
        </w:rPr>
        <w:t xml:space="preserve"> </w:t>
      </w:r>
    </w:p>
    <w:p w14:paraId="57228842" w14:textId="77777777" w:rsidR="004F130A" w:rsidRDefault="004F130A" w:rsidP="003F65E2">
      <w:pPr>
        <w:rPr>
          <w:rFonts w:asciiTheme="majorBidi" w:hAnsiTheme="majorBidi" w:cstheme="majorBidi"/>
          <w:sz w:val="24"/>
          <w:szCs w:val="24"/>
        </w:rPr>
      </w:pPr>
      <w:r w:rsidRPr="00986305">
        <w:rPr>
          <w:rFonts w:asciiTheme="majorBidi" w:hAnsiTheme="majorBidi" w:cstheme="majorBidi"/>
          <w:sz w:val="24"/>
          <w:szCs w:val="24"/>
        </w:rPr>
        <w:t>The primary failure mechanism in high temperature components, particularly in the combustion chambers of gas turbines, has consistently been reported as creep deformation. Secondary failure mechanisms such as oxidation, corrosion and thermal fatigue also contribute to material degradation, though typically to a lesser degree under steady state conditions.</w:t>
      </w:r>
    </w:p>
    <w:p w14:paraId="3148F3E5" w14:textId="19365375" w:rsidR="00501E58" w:rsidRDefault="00501E58" w:rsidP="00501E58">
      <w:pPr>
        <w:rPr>
          <w:rFonts w:asciiTheme="majorBidi" w:hAnsiTheme="majorBidi" w:cstheme="majorBidi"/>
          <w:sz w:val="24"/>
          <w:szCs w:val="24"/>
        </w:rPr>
      </w:pPr>
      <w:r w:rsidRPr="00501E58">
        <w:rPr>
          <w:rFonts w:asciiTheme="majorBidi" w:hAnsiTheme="majorBidi" w:cstheme="majorBidi"/>
          <w:sz w:val="24"/>
          <w:szCs w:val="24"/>
        </w:rPr>
        <w:t>Ahmad Hossein Assefinejad , Ahmad Kermanpur , Abdoulmajid Eslami(2026) this is paper Presented This study investigates the long-term high-temperature mechanical behavior of C-Mn steel water wall tubes after 100,000 hours of service in a subcritical drum boiler, with particular emphasis on the coupled effects of internal oxidation, oxide scale growth, and progressive wall thinning .The study provides new insights into degradation mechanisms in boiler tubes and highlights the necessity of integrated monitoring strategies that account for oxide growth, temperature distribution, and wall thickness loss to ensure structural integrity and reliable operation of high-temperature components.</w:t>
      </w:r>
    </w:p>
    <w:p w14:paraId="2387AF22" w14:textId="77777777" w:rsidR="00F73A3F" w:rsidRDefault="00F73A3F" w:rsidP="00F73A3F">
      <w:pPr>
        <w:rPr>
          <w:rFonts w:asciiTheme="majorBidi" w:hAnsiTheme="majorBidi" w:cstheme="majorBidi"/>
          <w:sz w:val="24"/>
          <w:szCs w:val="24"/>
        </w:rPr>
      </w:pPr>
      <w:r w:rsidRPr="00F73A3F">
        <w:rPr>
          <w:rFonts w:asciiTheme="majorBidi" w:hAnsiTheme="majorBidi" w:cstheme="majorBidi"/>
          <w:sz w:val="24"/>
          <w:szCs w:val="24"/>
        </w:rPr>
        <w:t>Jiaqi Li, Yuqiang Cheng, Jianjun Wu, Yu Zhang &amp; Lingzhi Deng(2026): This research provides valuable theoretical references for thrust chamber's life prediction and real-time damage assessment, while also offering conceptual foundations for offline damage mitigation control system design.</w:t>
      </w:r>
    </w:p>
    <w:p w14:paraId="6DB23ADC" w14:textId="030D99DB" w:rsidR="00A12BF9" w:rsidRDefault="001021BA" w:rsidP="00927B52">
      <w:pPr>
        <w:rPr>
          <w:rFonts w:asciiTheme="majorBidi" w:hAnsiTheme="majorBidi" w:cstheme="majorBidi"/>
          <w:sz w:val="24"/>
          <w:szCs w:val="24"/>
          <w:lang w:bidi="ar-EG"/>
        </w:rPr>
      </w:pPr>
      <w:r w:rsidRPr="001021BA">
        <w:rPr>
          <w:rFonts w:asciiTheme="majorBidi" w:hAnsiTheme="majorBidi" w:cstheme="majorBidi"/>
          <w:sz w:val="24"/>
          <w:szCs w:val="24"/>
        </w:rPr>
        <w:t>fundamentals.</w:t>
      </w:r>
      <w:r w:rsidR="00FA2F83" w:rsidRPr="00FA2F83">
        <w:rPr>
          <w:kern w:val="2"/>
          <w:sz w:val="24"/>
          <w:szCs w:val="24"/>
          <w14:ligatures w14:val="standardContextual"/>
        </w:rPr>
        <w:t xml:space="preserve"> </w:t>
      </w:r>
      <w:r w:rsidR="00FA2F83" w:rsidRPr="00FA2F83">
        <w:rPr>
          <w:rFonts w:asciiTheme="majorBidi" w:hAnsiTheme="majorBidi" w:cstheme="majorBidi"/>
          <w:sz w:val="24"/>
          <w:szCs w:val="24"/>
        </w:rPr>
        <w:t>Kun Xu  , Jiang Liu , Ziye Miao  , Jinshuo Li</w:t>
      </w:r>
      <w:r w:rsidR="00AF4FB1">
        <w:rPr>
          <w:rFonts w:asciiTheme="majorBidi" w:hAnsiTheme="majorBidi" w:cstheme="majorBidi"/>
          <w:sz w:val="24"/>
          <w:szCs w:val="24"/>
        </w:rPr>
        <w:t>(2026)</w:t>
      </w:r>
      <w:r w:rsidR="00FB2B43" w:rsidRPr="00FB2B43">
        <w:rPr>
          <w:kern w:val="2"/>
          <w:sz w:val="24"/>
          <w:szCs w:val="24"/>
          <w:lang w:bidi="ar-EG"/>
          <w14:ligatures w14:val="standardContextual"/>
        </w:rPr>
        <w:t xml:space="preserve"> </w:t>
      </w:r>
      <w:r w:rsidR="00FB2B43" w:rsidRPr="00FB2B43">
        <w:rPr>
          <w:rFonts w:asciiTheme="majorBidi" w:hAnsiTheme="majorBidi" w:cstheme="majorBidi"/>
          <w:sz w:val="24"/>
          <w:szCs w:val="24"/>
        </w:rPr>
        <w:t>This paper presented The gas turbine swirler is crucial for engine safety, as its thermomechanical behavior affects performance. Research is lacking on how swirlers respond to actual combustion. This study uses numerical simulation on the ANSYS Workbench to analyze thermal stress under typical conditions. It uses temperature data from Fluent to analyze a 1/24 model. Findings show that stress concentrations at blade roots and tips remain safe under stable conditions, but flashback can raise temperatures to 1300°C, exceeding the material limit of 420 MPa. The research offers a method for evaluating swirler performance to prevent failures in hot-end components.</w:t>
      </w:r>
      <w:r w:rsidR="00A43957" w:rsidRPr="00A43957">
        <w:rPr>
          <w:kern w:val="2"/>
          <w:sz w:val="24"/>
          <w:szCs w:val="24"/>
          <w:lang w:bidi="ar-EG"/>
          <w14:ligatures w14:val="standardContextual"/>
        </w:rPr>
        <w:t xml:space="preserve"> </w:t>
      </w:r>
      <w:r w:rsidR="00A43957" w:rsidRPr="00A43957">
        <w:rPr>
          <w:rFonts w:asciiTheme="majorBidi" w:hAnsiTheme="majorBidi" w:cstheme="majorBidi"/>
          <w:sz w:val="24"/>
          <w:szCs w:val="24"/>
        </w:rPr>
        <w:t xml:space="preserve">Feng, S., Han, Z. &amp; Qu, S (2026) Assessing the long-term strength of solid rocket motors during storage needs a good understanding of how composite solid propellants behave over time, especially regarding aging and damage. This paper studies the creep behavior of these propellants, focusing on the combined effects of aging and damage. The goal is to create a nonlinear model that describes the creep process and can be used in finite element analysis. </w:t>
      </w:r>
      <w:r w:rsidR="00385454" w:rsidRPr="00385454">
        <w:rPr>
          <w:rFonts w:asciiTheme="majorBidi" w:hAnsiTheme="majorBidi" w:cstheme="majorBidi"/>
          <w:sz w:val="24"/>
          <w:szCs w:val="24"/>
        </w:rPr>
        <w:t>First, crosslink density is used to measure aging</w:t>
      </w:r>
      <w:r w:rsidR="00385454">
        <w:rPr>
          <w:rFonts w:asciiTheme="majorBidi" w:hAnsiTheme="majorBidi" w:cstheme="majorBidi"/>
          <w:sz w:val="24"/>
          <w:szCs w:val="24"/>
        </w:rPr>
        <w:t xml:space="preserve"> </w:t>
      </w:r>
      <w:r w:rsidR="00385454" w:rsidRPr="00385454">
        <w:rPr>
          <w:rFonts w:asciiTheme="majorBidi" w:hAnsiTheme="majorBidi" w:cstheme="majorBidi"/>
          <w:sz w:val="24"/>
          <w:szCs w:val="24"/>
        </w:rPr>
        <w:t>, and a new damage model is introduced for the nonlinear creep model. The paper explains how to determine crosslink density using the swelling method and how to gather model parameters from experiments. It also describes how to obtain parameters for the damage model through creep fracture tests and validates the model's accuracy. Lastly, it applies the model in Abaqus software, confirming its effectiveness in analyzing propellant behavior during long-term storage.</w:t>
      </w:r>
      <w:r w:rsidR="00A12BF9" w:rsidRPr="00A12BF9">
        <w:rPr>
          <w:kern w:val="2"/>
          <w:sz w:val="24"/>
          <w:szCs w:val="24"/>
          <w:lang w:bidi="ar-EG"/>
          <w14:ligatures w14:val="standardContextual"/>
        </w:rPr>
        <w:t xml:space="preserve"> </w:t>
      </w:r>
      <w:r w:rsidR="00A12BF9" w:rsidRPr="00A12BF9">
        <w:rPr>
          <w:rFonts w:asciiTheme="majorBidi" w:hAnsiTheme="majorBidi" w:cstheme="majorBidi"/>
          <w:sz w:val="24"/>
          <w:szCs w:val="24"/>
        </w:rPr>
        <w:t xml:space="preserve">N. Mahato and R. Subbarao (2026)During gas turbine operations, compressor blades are essential for generating power. High pressure, speed, and temperatures can harm these blades. This study examines the thermal and structural properties of compressor stator blades made from AISI 403 martensitic stainless steel and its niobium-enhanced version, AISI 403 + Nb. A thermo-mechanical simulation is performed using COMSOL Multiphysics to analyze thermal conduction, temperature changes, and stress during gas turbine operation. Results show that adding niobium improves thermal characteristics, leading to better temperature distribution, lower thermal stresses, and greater durability compared to standard AISI 403. </w:t>
      </w:r>
    </w:p>
    <w:p w14:paraId="3BC3B2E5" w14:textId="3575AF85" w:rsidR="00B54313" w:rsidRDefault="009019ED" w:rsidP="00985908">
      <w:pPr>
        <w:rPr>
          <w:rFonts w:asciiTheme="majorBidi" w:hAnsiTheme="majorBidi" w:cstheme="majorBidi"/>
          <w:sz w:val="24"/>
          <w:szCs w:val="24"/>
        </w:rPr>
      </w:pPr>
      <w:r w:rsidRPr="009019ED">
        <w:rPr>
          <w:rFonts w:asciiTheme="majorBidi" w:hAnsiTheme="majorBidi" w:cstheme="majorBidi"/>
          <w:sz w:val="24"/>
          <w:szCs w:val="24"/>
        </w:rPr>
        <w:t>de Beaulieu MH, Jha MS, Garnier H et al (2024): This paper presents novel approaches that alleviate the existing dependence of most prognostics procedures on Remaining Useful Life (RUL) labeled data for training. Secondly, an unsupervised Health Index (HI) extraction approach is developed, followed by a long-term prediction of this same HI, that leads to an efficient prediction of RUL without labeled data. Finally, a reliability-based assessment is performed to validate the proposed approach.</w:t>
      </w:r>
      <w:r w:rsidR="009016E7" w:rsidRPr="009016E7">
        <w:rPr>
          <w:rFonts w:asciiTheme="majorBidi" w:hAnsiTheme="majorBidi" w:cstheme="majorBidi"/>
          <w:sz w:val="24"/>
          <w:szCs w:val="24"/>
        </w:rPr>
        <w:t xml:space="preserve"> Zhang S, Wang L, Zhu S et al (2024): this paper Presented Providing a comprehensive assessment of the creep-fatigue life of critical structures in nuclear power facilities is important for structural integrity and performance requirements during service. The Shapley Additive exPlanations (SHAP) method and dependency analysis are utilized to reveal the intrinsic mechanism of the properties and structure of PINN. To address these issues, a physics-informed neural network (PINN) is proposed in this work to predict the creep-fatigue life of Inconel 617 at high temperatures, where the physical constraints are introduced to enhance the physical</w:t>
      </w:r>
      <w:r w:rsidR="00635AAA">
        <w:rPr>
          <w:rFonts w:asciiTheme="majorBidi" w:hAnsiTheme="majorBidi" w:cstheme="majorBidi"/>
          <w:sz w:val="24"/>
          <w:szCs w:val="24"/>
        </w:rPr>
        <w:t>.</w:t>
      </w:r>
      <w:r w:rsidR="00635AAA" w:rsidRPr="00635AAA">
        <w:rPr>
          <w:kern w:val="2"/>
          <w:sz w:val="24"/>
          <w:szCs w:val="24"/>
          <w:lang w:bidi="ar-EG"/>
          <w14:ligatures w14:val="standardContextual"/>
        </w:rPr>
        <w:t xml:space="preserve"> </w:t>
      </w:r>
      <w:r w:rsidR="00635AAA" w:rsidRPr="00635AAA">
        <w:rPr>
          <w:rFonts w:asciiTheme="majorBidi" w:hAnsiTheme="majorBidi" w:cstheme="majorBidi"/>
          <w:sz w:val="24"/>
          <w:szCs w:val="24"/>
        </w:rPr>
        <w:t>Wang JX, Fang QZ, Sha BL(2024) In this paper, the creep experiments of Nitrate Ester Plasticized Polyether (NEPE) propellant under eight different stress levels are carried out. The creep experimental data is discussed with different constitutive models, and it is found that the four parameters fluid constitutive model and the composite time-hardening constitutive model can be used to fit the experiment data better. The composite time-hardening constitutive model is more suitable to predict the long-term creep behavior based on the short-term creep behavior. The accuracy of the constitutive model is proved by comparing the predicted results with the experimental results.</w:t>
      </w:r>
      <w:r w:rsidR="00017766" w:rsidRPr="00017766">
        <w:rPr>
          <w:rFonts w:asciiTheme="majorBidi" w:hAnsiTheme="majorBidi" w:cstheme="majorBidi"/>
          <w:sz w:val="24"/>
          <w:szCs w:val="24"/>
        </w:rPr>
        <w:t xml:space="preserve"> The use of a creep-damage model for micro gas turbine engines (MGTs) developed by Cirigliano et al. (2023),</w:t>
      </w:r>
      <w:r w:rsidR="00A34DB7" w:rsidRPr="00A34DB7">
        <w:rPr>
          <w:kern w:val="2"/>
          <w:sz w:val="24"/>
          <w:szCs w:val="24"/>
          <w:lang w:bidi="ar-EG"/>
          <w14:ligatures w14:val="standardContextual"/>
        </w:rPr>
        <w:t xml:space="preserve"> </w:t>
      </w:r>
      <w:r w:rsidR="00A34DB7" w:rsidRPr="00A34DB7">
        <w:rPr>
          <w:rFonts w:asciiTheme="majorBidi" w:hAnsiTheme="majorBidi" w:cstheme="majorBidi"/>
          <w:sz w:val="24"/>
          <w:szCs w:val="24"/>
        </w:rPr>
        <w:t>Roberto C, Michele F, Michele P et al (2022)</w:t>
      </w:r>
      <w:r w:rsidR="00381E4D" w:rsidRPr="00381E4D">
        <w:rPr>
          <w:kern w:val="2"/>
          <w:sz w:val="24"/>
          <w:szCs w:val="24"/>
          <w:lang w:bidi="ar-EG"/>
          <w14:ligatures w14:val="standardContextual"/>
        </w:rPr>
        <w:t xml:space="preserve"> </w:t>
      </w:r>
      <w:r w:rsidR="00381E4D" w:rsidRPr="00381E4D">
        <w:rPr>
          <w:rFonts w:asciiTheme="majorBidi" w:hAnsiTheme="majorBidi" w:cstheme="majorBidi"/>
          <w:sz w:val="24"/>
          <w:szCs w:val="24"/>
        </w:rPr>
        <w:t>This Research Presented The numerical simulation of rocket engine thrust chambers is very challenging as several damaging phenomena, such as plasticity, low-cycle-fatigue (LCF) and creep occur during its service life.The analyses demonstrated that the LCF damaging contribution was significant, with a life prediction for the thrust chamber of about 3400 cycles.The work represents a step ahead of previous researches by the authors, with particular reference to the addition of the Smith-Watson-Topper (SWT) fatigue criterion, and to the implementation of a sub-modelling technique, for a more accurate assessment of the most critical section of the component</w:t>
      </w:r>
      <w:r w:rsidR="002048C4">
        <w:rPr>
          <w:rFonts w:asciiTheme="majorBidi" w:hAnsiTheme="majorBidi" w:cstheme="majorBidi"/>
          <w:sz w:val="24"/>
          <w:szCs w:val="24"/>
        </w:rPr>
        <w:t>,</w:t>
      </w:r>
      <w:r w:rsidR="00015515" w:rsidRPr="00015515">
        <w:rPr>
          <w:kern w:val="2"/>
          <w:sz w:val="24"/>
          <w:szCs w:val="24"/>
          <w:lang w:bidi="ar-EG"/>
          <w14:ligatures w14:val="standardContextual"/>
        </w:rPr>
        <w:t xml:space="preserve"> </w:t>
      </w:r>
      <w:r w:rsidR="00015515" w:rsidRPr="00015515">
        <w:rPr>
          <w:rFonts w:asciiTheme="majorBidi" w:hAnsiTheme="majorBidi" w:cstheme="majorBidi"/>
          <w:sz w:val="24"/>
          <w:szCs w:val="24"/>
        </w:rPr>
        <w:t>Roberto C, Michele F, Michele P et al (2022)</w:t>
      </w:r>
      <w:r w:rsidR="00985908" w:rsidRPr="00985908">
        <w:rPr>
          <w:kern w:val="2"/>
          <w:sz w:val="24"/>
          <w:szCs w:val="24"/>
          <w:lang w:bidi="ar-EG"/>
          <w14:ligatures w14:val="standardContextual"/>
        </w:rPr>
        <w:t xml:space="preserve"> </w:t>
      </w:r>
      <w:r w:rsidR="00985908" w:rsidRPr="00985908">
        <w:rPr>
          <w:rFonts w:asciiTheme="majorBidi" w:hAnsiTheme="majorBidi" w:cstheme="majorBidi"/>
          <w:sz w:val="24"/>
          <w:szCs w:val="24"/>
        </w:rPr>
        <w:t>This Research Presented The numerical simulation of rocket engine thrust chambers is very challenging as several damaging phenomena, such as plasticity, low-cycle-fatigue (LCF) and creep occur during its service life.The analyses demonstrated that the LCF damaging contribution was significant, with a life prediction for the thrust chamber of about 3400 cycles.The work represents a step ahead of previous researches by the authors, with particular reference to the addition of the Smith-Watson-Topper (SWT) fatigue criterion, and to the implementation of a sub-modelling technique, for a more accurate assessment of the most critical section of the component.</w:t>
      </w:r>
    </w:p>
    <w:p w14:paraId="207DD702" w14:textId="06E48F0B" w:rsidR="00DE708C" w:rsidRPr="00DE708C" w:rsidRDefault="002048C4" w:rsidP="00AF293A">
      <w:pPr>
        <w:rPr>
          <w:rFonts w:asciiTheme="majorBidi" w:hAnsiTheme="majorBidi" w:cstheme="majorBidi"/>
          <w:sz w:val="24"/>
          <w:szCs w:val="24"/>
        </w:rPr>
      </w:pPr>
      <w:r w:rsidRPr="002048C4">
        <w:rPr>
          <w:kern w:val="2"/>
          <w:sz w:val="24"/>
          <w:szCs w:val="24"/>
          <w:lang w:bidi="ar-EG"/>
          <w14:ligatures w14:val="standardContextual"/>
        </w:rPr>
        <w:t xml:space="preserve"> </w:t>
      </w:r>
      <w:r w:rsidRPr="002048C4">
        <w:rPr>
          <w:rFonts w:asciiTheme="majorBidi" w:hAnsiTheme="majorBidi" w:cstheme="majorBidi"/>
          <w:sz w:val="24"/>
          <w:szCs w:val="24"/>
        </w:rPr>
        <w:t>Liu D, Sun B, Wang T et al (2020): To evaluate the structural failure risk of the regenerative cooling thrust chamber cylinder segment, a Finite Element Method (FEM) based on experimental data was developed.However, the multi-cycle thermo-structural analysis gives the evolution of the stress-strain curve and gradually discloses that the low-temperature corner of a particular channel is the most likely location to fail, rather than the maximum residual strain point of the gas-side wall.The methodology was validated and utilized to reveal the thermal response and the nonlinear deformation behavior of the cylinder segment phase by phase</w:t>
      </w:r>
      <w:r w:rsidR="000F6814">
        <w:rPr>
          <w:rFonts w:asciiTheme="majorBidi" w:hAnsiTheme="majorBidi" w:cstheme="majorBidi"/>
          <w:sz w:val="24"/>
          <w:szCs w:val="24"/>
        </w:rPr>
        <w:t>,</w:t>
      </w:r>
      <w:r w:rsidR="00F4028A" w:rsidRPr="00F4028A">
        <w:rPr>
          <w:kern w:val="2"/>
          <w:sz w:val="24"/>
          <w:szCs w:val="24"/>
          <w:lang w:bidi="ar-EG"/>
          <w14:ligatures w14:val="standardContextual"/>
        </w:rPr>
        <w:t xml:space="preserve"> </w:t>
      </w:r>
      <w:r w:rsidR="00F4028A" w:rsidRPr="00F4028A">
        <w:rPr>
          <w:rFonts w:asciiTheme="majorBidi" w:hAnsiTheme="majorBidi" w:cstheme="majorBidi"/>
          <w:sz w:val="24"/>
          <w:szCs w:val="24"/>
        </w:rPr>
        <w:t>Marco P (2020) This is Research Presented  An algebraic model to evaluate the structural behavior and the cyclic life of regeneratively cooled thrust chambers is presented. After the model description and setup, a wide database of experimentally tested thrust chambers (which is almost unique in the technical and scientific literature) is reproduced for the sake of model verification. The model is based on the evaluation of the stresses, displacements, and elastoplastic strains induced by the severe thermomechanical environment under which the regeneratively cooled thrust chambers operate. Both low-cycle fatigue and tensile ductile ruptures are considered as possible failure mechanisms</w:t>
      </w:r>
      <w:r w:rsidR="00EF5E68">
        <w:rPr>
          <w:rFonts w:asciiTheme="majorBidi" w:hAnsiTheme="majorBidi" w:cstheme="majorBidi"/>
          <w:sz w:val="24"/>
          <w:szCs w:val="24"/>
        </w:rPr>
        <w:t>,</w:t>
      </w:r>
      <w:r w:rsidR="00DE708C" w:rsidRPr="00DE708C">
        <w:rPr>
          <w:kern w:val="2"/>
          <w:sz w:val="24"/>
          <w:szCs w:val="24"/>
          <w:lang w:bidi="ar-EG"/>
          <w14:ligatures w14:val="standardContextual"/>
        </w:rPr>
        <w:t xml:space="preserve"> </w:t>
      </w:r>
      <w:r w:rsidR="00DE708C" w:rsidRPr="00DE708C">
        <w:rPr>
          <w:rFonts w:asciiTheme="majorBidi" w:hAnsiTheme="majorBidi" w:cstheme="majorBidi"/>
          <w:sz w:val="24"/>
          <w:szCs w:val="24"/>
        </w:rPr>
        <w:t xml:space="preserve">Zhang JB, Lu BJ, Gong SF(2018) Creep experiments on solid propellant samples were performed at two temperatures, 293.15 K and 323.15 K, using five different stresses. Various viscoelastic models, including three and four Parameters solid and fluid models, were tested to describe the creep properties. The study revealed that the four Parameters solid model most accurately represents the creep behavior. In contrast, the three Parameters solid and exponential models do not effectively capture the initial creep values but modified four Parameters models align well with the creep acceleration characteristics. </w:t>
      </w:r>
      <w:r w:rsidR="004E4216" w:rsidRPr="004E4216">
        <w:rPr>
          <w:rFonts w:asciiTheme="majorBidi" w:hAnsiTheme="majorBidi" w:cstheme="majorBidi"/>
          <w:sz w:val="24"/>
          <w:szCs w:val="24"/>
        </w:rPr>
        <w:t>Zhu GC, Liu S, Liu WH(2018): This paper studied the creep behavior of HTPE/AP/Al/RDX propellant through tests that examined the effects of stress level and temperature. It found that increased stress and temperature lead to more creep strain and potential destruction of the propellant. The creep master curve was developed using the Time-Temperature Superposition Principle, extending the research time. The Burgers model better fits the creep behavior, while the Norton model shows greater sensitivity to stress changes</w:t>
      </w:r>
      <w:r w:rsidR="00AF293A">
        <w:rPr>
          <w:rFonts w:asciiTheme="majorBidi" w:hAnsiTheme="majorBidi" w:cstheme="majorBidi"/>
          <w:sz w:val="24"/>
          <w:szCs w:val="24"/>
        </w:rPr>
        <w:t>,</w:t>
      </w:r>
    </w:p>
    <w:p w14:paraId="6ECAAAEC" w14:textId="16AE36A1" w:rsidR="00F4028A" w:rsidRPr="00F4028A" w:rsidRDefault="00F4028A" w:rsidP="00F4028A">
      <w:pPr>
        <w:rPr>
          <w:rFonts w:asciiTheme="majorBidi" w:hAnsiTheme="majorBidi" w:cstheme="majorBidi"/>
          <w:sz w:val="24"/>
          <w:szCs w:val="24"/>
        </w:rPr>
      </w:pPr>
    </w:p>
    <w:p w14:paraId="2E03A901" w14:textId="700C052F" w:rsidR="002048C4" w:rsidRPr="002048C4" w:rsidRDefault="002048C4" w:rsidP="002048C4">
      <w:pPr>
        <w:rPr>
          <w:rFonts w:asciiTheme="majorBidi" w:hAnsiTheme="majorBidi" w:cstheme="majorBidi"/>
          <w:sz w:val="24"/>
          <w:szCs w:val="24"/>
        </w:rPr>
      </w:pPr>
    </w:p>
    <w:p w14:paraId="766B2BC5" w14:textId="5D775983" w:rsidR="00381E4D" w:rsidRPr="00381E4D" w:rsidRDefault="00381E4D" w:rsidP="00381E4D">
      <w:pPr>
        <w:rPr>
          <w:rFonts w:asciiTheme="majorBidi" w:hAnsiTheme="majorBidi" w:cstheme="majorBidi"/>
          <w:sz w:val="24"/>
          <w:szCs w:val="24"/>
        </w:rPr>
      </w:pPr>
    </w:p>
    <w:p w14:paraId="0783587D" w14:textId="087B144A" w:rsidR="00A34DB7" w:rsidRPr="00A34DB7" w:rsidRDefault="00A34DB7" w:rsidP="00A34DB7">
      <w:pPr>
        <w:rPr>
          <w:rFonts w:asciiTheme="majorBidi" w:hAnsiTheme="majorBidi" w:cstheme="majorBidi"/>
          <w:sz w:val="24"/>
          <w:szCs w:val="24"/>
        </w:rPr>
      </w:pPr>
    </w:p>
    <w:p w14:paraId="175B163F" w14:textId="54E65786" w:rsidR="00017766" w:rsidRPr="00017766" w:rsidRDefault="00017766" w:rsidP="00017766">
      <w:pPr>
        <w:rPr>
          <w:rFonts w:asciiTheme="majorBidi" w:hAnsiTheme="majorBidi" w:cstheme="majorBidi"/>
          <w:sz w:val="24"/>
          <w:szCs w:val="24"/>
        </w:rPr>
      </w:pPr>
    </w:p>
    <w:p w14:paraId="53B23F1D" w14:textId="1C713865" w:rsidR="00535B45" w:rsidRPr="00986305" w:rsidRDefault="00535B45" w:rsidP="00CC7BFD">
      <w:pPr>
        <w:rPr>
          <w:rFonts w:asciiTheme="majorBidi" w:hAnsiTheme="majorBidi" w:cstheme="majorBidi"/>
          <w:sz w:val="24"/>
          <w:szCs w:val="24"/>
        </w:rPr>
      </w:pPr>
    </w:p>
    <w:p w14:paraId="1C2DF121" w14:textId="77777777" w:rsidR="00017766" w:rsidRDefault="00017766" w:rsidP="003F65E2">
      <w:pPr>
        <w:rPr>
          <w:rFonts w:asciiTheme="majorBidi" w:hAnsiTheme="majorBidi" w:cstheme="majorBidi"/>
          <w:sz w:val="24"/>
          <w:szCs w:val="24"/>
        </w:rPr>
      </w:pPr>
    </w:p>
    <w:p w14:paraId="684FB90C" w14:textId="77777777" w:rsidR="00017766" w:rsidRDefault="00017766" w:rsidP="003F65E2">
      <w:pPr>
        <w:rPr>
          <w:rFonts w:asciiTheme="majorBidi" w:hAnsiTheme="majorBidi" w:cstheme="majorBidi"/>
          <w:sz w:val="24"/>
          <w:szCs w:val="24"/>
        </w:rPr>
      </w:pPr>
    </w:p>
    <w:p w14:paraId="5382C710" w14:textId="77777777" w:rsidR="00017766" w:rsidRDefault="00017766" w:rsidP="003F65E2">
      <w:pPr>
        <w:rPr>
          <w:rFonts w:asciiTheme="majorBidi" w:hAnsiTheme="majorBidi" w:cstheme="majorBidi"/>
          <w:sz w:val="24"/>
          <w:szCs w:val="24"/>
        </w:rPr>
      </w:pPr>
    </w:p>
    <w:p w14:paraId="57228843" w14:textId="5A6AEFEA"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 has shown good agreement with experimentally obtained results, validating the accuracy of the model. Investigations carried out by Enagi et al. (2017) examined the effect of thermal gradients on combustion chamber durability, and emphasized the role of the cooling system performance in limiting thermal stress. </w:t>
      </w:r>
    </w:p>
    <w:p w14:paraId="57228844"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Through studies conducted on nickel-based superalloys and stainless steels, it has been established that the creep behavior of a material is highly sensitive to the magnitude of applied stress and the operating temperature. Generally, constitutive models such as Norton's Law and the Chaboche viscoplastic model are commonly used for the prediction of high temperature deformation. Additionally, the Larson-Miller Parameter (LMP) is a widely adopted approach to predict creep rupture life by correlating the temperature to time of rupture. </w:t>
      </w:r>
    </w:p>
    <w:p w14:paraId="57228845"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Although advances have been made in this area of study, many investigations have focused on relatively small systems or previous generations of gas turbine technology. It is therefore necessary to utilize advanced modeling techniques on large scale modern gas turbines. </w:t>
      </w:r>
    </w:p>
    <w:p w14:paraId="57228846"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Recent developments within the energy sector in Egypt are now being emphasized as crucial for national security. Through previously experienced problems in energy generation, Egypt now employs several large scale power plants such as the New Administrative Capital Power station. In this environment of modern energy consumption, the following research is conducted on the Siemens Energy SGT5-8000H Gas Turbine, a large scale and advanced gas turbine engine. </w:t>
      </w:r>
    </w:p>
    <w:p w14:paraId="57228847"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The following work will explore stress distribution and failure mechanisms within the combustion chamber of the SGT5-8000H gas turbine engine, establishing that creep is the major factor leading to the structural failure mechanism and that secondary mechanisms (other than creep) are insignificant under current conditions. Creep stress will be examined and the maximum creep stress was identified as 5.602 MPa.</w:t>
      </w:r>
    </w:p>
    <w:p w14:paraId="57228848"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 Previous work has often suggested that fit and tolerance influences the precision of finite element analyses, however this research is investigating large scale modern gas turbines rather than the previously analyzed small scale turbines/engines. </w:t>
      </w:r>
    </w:p>
    <w:p w14:paraId="57228849" w14:textId="77777777" w:rsidR="004F130A"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Micro gas turbines are used extensively throughout the world to provide small scale power and heat generation due to their high efficiency and compact size, but, due to the extreme temperatures within the combustion chamber creep and thermal stress are the dominant failure mechanisms (Cirigliano et al., 2023). The successful development of an empirical model based on those previously mentioned, which uses Fortran coding and can be run via ANSYS APDL, accurately predicts this behaviour. </w:t>
      </w:r>
    </w:p>
    <w:p w14:paraId="5722884A" w14:textId="77777777" w:rsidR="005E1916" w:rsidRPr="00986305" w:rsidRDefault="004F130A" w:rsidP="003F65E2">
      <w:pPr>
        <w:rPr>
          <w:rFonts w:asciiTheme="majorBidi" w:hAnsiTheme="majorBidi" w:cstheme="majorBidi"/>
          <w:sz w:val="24"/>
          <w:szCs w:val="24"/>
        </w:rPr>
      </w:pPr>
      <w:r w:rsidRPr="00986305">
        <w:rPr>
          <w:rFonts w:asciiTheme="majorBidi" w:hAnsiTheme="majorBidi" w:cstheme="majorBidi"/>
          <w:sz w:val="24"/>
          <w:szCs w:val="24"/>
        </w:rPr>
        <w:t xml:space="preserve">The increased prevalence of gas turbines is largely due to their efficiency and low NOx emission (Sun et al., 2012). While generally less efficient than a comparative size internal combustion engine (Ofualagba, 2012), efficiency can be greatly enhanced (up to 80% with a recuperator) by use of a heat exchanger/recuperator which regenerates waste heat and pre-heats the compressed air; but this increases the negative thermal stress from large temperature differences from the cooling system and the flame region, increasing creep and thermal stress (Enagi et al., 2017). These significant temperature differences promote creep and material degradation within the combustion chambers of gas turbines (Cirigliano et al., 2020) leading to the optimization of micro-structure to improve the creep resistance of steels and superalloys being a key research area (Abe, 2014). </w:t>
      </w:r>
    </w:p>
    <w:p w14:paraId="5722884B" w14:textId="083FD493" w:rsidR="004F130A" w:rsidRPr="00986305" w:rsidRDefault="004F130A" w:rsidP="005E1916">
      <w:pPr>
        <w:rPr>
          <w:rFonts w:asciiTheme="majorBidi" w:hAnsiTheme="majorBidi" w:cstheme="majorBidi"/>
          <w:sz w:val="24"/>
          <w:szCs w:val="24"/>
        </w:rPr>
      </w:pPr>
      <w:r w:rsidRPr="00986305">
        <w:rPr>
          <w:rFonts w:asciiTheme="majorBidi" w:hAnsiTheme="majorBidi" w:cstheme="majorBidi"/>
          <w:sz w:val="24"/>
          <w:szCs w:val="24"/>
        </w:rPr>
        <w:t xml:space="preserve">Inconel 718, one type of nickel based superalloy widely studied, has its creep behavior dependent on temperature; and the relationship is most often determined by a power-law function for use in finite element analysis (Alain, 1998). Multidimensional creep stress states have also been transformed into an equivalent form for analysis (Betten, 2008). Studies of creep rupture behavior for Alloy 718, including residual life and deformation response, has also been investigated at elevated temperatures (Brinkman et al., 1991), and shows that double aging is an effective heat treatment in order to reduce creep deformation at ~650C (Caliari et al., 2016). </w:t>
      </w:r>
      <w:r w:rsidR="005E1916" w:rsidRPr="00986305">
        <w:rPr>
          <w:rFonts w:asciiTheme="majorBidi" w:hAnsiTheme="majorBidi" w:cstheme="majorBidi"/>
          <w:sz w:val="24"/>
          <w:szCs w:val="24"/>
        </w:rPr>
        <w:t>Deformation</w:t>
      </w:r>
      <w:r w:rsidRPr="00986305">
        <w:rPr>
          <w:rFonts w:asciiTheme="majorBidi" w:hAnsiTheme="majorBidi" w:cstheme="majorBidi"/>
          <w:sz w:val="24"/>
          <w:szCs w:val="24"/>
        </w:rPr>
        <w:t xml:space="preserve"> mechanism maps for IN738LC </w:t>
      </w:r>
      <w:r w:rsidR="005E1916" w:rsidRPr="00986305">
        <w:rPr>
          <w:rFonts w:asciiTheme="majorBidi" w:hAnsiTheme="majorBidi" w:cstheme="majorBidi"/>
          <w:sz w:val="24"/>
          <w:szCs w:val="24"/>
        </w:rPr>
        <w:t>etc.</w:t>
      </w:r>
      <w:r w:rsidRPr="00986305">
        <w:rPr>
          <w:rFonts w:asciiTheme="majorBidi" w:hAnsiTheme="majorBidi" w:cstheme="majorBidi"/>
          <w:sz w:val="24"/>
          <w:szCs w:val="24"/>
        </w:rPr>
        <w:t xml:space="preserve">, can specify the regions where rotating high temperature components can safely operate and combined plasticity and viscoplasticity (forming the basis for Chaboche model), </w:t>
      </w:r>
      <w:r w:rsidR="005E1916" w:rsidRPr="00986305">
        <w:rPr>
          <w:rFonts w:asciiTheme="majorBidi" w:hAnsiTheme="majorBidi" w:cstheme="majorBidi"/>
          <w:sz w:val="24"/>
          <w:szCs w:val="24"/>
        </w:rPr>
        <w:t>and describe</w:t>
      </w:r>
      <w:r w:rsidRPr="00986305">
        <w:rPr>
          <w:rFonts w:asciiTheme="majorBidi" w:hAnsiTheme="majorBidi" w:cstheme="majorBidi"/>
          <w:sz w:val="24"/>
          <w:szCs w:val="24"/>
        </w:rPr>
        <w:t xml:space="preserve"> creep behavior in more general contexts (Chaboche &amp; Rousselier, 1983). The use of finite element methods is well established for solution of creep problems in engineering (Chandrupatla &amp; Belegundu, 2012), and advanced analysis using</w:t>
      </w:r>
      <w:r w:rsidR="005E1916" w:rsidRPr="00986305">
        <w:rPr>
          <w:rFonts w:asciiTheme="majorBidi" w:hAnsiTheme="majorBidi" w:cstheme="majorBidi"/>
          <w:sz w:val="24"/>
          <w:szCs w:val="24"/>
        </w:rPr>
        <w:t xml:space="preserve"> </w:t>
      </w:r>
      <w:r w:rsidRPr="00986305">
        <w:rPr>
          <w:rFonts w:asciiTheme="majorBidi" w:hAnsiTheme="majorBidi" w:cstheme="majorBidi"/>
          <w:sz w:val="24"/>
          <w:szCs w:val="24"/>
        </w:rPr>
        <w:t xml:space="preserve">CDM and modeling, of the microcavity formation and fracture mechanism in materials such as MAR-247 and Inconel 718 through various means have led to equations for the prediction of failure using, among others, </w:t>
      </w:r>
      <w:r w:rsidR="005E1916" w:rsidRPr="00986305">
        <w:rPr>
          <w:rFonts w:asciiTheme="majorBidi" w:hAnsiTheme="majorBidi" w:cstheme="majorBidi"/>
          <w:sz w:val="24"/>
          <w:szCs w:val="24"/>
        </w:rPr>
        <w:t>Norton's Law and CDM (Ciela et al., 2016; Das et al., 2022; Frost &amp; Ashby, 1982; Kachanov, 1999). CDM models are integrated into FE programs such as ANSYS USERMAT, where they may be used to predict component creep damage and lifespan (Kim et al., 2008; Lemaitre, 1985; Li et al., 2010); in this manner even anisotropy of single-crystal superalloys can be examined</w:t>
      </w:r>
      <w:r w:rsidR="009C2989" w:rsidRPr="00986305">
        <w:rPr>
          <w:rFonts w:asciiTheme="majorBidi" w:hAnsiTheme="majorBidi" w:cstheme="majorBidi"/>
          <w:sz w:val="24"/>
          <w:szCs w:val="24"/>
        </w:rPr>
        <w:t>.</w:t>
      </w:r>
    </w:p>
    <w:p w14:paraId="5722884C"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6">
          <v:rect id="_x0000_i1028" style="width:468pt;height:1.5pt" o:hralign="center" o:hrstd="t" o:hr="t" fillcolor="#a0a0a0" stroked="f"/>
        </w:pict>
      </w:r>
    </w:p>
    <w:p w14:paraId="5722884D" w14:textId="3D2CE8B4" w:rsidR="00314A57" w:rsidRPr="00986305" w:rsidRDefault="002315B9" w:rsidP="003F65E2">
      <w:pPr>
        <w:rPr>
          <w:rFonts w:asciiTheme="majorBidi" w:hAnsiTheme="majorBidi" w:cstheme="majorBidi"/>
          <w:sz w:val="24"/>
          <w:szCs w:val="24"/>
        </w:rPr>
      </w:pPr>
      <w:r>
        <w:rPr>
          <w:rFonts w:asciiTheme="majorBidi" w:hAnsiTheme="majorBidi" w:cstheme="majorBidi"/>
          <w:sz w:val="24"/>
          <w:szCs w:val="24"/>
        </w:rPr>
        <w:t>3.</w:t>
      </w:r>
      <w:r w:rsidR="00CB0051">
        <w:rPr>
          <w:rFonts w:asciiTheme="majorBidi" w:hAnsiTheme="majorBidi" w:cstheme="majorBidi"/>
          <w:sz w:val="24"/>
          <w:szCs w:val="24"/>
        </w:rPr>
        <w:t>Finite element ana</w:t>
      </w:r>
      <w:r>
        <w:rPr>
          <w:rFonts w:asciiTheme="majorBidi" w:hAnsiTheme="majorBidi" w:cstheme="majorBidi"/>
          <w:sz w:val="24"/>
          <w:szCs w:val="24"/>
        </w:rPr>
        <w:t xml:space="preserve">lysis </w:t>
      </w:r>
    </w:p>
    <w:p w14:paraId="5722884E" w14:textId="7EE80366"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2315B9">
        <w:rPr>
          <w:rFonts w:asciiTheme="majorBidi" w:hAnsiTheme="majorBidi" w:cstheme="majorBidi"/>
          <w:b/>
          <w:bCs/>
          <w:sz w:val="24"/>
          <w:szCs w:val="24"/>
        </w:rPr>
        <w:t>1</w:t>
      </w:r>
      <w:r w:rsidRPr="00986305">
        <w:rPr>
          <w:rFonts w:asciiTheme="majorBidi" w:hAnsiTheme="majorBidi" w:cstheme="majorBidi"/>
          <w:b/>
          <w:bCs/>
          <w:sz w:val="24"/>
          <w:szCs w:val="24"/>
        </w:rPr>
        <w:t xml:space="preserve"> Methodology  </w:t>
      </w:r>
    </w:p>
    <w:p w14:paraId="5722884F" w14:textId="25D7613C"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3.1</w:t>
      </w:r>
      <w:r w:rsidR="002315B9">
        <w:rPr>
          <w:rFonts w:asciiTheme="majorBidi" w:hAnsiTheme="majorBidi" w:cstheme="majorBidi"/>
          <w:b/>
          <w:bCs/>
          <w:sz w:val="24"/>
          <w:szCs w:val="24"/>
        </w:rPr>
        <w:t>.</w:t>
      </w:r>
      <w:r w:rsidRPr="00986305">
        <w:rPr>
          <w:rFonts w:asciiTheme="majorBidi" w:hAnsiTheme="majorBidi" w:cstheme="majorBidi"/>
          <w:b/>
          <w:bCs/>
          <w:sz w:val="24"/>
          <w:szCs w:val="24"/>
        </w:rPr>
        <w:t xml:space="preserve"> System Description  </w:t>
      </w:r>
    </w:p>
    <w:p w14:paraId="6244DD95" w14:textId="78E0FA5B" w:rsidR="00E402BA"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study concentrates on the platform combustion chamber of the Siemens SGT5-8000H gas turbine.</w:t>
      </w:r>
      <w:r w:rsidR="00BB63C1" w:rsidRPr="00986305">
        <w:rPr>
          <w:rFonts w:asciiTheme="majorBidi" w:hAnsiTheme="majorBidi" w:cstheme="majorBidi"/>
          <w:sz w:val="24"/>
          <w:szCs w:val="24"/>
        </w:rPr>
        <w:t xml:space="preserve">as Shown </w:t>
      </w:r>
      <w:r w:rsidR="009C2989" w:rsidRPr="00986305">
        <w:rPr>
          <w:rFonts w:asciiTheme="majorBidi" w:hAnsiTheme="majorBidi" w:cstheme="majorBidi"/>
          <w:sz w:val="24"/>
          <w:szCs w:val="24"/>
        </w:rPr>
        <w:t>Fig. (</w:t>
      </w:r>
      <w:r w:rsidR="00BB63C1" w:rsidRPr="00986305">
        <w:rPr>
          <w:rFonts w:asciiTheme="majorBidi" w:hAnsiTheme="majorBidi" w:cstheme="majorBidi"/>
          <w:sz w:val="24"/>
          <w:szCs w:val="24"/>
        </w:rPr>
        <w:t>1)</w:t>
      </w:r>
    </w:p>
    <w:p w14:paraId="6472935F" w14:textId="623DD353" w:rsidR="00BB63C1" w:rsidRPr="00986305" w:rsidRDefault="00DC025F" w:rsidP="003F65E2">
      <w:pPr>
        <w:rPr>
          <w:rFonts w:asciiTheme="majorBidi" w:hAnsiTheme="majorBidi" w:cstheme="majorBidi"/>
          <w:sz w:val="24"/>
          <w:szCs w:val="24"/>
        </w:rPr>
      </w:pPr>
      <w:r w:rsidRPr="00986305">
        <w:rPr>
          <w:rFonts w:asciiTheme="majorBidi" w:hAnsiTheme="majorBidi" w:cstheme="majorBidi"/>
          <w:noProof/>
          <w:sz w:val="24"/>
          <w:szCs w:val="24"/>
        </w:rPr>
        <w:drawing>
          <wp:anchor distT="0" distB="0" distL="114300" distR="114300" simplePos="0" relativeHeight="251658752" behindDoc="1" locked="0" layoutInCell="1" allowOverlap="1" wp14:anchorId="4EB5826A" wp14:editId="7B7B0ECC">
            <wp:simplePos x="0" y="0"/>
            <wp:positionH relativeFrom="column">
              <wp:posOffset>742950</wp:posOffset>
            </wp:positionH>
            <wp:positionV relativeFrom="paragraph">
              <wp:posOffset>35560</wp:posOffset>
            </wp:positionV>
            <wp:extent cx="3139440" cy="1257300"/>
            <wp:effectExtent l="0" t="0" r="3810" b="0"/>
            <wp:wrapTight wrapText="bothSides">
              <wp:wrapPolygon edited="0">
                <wp:start x="0" y="0"/>
                <wp:lineTo x="0" y="21273"/>
                <wp:lineTo x="21495" y="21273"/>
                <wp:lineTo x="21495" y="0"/>
                <wp:lineTo x="0" y="0"/>
              </wp:wrapPolygon>
            </wp:wrapTight>
            <wp:docPr id="5208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9365" name=""/>
                    <pic:cNvPicPr/>
                  </pic:nvPicPr>
                  <pic:blipFill>
                    <a:blip r:embed="rId8">
                      <a:extLst>
                        <a:ext uri="{28A0092B-C50C-407E-A947-70E740481C1C}">
                          <a14:useLocalDpi xmlns:a14="http://schemas.microsoft.com/office/drawing/2010/main" val="0"/>
                        </a:ext>
                      </a:extLst>
                    </a:blip>
                    <a:stretch>
                      <a:fillRect/>
                    </a:stretch>
                  </pic:blipFill>
                  <pic:spPr>
                    <a:xfrm>
                      <a:off x="0" y="0"/>
                      <a:ext cx="3139440" cy="1257300"/>
                    </a:xfrm>
                    <a:prstGeom prst="rect">
                      <a:avLst/>
                    </a:prstGeom>
                  </pic:spPr>
                </pic:pic>
              </a:graphicData>
            </a:graphic>
            <wp14:sizeRelH relativeFrom="margin">
              <wp14:pctWidth>0</wp14:pctWidth>
            </wp14:sizeRelH>
            <wp14:sizeRelV relativeFrom="margin">
              <wp14:pctHeight>0</wp14:pctHeight>
            </wp14:sizeRelV>
          </wp:anchor>
        </w:drawing>
      </w:r>
    </w:p>
    <w:p w14:paraId="15D5AC3F" w14:textId="077763B2" w:rsidR="00E402BA" w:rsidRPr="00986305" w:rsidRDefault="00E402BA" w:rsidP="003F65E2">
      <w:pPr>
        <w:rPr>
          <w:rFonts w:asciiTheme="majorBidi" w:hAnsiTheme="majorBidi" w:cstheme="majorBidi"/>
          <w:sz w:val="24"/>
          <w:szCs w:val="24"/>
        </w:rPr>
      </w:pPr>
    </w:p>
    <w:p w14:paraId="754095D1" w14:textId="77777777" w:rsidR="00E402BA" w:rsidRPr="00986305" w:rsidRDefault="00E402BA" w:rsidP="003F65E2">
      <w:pPr>
        <w:rPr>
          <w:rFonts w:asciiTheme="majorBidi" w:hAnsiTheme="majorBidi" w:cstheme="majorBidi"/>
          <w:sz w:val="24"/>
          <w:szCs w:val="24"/>
        </w:rPr>
      </w:pPr>
    </w:p>
    <w:p w14:paraId="732537BD" w14:textId="77777777" w:rsidR="00E402BA" w:rsidRPr="00986305" w:rsidRDefault="00E402BA" w:rsidP="003F65E2">
      <w:pPr>
        <w:rPr>
          <w:rFonts w:asciiTheme="majorBidi" w:hAnsiTheme="majorBidi" w:cstheme="majorBidi"/>
          <w:sz w:val="24"/>
          <w:szCs w:val="24"/>
        </w:rPr>
      </w:pPr>
    </w:p>
    <w:p w14:paraId="039DA6BA" w14:textId="77777777" w:rsidR="00E402BA" w:rsidRPr="00986305" w:rsidRDefault="00E402BA" w:rsidP="003F65E2">
      <w:pPr>
        <w:rPr>
          <w:rFonts w:asciiTheme="majorBidi" w:hAnsiTheme="majorBidi" w:cstheme="majorBidi"/>
          <w:sz w:val="24"/>
          <w:szCs w:val="24"/>
        </w:rPr>
      </w:pPr>
    </w:p>
    <w:p w14:paraId="26147BF8" w14:textId="4C44F08D" w:rsidR="00E402BA" w:rsidRPr="00986305" w:rsidRDefault="009C2989" w:rsidP="00EF59CE">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w:t>
      </w:r>
      <w:r w:rsidR="007E7C07" w:rsidRPr="00986305">
        <w:rPr>
          <w:rFonts w:asciiTheme="majorBidi" w:hAnsiTheme="majorBidi" w:cstheme="majorBidi"/>
          <w:sz w:val="24"/>
          <w:szCs w:val="24"/>
        </w:rPr>
        <w:t>1) platform combustion chamber of the Siemens</w:t>
      </w:r>
      <w:r w:rsidR="00235574" w:rsidRPr="00986305">
        <w:rPr>
          <w:rFonts w:asciiTheme="majorBidi" w:hAnsiTheme="majorBidi" w:cstheme="majorBidi"/>
          <w:sz w:val="24"/>
          <w:szCs w:val="24"/>
        </w:rPr>
        <w:t xml:space="preserve"> SGT5-8000H</w:t>
      </w:r>
    </w:p>
    <w:p w14:paraId="57228850" w14:textId="465E2DEB"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system has these characteristics:  </w:t>
      </w:r>
    </w:p>
    <w:p w14:paraId="57228851"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Mass: 322.225 kg  </w:t>
      </w:r>
    </w:p>
    <w:p w14:paraId="57228852"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Volume: 40,278,200 mm³  </w:t>
      </w:r>
    </w:p>
    <w:p w14:paraId="57228853" w14:textId="77777777" w:rsidR="006336FF" w:rsidRPr="00986305" w:rsidRDefault="006336FF" w:rsidP="00125619">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Material: Stainless Steel (SS316)  </w:t>
      </w:r>
    </w:p>
    <w:p w14:paraId="61AB73C0" w14:textId="41F52134" w:rsidR="002A59D9" w:rsidRPr="00986305" w:rsidRDefault="006336FF" w:rsidP="007F52C4">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Thermal Load: 100 kN </w:t>
      </w:r>
    </w:p>
    <w:p w14:paraId="57228855"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3.2 Material Properties  </w:t>
      </w:r>
    </w:p>
    <w:p w14:paraId="57228856"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Density: 8 g/cm³  </w:t>
      </w:r>
    </w:p>
    <w:p w14:paraId="57228857"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Yield Strength: 250 MPa  </w:t>
      </w:r>
    </w:p>
    <w:p w14:paraId="57228858"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Ultimate Tensile Strength: 540 MPa  </w:t>
      </w:r>
    </w:p>
    <w:p w14:paraId="57228859"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Young's Modulus: 193 GPa  </w:t>
      </w:r>
    </w:p>
    <w:p w14:paraId="5722885A" w14:textId="77777777" w:rsidR="006336FF" w:rsidRPr="00986305" w:rsidRDefault="006336FF" w:rsidP="003F65E2">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Poisson's Ratio: 0.3  </w:t>
      </w:r>
    </w:p>
    <w:p w14:paraId="5722885C" w14:textId="702FBD11" w:rsidR="006336FF" w:rsidRPr="00986305" w:rsidRDefault="006336FF" w:rsidP="00EF59CE">
      <w:pPr>
        <w:pStyle w:val="ListParagraph"/>
        <w:numPr>
          <w:ilvl w:val="0"/>
          <w:numId w:val="1"/>
        </w:numPr>
        <w:ind w:left="0"/>
        <w:rPr>
          <w:rFonts w:asciiTheme="majorBidi" w:hAnsiTheme="majorBidi" w:cstheme="majorBidi"/>
          <w:sz w:val="24"/>
          <w:szCs w:val="24"/>
        </w:rPr>
      </w:pPr>
      <w:r w:rsidRPr="00986305">
        <w:rPr>
          <w:rFonts w:asciiTheme="majorBidi" w:hAnsiTheme="majorBidi" w:cstheme="majorBidi"/>
          <w:sz w:val="24"/>
          <w:szCs w:val="24"/>
        </w:rPr>
        <w:t xml:space="preserve">Shear Modulus: 74.23 GPa  </w:t>
      </w:r>
    </w:p>
    <w:p w14:paraId="5722885D"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3.3 Finite Element Analysis  </w:t>
      </w:r>
    </w:p>
    <w:p w14:paraId="5722885E"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A static finite element analysis was performed using Autodesk Inventor. The mesh parameters balanced accuracy and computational efficiency:  </w:t>
      </w:r>
    </w:p>
    <w:p w14:paraId="5722885F" w14:textId="13B7A3A3"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Average element size: 0.</w:t>
      </w:r>
      <w:r w:rsidR="001E346B">
        <w:rPr>
          <w:rFonts w:asciiTheme="majorBidi" w:hAnsiTheme="majorBidi" w:cstheme="majorBidi"/>
          <w:sz w:val="24"/>
          <w:szCs w:val="24"/>
        </w:rPr>
        <w:t>1</w:t>
      </w:r>
      <w:r w:rsidRPr="00986305">
        <w:rPr>
          <w:rFonts w:asciiTheme="majorBidi" w:hAnsiTheme="majorBidi" w:cstheme="majorBidi"/>
          <w:sz w:val="24"/>
          <w:szCs w:val="24"/>
        </w:rPr>
        <w:t xml:space="preserve"> </w:t>
      </w:r>
    </w:p>
    <w:p w14:paraId="57228860" w14:textId="2816D40D"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Minimum element size: 0.</w:t>
      </w:r>
      <w:r w:rsidR="001E346B">
        <w:rPr>
          <w:rFonts w:asciiTheme="majorBidi" w:hAnsiTheme="majorBidi" w:cstheme="majorBidi"/>
          <w:sz w:val="24"/>
          <w:szCs w:val="24"/>
        </w:rPr>
        <w:t>02</w:t>
      </w:r>
    </w:p>
    <w:p w14:paraId="57228861" w14:textId="77777777" w:rsidR="006336FF" w:rsidRPr="00986305" w:rsidRDefault="006336FF" w:rsidP="003F65E2">
      <w:pPr>
        <w:pStyle w:val="ListParagraph"/>
        <w:numPr>
          <w:ilvl w:val="0"/>
          <w:numId w:val="2"/>
        </w:numPr>
        <w:ind w:left="0"/>
        <w:rPr>
          <w:rFonts w:asciiTheme="majorBidi" w:hAnsiTheme="majorBidi" w:cstheme="majorBidi"/>
          <w:sz w:val="24"/>
          <w:szCs w:val="24"/>
        </w:rPr>
      </w:pPr>
      <w:r w:rsidRPr="00986305">
        <w:rPr>
          <w:rFonts w:asciiTheme="majorBidi" w:hAnsiTheme="majorBidi" w:cstheme="majorBidi"/>
          <w:sz w:val="24"/>
          <w:szCs w:val="24"/>
        </w:rPr>
        <w:t xml:space="preserve">Grading factor: 1.5  </w:t>
      </w:r>
    </w:p>
    <w:p w14:paraId="1B244D93" w14:textId="77777777" w:rsidR="00CD1A0C" w:rsidRPr="00986305" w:rsidRDefault="00CD1A0C" w:rsidP="00CD1A0C">
      <w:pPr>
        <w:pStyle w:val="ListParagraph"/>
        <w:ind w:left="0"/>
        <w:rPr>
          <w:rFonts w:asciiTheme="majorBidi" w:hAnsiTheme="majorBidi" w:cstheme="majorBidi"/>
          <w:sz w:val="24"/>
          <w:szCs w:val="24"/>
          <w:rtl/>
        </w:rPr>
      </w:pPr>
    </w:p>
    <w:p w14:paraId="12C175AB" w14:textId="73CEF41E" w:rsidR="004953CF" w:rsidRPr="00986305" w:rsidRDefault="003F31CB"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57807E6" wp14:editId="5406AD09">
            <wp:extent cx="5943600" cy="3241675"/>
            <wp:effectExtent l="0" t="0" r="0" b="0"/>
            <wp:docPr id="10616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1860" name=""/>
                    <pic:cNvPicPr/>
                  </pic:nvPicPr>
                  <pic:blipFill>
                    <a:blip r:embed="rId9"/>
                    <a:stretch>
                      <a:fillRect/>
                    </a:stretch>
                  </pic:blipFill>
                  <pic:spPr>
                    <a:xfrm>
                      <a:off x="0" y="0"/>
                      <a:ext cx="5943600" cy="3241675"/>
                    </a:xfrm>
                    <a:prstGeom prst="rect">
                      <a:avLst/>
                    </a:prstGeom>
                  </pic:spPr>
                </pic:pic>
              </a:graphicData>
            </a:graphic>
          </wp:inline>
        </w:drawing>
      </w:r>
    </w:p>
    <w:p w14:paraId="62FE40A9" w14:textId="32F9842C" w:rsidR="004953CF" w:rsidRPr="00986305" w:rsidRDefault="001B334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9506154" wp14:editId="78037F08">
            <wp:extent cx="5943600" cy="2794635"/>
            <wp:effectExtent l="0" t="0" r="0" b="5715"/>
            <wp:docPr id="6393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7367" name=""/>
                    <pic:cNvPicPr/>
                  </pic:nvPicPr>
                  <pic:blipFill>
                    <a:blip r:embed="rId10"/>
                    <a:stretch>
                      <a:fillRect/>
                    </a:stretch>
                  </pic:blipFill>
                  <pic:spPr>
                    <a:xfrm>
                      <a:off x="0" y="0"/>
                      <a:ext cx="5943600" cy="2794635"/>
                    </a:xfrm>
                    <a:prstGeom prst="rect">
                      <a:avLst/>
                    </a:prstGeom>
                  </pic:spPr>
                </pic:pic>
              </a:graphicData>
            </a:graphic>
          </wp:inline>
        </w:drawing>
      </w:r>
    </w:p>
    <w:p w14:paraId="180E875F" w14:textId="59C18288" w:rsidR="001B3346" w:rsidRPr="00986305" w:rsidRDefault="00304936" w:rsidP="004953CF">
      <w:pPr>
        <w:pStyle w:val="ListParagraph"/>
        <w:ind w:left="-144"/>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6FB9729F" wp14:editId="4B4AEECE">
            <wp:extent cx="5943600" cy="4292600"/>
            <wp:effectExtent l="0" t="0" r="0" b="0"/>
            <wp:docPr id="186942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6972" name=""/>
                    <pic:cNvPicPr/>
                  </pic:nvPicPr>
                  <pic:blipFill>
                    <a:blip r:embed="rId11"/>
                    <a:stretch>
                      <a:fillRect/>
                    </a:stretch>
                  </pic:blipFill>
                  <pic:spPr>
                    <a:xfrm>
                      <a:off x="0" y="0"/>
                      <a:ext cx="5943600" cy="4292600"/>
                    </a:xfrm>
                    <a:prstGeom prst="rect">
                      <a:avLst/>
                    </a:prstGeom>
                  </pic:spPr>
                </pic:pic>
              </a:graphicData>
            </a:graphic>
          </wp:inline>
        </w:drawing>
      </w:r>
    </w:p>
    <w:p w14:paraId="6C8D8654" w14:textId="2ED988FC" w:rsidR="00AF0F09" w:rsidRPr="00986305" w:rsidRDefault="00AA2EA4" w:rsidP="00986305">
      <w:pPr>
        <w:pStyle w:val="ListParagraph"/>
        <w:ind w:left="-144"/>
        <w:rPr>
          <w:rFonts w:asciiTheme="majorBidi" w:hAnsiTheme="majorBidi" w:cstheme="majorBidi"/>
          <w:sz w:val="24"/>
          <w:szCs w:val="24"/>
          <w:rtl/>
        </w:rPr>
      </w:pPr>
      <w:r w:rsidRPr="00986305">
        <w:rPr>
          <w:rFonts w:asciiTheme="majorBidi" w:hAnsiTheme="majorBidi" w:cstheme="majorBidi"/>
          <w:noProof/>
          <w:sz w:val="24"/>
          <w:szCs w:val="24"/>
        </w:rPr>
        <w:drawing>
          <wp:inline distT="0" distB="0" distL="0" distR="0" wp14:anchorId="652AD89B" wp14:editId="54C0462A">
            <wp:extent cx="5943600" cy="1241425"/>
            <wp:effectExtent l="0" t="0" r="0" b="0"/>
            <wp:docPr id="3714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3601" name=""/>
                    <pic:cNvPicPr/>
                  </pic:nvPicPr>
                  <pic:blipFill>
                    <a:blip r:embed="rId12"/>
                    <a:stretch>
                      <a:fillRect/>
                    </a:stretch>
                  </pic:blipFill>
                  <pic:spPr>
                    <a:xfrm>
                      <a:off x="0" y="0"/>
                      <a:ext cx="5943600" cy="1241425"/>
                    </a:xfrm>
                    <a:prstGeom prst="rect">
                      <a:avLst/>
                    </a:prstGeom>
                  </pic:spPr>
                </pic:pic>
              </a:graphicData>
            </a:graphic>
          </wp:inline>
        </w:drawing>
      </w:r>
    </w:p>
    <w:p w14:paraId="7A0C5E40" w14:textId="77777777" w:rsidR="006C50C0" w:rsidRDefault="006C50C0" w:rsidP="003F65E2">
      <w:pPr>
        <w:rPr>
          <w:rFonts w:asciiTheme="majorBidi" w:hAnsiTheme="majorBidi" w:cstheme="majorBidi"/>
          <w:sz w:val="24"/>
          <w:szCs w:val="24"/>
        </w:rPr>
      </w:pPr>
    </w:p>
    <w:p w14:paraId="6268ED70" w14:textId="77777777" w:rsidR="006C50C0" w:rsidRDefault="006C50C0" w:rsidP="003F65E2">
      <w:pPr>
        <w:rPr>
          <w:rFonts w:asciiTheme="majorBidi" w:hAnsiTheme="majorBidi" w:cstheme="majorBidi"/>
          <w:sz w:val="24"/>
          <w:szCs w:val="24"/>
        </w:rPr>
      </w:pPr>
    </w:p>
    <w:p w14:paraId="6E95DECD" w14:textId="77777777" w:rsidR="006C50C0" w:rsidRDefault="006C50C0" w:rsidP="003F65E2">
      <w:pPr>
        <w:rPr>
          <w:rFonts w:asciiTheme="majorBidi" w:hAnsiTheme="majorBidi" w:cstheme="majorBidi"/>
          <w:sz w:val="24"/>
          <w:szCs w:val="24"/>
        </w:rPr>
      </w:pPr>
    </w:p>
    <w:p w14:paraId="0E6ECCB0" w14:textId="77777777" w:rsidR="006C50C0" w:rsidRDefault="006C50C0" w:rsidP="003F65E2">
      <w:pPr>
        <w:rPr>
          <w:rFonts w:asciiTheme="majorBidi" w:hAnsiTheme="majorBidi" w:cstheme="majorBidi"/>
          <w:sz w:val="24"/>
          <w:szCs w:val="24"/>
        </w:rPr>
      </w:pPr>
    </w:p>
    <w:p w14:paraId="1D6F8804" w14:textId="77777777" w:rsidR="006C50C0" w:rsidRDefault="006C50C0" w:rsidP="003F65E2">
      <w:pPr>
        <w:rPr>
          <w:rFonts w:asciiTheme="majorBidi" w:hAnsiTheme="majorBidi" w:cstheme="majorBidi"/>
          <w:sz w:val="24"/>
          <w:szCs w:val="24"/>
        </w:rPr>
      </w:pPr>
    </w:p>
    <w:p w14:paraId="54D97989" w14:textId="77777777" w:rsidR="006C50C0" w:rsidRDefault="006C50C0" w:rsidP="003F65E2">
      <w:pPr>
        <w:rPr>
          <w:rFonts w:asciiTheme="majorBidi" w:hAnsiTheme="majorBidi" w:cstheme="majorBidi"/>
          <w:sz w:val="24"/>
          <w:szCs w:val="24"/>
        </w:rPr>
      </w:pPr>
    </w:p>
    <w:p w14:paraId="61ADAE97" w14:textId="77777777" w:rsidR="006C50C0" w:rsidRDefault="006C50C0" w:rsidP="003F65E2">
      <w:pPr>
        <w:rPr>
          <w:rFonts w:asciiTheme="majorBidi" w:hAnsiTheme="majorBidi" w:cstheme="majorBidi"/>
          <w:sz w:val="24"/>
          <w:szCs w:val="24"/>
        </w:rPr>
      </w:pPr>
    </w:p>
    <w:p w14:paraId="57228862" w14:textId="13EE1B4C" w:rsidR="006336FF" w:rsidRPr="00986305" w:rsidRDefault="00FA3DD0" w:rsidP="003F65E2">
      <w:pPr>
        <w:rPr>
          <w:rFonts w:asciiTheme="majorBidi" w:hAnsiTheme="majorBidi" w:cstheme="majorBidi"/>
          <w:sz w:val="24"/>
          <w:szCs w:val="24"/>
        </w:rPr>
      </w:pPr>
      <w:r>
        <w:rPr>
          <w:rFonts w:asciiTheme="majorBidi" w:hAnsiTheme="majorBidi" w:cstheme="majorBidi"/>
          <w:sz w:val="24"/>
          <w:szCs w:val="24"/>
        </w:rPr>
        <w:t>-</w:t>
      </w:r>
      <w:r w:rsidR="006336FF" w:rsidRPr="00986305">
        <w:rPr>
          <w:rFonts w:asciiTheme="majorBidi" w:hAnsiTheme="majorBidi" w:cstheme="majorBidi"/>
          <w:sz w:val="24"/>
          <w:szCs w:val="24"/>
        </w:rPr>
        <w:t xml:space="preserve">The Von Mises stress criterion evaluated material yielding under combined thermal and mechanical loads.  </w:t>
      </w:r>
    </w:p>
    <w:p w14:paraId="5071810E" w14:textId="0F3DBEEC" w:rsidR="000C7A10" w:rsidRPr="00986305" w:rsidRDefault="00F76A56"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ED21317" wp14:editId="6A2FA500">
            <wp:extent cx="5943600" cy="3695065"/>
            <wp:effectExtent l="0" t="0" r="0" b="635"/>
            <wp:docPr id="21305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5410" name=""/>
                    <pic:cNvPicPr/>
                  </pic:nvPicPr>
                  <pic:blipFill>
                    <a:blip r:embed="rId13"/>
                    <a:stretch>
                      <a:fillRect/>
                    </a:stretch>
                  </pic:blipFill>
                  <pic:spPr>
                    <a:xfrm>
                      <a:off x="0" y="0"/>
                      <a:ext cx="5943600" cy="3695065"/>
                    </a:xfrm>
                    <a:prstGeom prst="rect">
                      <a:avLst/>
                    </a:prstGeom>
                  </pic:spPr>
                </pic:pic>
              </a:graphicData>
            </a:graphic>
          </wp:inline>
        </w:drawing>
      </w:r>
    </w:p>
    <w:p w14:paraId="00F0AD22" w14:textId="573EE2A5" w:rsidR="00F76A56" w:rsidRPr="00986305" w:rsidRDefault="008D1A80"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289C10A" wp14:editId="0709E21F">
            <wp:extent cx="5943600" cy="3831590"/>
            <wp:effectExtent l="0" t="0" r="0" b="0"/>
            <wp:docPr id="10787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8972" name=""/>
                    <pic:cNvPicPr/>
                  </pic:nvPicPr>
                  <pic:blipFill>
                    <a:blip r:embed="rId14"/>
                    <a:stretch>
                      <a:fillRect/>
                    </a:stretch>
                  </pic:blipFill>
                  <pic:spPr>
                    <a:xfrm>
                      <a:off x="0" y="0"/>
                      <a:ext cx="5943600" cy="3831590"/>
                    </a:xfrm>
                    <a:prstGeom prst="rect">
                      <a:avLst/>
                    </a:prstGeom>
                  </pic:spPr>
                </pic:pic>
              </a:graphicData>
            </a:graphic>
          </wp:inline>
        </w:drawing>
      </w:r>
    </w:p>
    <w:p w14:paraId="7298C00C" w14:textId="5B32DCED" w:rsidR="008D1A80" w:rsidRPr="00986305" w:rsidRDefault="00EE1AA8"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9525207" wp14:editId="57614BFA">
            <wp:extent cx="5943600" cy="4079240"/>
            <wp:effectExtent l="0" t="0" r="0" b="0"/>
            <wp:docPr id="10928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7571" name=""/>
                    <pic:cNvPicPr/>
                  </pic:nvPicPr>
                  <pic:blipFill>
                    <a:blip r:embed="rId15"/>
                    <a:stretch>
                      <a:fillRect/>
                    </a:stretch>
                  </pic:blipFill>
                  <pic:spPr>
                    <a:xfrm>
                      <a:off x="0" y="0"/>
                      <a:ext cx="5943600" cy="4079240"/>
                    </a:xfrm>
                    <a:prstGeom prst="rect">
                      <a:avLst/>
                    </a:prstGeom>
                  </pic:spPr>
                </pic:pic>
              </a:graphicData>
            </a:graphic>
          </wp:inline>
        </w:drawing>
      </w:r>
    </w:p>
    <w:p w14:paraId="4C128D02" w14:textId="15A88D8F" w:rsidR="0030606E" w:rsidRPr="00986305" w:rsidRDefault="005532C3"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7E4B6AFB" wp14:editId="46368A2F">
            <wp:extent cx="5943600" cy="3329940"/>
            <wp:effectExtent l="0" t="0" r="0" b="3810"/>
            <wp:docPr id="3716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0374" name=""/>
                    <pic:cNvPicPr/>
                  </pic:nvPicPr>
                  <pic:blipFill>
                    <a:blip r:embed="rId16"/>
                    <a:stretch>
                      <a:fillRect/>
                    </a:stretch>
                  </pic:blipFill>
                  <pic:spPr>
                    <a:xfrm>
                      <a:off x="0" y="0"/>
                      <a:ext cx="5943600" cy="3329940"/>
                    </a:xfrm>
                    <a:prstGeom prst="rect">
                      <a:avLst/>
                    </a:prstGeom>
                  </pic:spPr>
                </pic:pic>
              </a:graphicData>
            </a:graphic>
          </wp:inline>
        </w:drawing>
      </w:r>
    </w:p>
    <w:p w14:paraId="55522245" w14:textId="72A50D0D" w:rsidR="000C7A10" w:rsidRPr="00986305" w:rsidRDefault="00CA0DEC" w:rsidP="00E55631">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743BB0A" wp14:editId="69A145E2">
            <wp:extent cx="5943600" cy="2269490"/>
            <wp:effectExtent l="0" t="0" r="0" b="0"/>
            <wp:docPr id="3527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2083" name=""/>
                    <pic:cNvPicPr/>
                  </pic:nvPicPr>
                  <pic:blipFill>
                    <a:blip r:embed="rId17"/>
                    <a:stretch>
                      <a:fillRect/>
                    </a:stretch>
                  </pic:blipFill>
                  <pic:spPr>
                    <a:xfrm>
                      <a:off x="0" y="0"/>
                      <a:ext cx="5943600" cy="2269490"/>
                    </a:xfrm>
                    <a:prstGeom prst="rect">
                      <a:avLst/>
                    </a:prstGeom>
                  </pic:spPr>
                </pic:pic>
              </a:graphicData>
            </a:graphic>
          </wp:inline>
        </w:drawing>
      </w:r>
    </w:p>
    <w:p w14:paraId="57228863" w14:textId="41AFAB9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3.</w:t>
      </w:r>
      <w:r w:rsidR="003F082F">
        <w:rPr>
          <w:rFonts w:asciiTheme="majorBidi" w:hAnsiTheme="majorBidi" w:cstheme="majorBidi"/>
          <w:b/>
          <w:bCs/>
          <w:sz w:val="24"/>
          <w:szCs w:val="24"/>
        </w:rPr>
        <w:t>1.</w:t>
      </w:r>
      <w:r w:rsidRPr="00986305">
        <w:rPr>
          <w:rFonts w:asciiTheme="majorBidi" w:hAnsiTheme="majorBidi" w:cstheme="majorBidi"/>
          <w:b/>
          <w:bCs/>
          <w:sz w:val="24"/>
          <w:szCs w:val="24"/>
        </w:rPr>
        <w:t xml:space="preserve">4 Larson-Miller Parameter Model  </w:t>
      </w:r>
    </w:p>
    <w:p w14:paraId="57228864" w14:textId="136123B5"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Larson-Miller Parameter is defined as</w:t>
      </w:r>
      <w:r w:rsidR="008D1241" w:rsidRPr="00986305">
        <w:rPr>
          <w:rFonts w:asciiTheme="majorBidi" w:hAnsiTheme="majorBidi" w:cstheme="majorBidi"/>
          <w:sz w:val="24"/>
          <w:szCs w:val="24"/>
        </w:rPr>
        <w:t xml:space="preserve"> in Fig. (2)</w:t>
      </w:r>
      <w:r w:rsidRPr="00986305">
        <w:rPr>
          <w:rFonts w:asciiTheme="majorBidi" w:hAnsiTheme="majorBidi" w:cstheme="majorBidi"/>
          <w:sz w:val="24"/>
          <w:szCs w:val="24"/>
        </w:rPr>
        <w:t xml:space="preserve">:  </w:t>
      </w:r>
    </w:p>
    <w:p w14:paraId="57228865" w14:textId="77777777" w:rsidR="006336FF" w:rsidRPr="00986305" w:rsidRDefault="006336FF" w:rsidP="003F65E2">
      <w:pPr>
        <w:rPr>
          <w:rFonts w:asciiTheme="majorBidi" w:hAnsiTheme="majorBidi" w:cstheme="majorBidi"/>
          <w:sz w:val="24"/>
          <w:szCs w:val="24"/>
        </w:rPr>
      </w:pPr>
      <w:r w:rsidRPr="00986305">
        <w:rPr>
          <w:rFonts w:ascii="Cambria Math" w:hAnsi="Cambria Math" w:cs="Cambria Math"/>
          <w:sz w:val="24"/>
          <w:szCs w:val="24"/>
        </w:rPr>
        <w:t>𝑃</w:t>
      </w:r>
      <w:r w:rsidRPr="00986305">
        <w:rPr>
          <w:rFonts w:asciiTheme="majorBidi" w:hAnsiTheme="majorBidi" w:cstheme="majorBidi"/>
          <w:sz w:val="24"/>
          <w:szCs w:val="24"/>
        </w:rPr>
        <w:t>=</w:t>
      </w:r>
      <w:r w:rsidRPr="00986305">
        <w:rPr>
          <w:rFonts w:ascii="Cambria Math" w:hAnsi="Cambria Math" w:cs="Cambria Math"/>
          <w:sz w:val="24"/>
          <w:szCs w:val="24"/>
        </w:rPr>
        <w:t>𝑇</w:t>
      </w:r>
      <w:r w:rsidRPr="00986305">
        <w:rPr>
          <w:rFonts w:asciiTheme="majorBidi" w:hAnsiTheme="majorBidi" w:cstheme="majorBidi"/>
          <w:sz w:val="24"/>
          <w:szCs w:val="24"/>
        </w:rPr>
        <w:t xml:space="preserve"> (</w:t>
      </w:r>
      <w:r w:rsidRPr="00986305">
        <w:rPr>
          <w:rFonts w:ascii="Cambria Math" w:hAnsi="Cambria Math" w:cs="Cambria Math"/>
          <w:sz w:val="24"/>
          <w:szCs w:val="24"/>
        </w:rPr>
        <w:t>𝐶</w:t>
      </w:r>
      <w:r w:rsidRPr="00986305">
        <w:rPr>
          <w:rFonts w:asciiTheme="majorBidi" w:hAnsiTheme="majorBidi" w:cstheme="majorBidi"/>
          <w:sz w:val="24"/>
          <w:szCs w:val="24"/>
        </w:rPr>
        <w:t>+log10</w:t>
      </w:r>
      <w:r w:rsidRPr="00986305">
        <w:rPr>
          <w:rFonts w:ascii="Cambria Math" w:hAnsi="Cambria Math" w:cs="Cambria Math"/>
          <w:sz w:val="24"/>
          <w:szCs w:val="24"/>
        </w:rPr>
        <w:t>𝑡</w:t>
      </w:r>
      <w:r w:rsidRPr="00986305">
        <w:rPr>
          <w:rFonts w:asciiTheme="majorBidi" w:hAnsiTheme="majorBidi" w:cstheme="majorBidi"/>
          <w:sz w:val="24"/>
          <w:szCs w:val="24"/>
        </w:rPr>
        <w:t xml:space="preserve">)  </w:t>
      </w:r>
    </w:p>
    <w:p w14:paraId="57228866"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Where  </w:t>
      </w:r>
    </w:p>
    <w:p w14:paraId="57228867"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P</w:t>
      </w:r>
      <w:r w:rsidRPr="00986305">
        <w:rPr>
          <w:rFonts w:asciiTheme="majorBidi" w:hAnsiTheme="majorBidi" w:cstheme="majorBidi"/>
          <w:sz w:val="24"/>
          <w:szCs w:val="24"/>
        </w:rPr>
        <w:t xml:space="preserve"> = The Larson-Miller parameter  </w:t>
      </w:r>
    </w:p>
    <w:p w14:paraId="57228868"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Exposure temperature (typically in Kelvin or Rankin</w:t>
      </w:r>
      <w:r w:rsidR="00E934DF" w:rsidRPr="00986305">
        <w:rPr>
          <w:rFonts w:asciiTheme="majorBidi" w:hAnsiTheme="majorBidi" w:cstheme="majorBidi"/>
          <w:sz w:val="24"/>
          <w:szCs w:val="24"/>
        </w:rPr>
        <w:t>e</w:t>
      </w:r>
      <w:r w:rsidRPr="00986305">
        <w:rPr>
          <w:rFonts w:asciiTheme="majorBidi" w:hAnsiTheme="majorBidi" w:cstheme="majorBidi"/>
          <w:sz w:val="24"/>
          <w:szCs w:val="24"/>
        </w:rPr>
        <w:t xml:space="preserve">)  </w:t>
      </w:r>
    </w:p>
    <w:p w14:paraId="57228869"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b/>
          <w:bCs/>
          <w:sz w:val="24"/>
          <w:szCs w:val="24"/>
        </w:rPr>
        <w:t>t</w:t>
      </w:r>
      <w:r w:rsidRPr="00986305">
        <w:rPr>
          <w:rFonts w:asciiTheme="majorBidi" w:hAnsiTheme="majorBidi" w:cstheme="majorBidi"/>
          <w:sz w:val="24"/>
          <w:szCs w:val="24"/>
        </w:rPr>
        <w:t xml:space="preserve"> = Time to rupture (in hours)  </w:t>
      </w:r>
    </w:p>
    <w:p w14:paraId="4FF2F379" w14:textId="2433B8BC" w:rsidR="00A1475B" w:rsidRPr="00986305" w:rsidRDefault="006336FF" w:rsidP="007A28FD">
      <w:pPr>
        <w:pStyle w:val="ListParagraph"/>
        <w:numPr>
          <w:ilvl w:val="0"/>
          <w:numId w:val="5"/>
        </w:numPr>
        <w:ind w:left="0"/>
        <w:rPr>
          <w:rFonts w:asciiTheme="majorBidi" w:hAnsiTheme="majorBidi" w:cstheme="majorBidi"/>
          <w:sz w:val="24"/>
          <w:szCs w:val="24"/>
          <w:rtl/>
        </w:rPr>
      </w:pPr>
      <w:r w:rsidRPr="00986305">
        <w:rPr>
          <w:rFonts w:asciiTheme="majorBidi" w:hAnsiTheme="majorBidi" w:cstheme="majorBidi"/>
          <w:b/>
          <w:bCs/>
          <w:sz w:val="24"/>
          <w:szCs w:val="24"/>
        </w:rPr>
        <w:t>C</w:t>
      </w:r>
      <w:r w:rsidRPr="00986305">
        <w:rPr>
          <w:rFonts w:asciiTheme="majorBidi" w:hAnsiTheme="majorBidi" w:cstheme="majorBidi"/>
          <w:sz w:val="24"/>
          <w:szCs w:val="24"/>
        </w:rPr>
        <w:t xml:space="preserve"> = material constant  </w:t>
      </w:r>
    </w:p>
    <w:p w14:paraId="64AC3211" w14:textId="3CF9AB98" w:rsidR="00A1475B" w:rsidRPr="00986305" w:rsidRDefault="00722A38" w:rsidP="00BF5BCD">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516630FA" wp14:editId="20A46AF6">
            <wp:extent cx="5943600" cy="3328670"/>
            <wp:effectExtent l="0" t="0" r="0" b="5080"/>
            <wp:docPr id="1312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54682B5A" w14:textId="7DBCACCB" w:rsidR="008D1241" w:rsidRPr="00986305" w:rsidRDefault="008D1241" w:rsidP="008D1241">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Fig. (2) Larsin-Miller Parameter </w:t>
      </w:r>
    </w:p>
    <w:p w14:paraId="5722886B" w14:textId="6A3D8019" w:rsidR="00125619" w:rsidRPr="00986305" w:rsidRDefault="006336FF" w:rsidP="00125619">
      <w:pPr>
        <w:rPr>
          <w:rFonts w:asciiTheme="majorBidi" w:hAnsiTheme="majorBidi" w:cstheme="majorBidi"/>
          <w:sz w:val="24"/>
          <w:szCs w:val="24"/>
        </w:rPr>
      </w:pPr>
      <w:r w:rsidRPr="00986305">
        <w:rPr>
          <w:rFonts w:asciiTheme="majorBidi" w:hAnsiTheme="majorBidi" w:cstheme="majorBidi"/>
          <w:sz w:val="24"/>
          <w:szCs w:val="24"/>
        </w:rPr>
        <w:t>Python-based numerical modeling created creep rupture curves and estimated residual lifetime.</w:t>
      </w:r>
    </w:p>
    <w:p w14:paraId="015B6935"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import numpy as np</w:t>
      </w:r>
    </w:p>
    <w:p w14:paraId="64E38CC5" w14:textId="16AE2E44" w:rsidR="00376C7F" w:rsidRPr="00986305" w:rsidRDefault="00376C7F" w:rsidP="00BF5BCD">
      <w:pPr>
        <w:rPr>
          <w:rFonts w:asciiTheme="majorBidi" w:hAnsiTheme="majorBidi" w:cstheme="majorBidi"/>
          <w:sz w:val="24"/>
          <w:szCs w:val="24"/>
        </w:rPr>
      </w:pPr>
      <w:r w:rsidRPr="00986305">
        <w:rPr>
          <w:rFonts w:asciiTheme="majorBidi" w:hAnsiTheme="majorBidi" w:cstheme="majorBidi"/>
          <w:sz w:val="24"/>
          <w:szCs w:val="24"/>
        </w:rPr>
        <w:t>import matplotlib.pyplot as plt</w:t>
      </w:r>
    </w:p>
    <w:p w14:paraId="70BD5704" w14:textId="3A59A60A" w:rsidR="00376C7F" w:rsidRPr="00986305" w:rsidRDefault="00BF5BCD" w:rsidP="00376C7F">
      <w:pPr>
        <w:rPr>
          <w:rFonts w:asciiTheme="majorBidi" w:hAnsiTheme="majorBidi" w:cstheme="majorBidi"/>
          <w:sz w:val="24"/>
          <w:szCs w:val="24"/>
        </w:rPr>
      </w:pPr>
      <w:r w:rsidRPr="00986305">
        <w:rPr>
          <w:rFonts w:asciiTheme="majorBidi" w:hAnsiTheme="majorBidi" w:cstheme="majorBidi"/>
          <w:sz w:val="24"/>
          <w:szCs w:val="24"/>
        </w:rPr>
        <w:t>O</w:t>
      </w:r>
      <w:r w:rsidR="00376C7F" w:rsidRPr="00986305">
        <w:rPr>
          <w:rFonts w:asciiTheme="majorBidi" w:hAnsiTheme="majorBidi" w:cstheme="majorBidi"/>
          <w:sz w:val="24"/>
          <w:szCs w:val="24"/>
        </w:rPr>
        <w:t>perati</w:t>
      </w:r>
      <w:r w:rsidRPr="00986305">
        <w:rPr>
          <w:rFonts w:asciiTheme="majorBidi" w:hAnsiTheme="majorBidi" w:cstheme="majorBidi"/>
          <w:sz w:val="24"/>
          <w:szCs w:val="24"/>
        </w:rPr>
        <w:t xml:space="preserve">on </w:t>
      </w:r>
      <w:r w:rsidR="00376C7F" w:rsidRPr="00986305">
        <w:rPr>
          <w:rFonts w:asciiTheme="majorBidi" w:hAnsiTheme="majorBidi" w:cstheme="majorBidi"/>
          <w:sz w:val="24"/>
          <w:szCs w:val="24"/>
        </w:rPr>
        <w:t>_</w:t>
      </w:r>
      <w:r w:rsidRPr="00986305">
        <w:rPr>
          <w:rFonts w:asciiTheme="majorBidi" w:hAnsiTheme="majorBidi" w:cstheme="majorBidi"/>
          <w:sz w:val="24"/>
          <w:szCs w:val="24"/>
        </w:rPr>
        <w:t>Temperature in Celsius =</w:t>
      </w:r>
      <w:r w:rsidR="00376C7F" w:rsidRPr="00986305">
        <w:rPr>
          <w:rFonts w:asciiTheme="majorBidi" w:hAnsiTheme="majorBidi" w:cstheme="majorBidi"/>
          <w:sz w:val="24"/>
          <w:szCs w:val="24"/>
        </w:rPr>
        <w:t xml:space="preserve"> 800.0          </w:t>
      </w:r>
    </w:p>
    <w:p w14:paraId="2AC02286" w14:textId="68957D50" w:rsidR="00376C7F" w:rsidRPr="00986305" w:rsidRDefault="00BF5BCD" w:rsidP="00376C7F">
      <w:pPr>
        <w:rPr>
          <w:rFonts w:asciiTheme="majorBidi" w:hAnsiTheme="majorBidi" w:cstheme="majorBidi"/>
          <w:sz w:val="24"/>
          <w:szCs w:val="24"/>
        </w:rPr>
      </w:pPr>
      <w:r w:rsidRPr="00986305">
        <w:rPr>
          <w:rFonts w:asciiTheme="majorBidi" w:hAnsiTheme="majorBidi" w:cstheme="majorBidi"/>
          <w:sz w:val="24"/>
          <w:szCs w:val="24"/>
        </w:rPr>
        <w:t>My stress Inventor Von Mises</w:t>
      </w:r>
      <w:r w:rsidR="00376C7F" w:rsidRPr="00986305">
        <w:rPr>
          <w:rFonts w:asciiTheme="majorBidi" w:hAnsiTheme="majorBidi" w:cstheme="majorBidi"/>
          <w:sz w:val="24"/>
          <w:szCs w:val="24"/>
        </w:rPr>
        <w:t xml:space="preserve"> = 14.57 (MPa)</w:t>
      </w:r>
    </w:p>
    <w:p w14:paraId="2068B31D" w14:textId="10A3A31C" w:rsidR="00376C7F" w:rsidRPr="00986305" w:rsidRDefault="00BF5BCD" w:rsidP="008D1241">
      <w:pPr>
        <w:rPr>
          <w:rFonts w:asciiTheme="majorBidi" w:hAnsiTheme="majorBidi" w:cstheme="majorBidi"/>
          <w:sz w:val="24"/>
          <w:szCs w:val="24"/>
        </w:rPr>
      </w:pPr>
      <w:r w:rsidRPr="00986305">
        <w:rPr>
          <w:rFonts w:asciiTheme="majorBidi" w:hAnsiTheme="majorBidi" w:cstheme="majorBidi"/>
          <w:sz w:val="24"/>
          <w:szCs w:val="24"/>
        </w:rPr>
        <w:t>C Stainless Steel =</w:t>
      </w:r>
      <w:r w:rsidR="00376C7F" w:rsidRPr="00986305">
        <w:rPr>
          <w:rFonts w:asciiTheme="majorBidi" w:hAnsiTheme="majorBidi" w:cstheme="majorBidi"/>
          <w:sz w:val="24"/>
          <w:szCs w:val="24"/>
        </w:rPr>
        <w:t xml:space="preserve"> 20.0                           </w:t>
      </w:r>
    </w:p>
    <w:p w14:paraId="44AF9CC3" w14:textId="0B07369E"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T</w:t>
      </w:r>
      <w:r w:rsidR="008D1241" w:rsidRPr="00986305">
        <w:rPr>
          <w:rFonts w:asciiTheme="majorBidi" w:hAnsiTheme="majorBidi" w:cstheme="majorBidi"/>
          <w:sz w:val="24"/>
          <w:szCs w:val="24"/>
        </w:rPr>
        <w:t xml:space="preserve">emperature in </w:t>
      </w:r>
      <w:r w:rsidRPr="00986305">
        <w:rPr>
          <w:rFonts w:asciiTheme="majorBidi" w:hAnsiTheme="majorBidi" w:cstheme="majorBidi"/>
          <w:sz w:val="24"/>
          <w:szCs w:val="24"/>
        </w:rPr>
        <w:t>_kelvin = operati</w:t>
      </w:r>
      <w:r w:rsidR="008D1241" w:rsidRPr="00986305">
        <w:rPr>
          <w:rFonts w:asciiTheme="majorBidi" w:hAnsiTheme="majorBidi" w:cstheme="majorBidi"/>
          <w:sz w:val="24"/>
          <w:szCs w:val="24"/>
        </w:rPr>
        <w:t xml:space="preserve">on </w:t>
      </w:r>
      <w:r w:rsidRPr="00986305">
        <w:rPr>
          <w:rFonts w:asciiTheme="majorBidi" w:hAnsiTheme="majorBidi" w:cstheme="majorBidi"/>
          <w:sz w:val="24"/>
          <w:szCs w:val="24"/>
        </w:rPr>
        <w:t>_temp</w:t>
      </w:r>
      <w:r w:rsidR="008D1241" w:rsidRPr="00986305">
        <w:rPr>
          <w:rFonts w:asciiTheme="majorBidi" w:hAnsiTheme="majorBidi" w:cstheme="majorBidi"/>
          <w:sz w:val="24"/>
          <w:szCs w:val="24"/>
        </w:rPr>
        <w:t xml:space="preserve">erature </w:t>
      </w:r>
      <w:r w:rsidRPr="00986305">
        <w:rPr>
          <w:rFonts w:asciiTheme="majorBidi" w:hAnsiTheme="majorBidi" w:cstheme="majorBidi"/>
          <w:sz w:val="24"/>
          <w:szCs w:val="24"/>
        </w:rPr>
        <w:t>_C + 273.15</w:t>
      </w:r>
    </w:p>
    <w:p w14:paraId="4AC473BB" w14:textId="507583CE" w:rsidR="00376C7F" w:rsidRPr="00986305" w:rsidRDefault="00376C7F" w:rsidP="008D1241">
      <w:pPr>
        <w:rPr>
          <w:rFonts w:asciiTheme="majorBidi" w:hAnsiTheme="majorBidi" w:cstheme="majorBidi"/>
          <w:sz w:val="24"/>
          <w:szCs w:val="24"/>
        </w:rPr>
      </w:pPr>
    </w:p>
    <w:p w14:paraId="6D98B455" w14:textId="4CB1A4F9" w:rsidR="00376C7F"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stress points</w:t>
      </w:r>
      <w:r w:rsidR="00376C7F" w:rsidRPr="00986305">
        <w:rPr>
          <w:rFonts w:asciiTheme="majorBidi" w:hAnsiTheme="majorBidi" w:cstheme="majorBidi"/>
          <w:sz w:val="24"/>
          <w:szCs w:val="24"/>
        </w:rPr>
        <w:t xml:space="preserve"> = np.array([5.0, 10.0, 20.0, 30.0, 50.0, 100.0, 150.0, 200.0])</w:t>
      </w:r>
    </w:p>
    <w:p w14:paraId="2B5CD5C7" w14:textId="6EB1BA28" w:rsidR="008D1241"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#Values of Lardon-Miller Parameter multiplied by 3</w:t>
      </w:r>
      <w:r w:rsidRPr="00986305">
        <w:rPr>
          <w:rFonts w:asciiTheme="majorBidi" w:hAnsiTheme="majorBidi" w:cstheme="majorBidi"/>
          <w:sz w:val="24"/>
          <w:szCs w:val="24"/>
          <w:rtl/>
        </w:rPr>
        <w:t>^</w:t>
      </w:r>
      <w:r w:rsidRPr="00986305">
        <w:rPr>
          <w:rFonts w:asciiTheme="majorBidi" w:hAnsiTheme="majorBidi" w:cstheme="majorBidi"/>
          <w:sz w:val="24"/>
          <w:szCs w:val="24"/>
        </w:rPr>
        <w:t xml:space="preserve">10  </w:t>
      </w:r>
    </w:p>
    <w:p w14:paraId="4E9CC20A" w14:textId="3345FCB6" w:rsidR="00376C7F" w:rsidRPr="00986305" w:rsidRDefault="00376C7F" w:rsidP="008D1241">
      <w:pPr>
        <w:rPr>
          <w:rFonts w:asciiTheme="majorBidi" w:hAnsiTheme="majorBidi" w:cstheme="majorBidi"/>
          <w:sz w:val="24"/>
          <w:szCs w:val="24"/>
        </w:rPr>
      </w:pPr>
      <w:r w:rsidRPr="00986305">
        <w:rPr>
          <w:rFonts w:asciiTheme="majorBidi" w:hAnsiTheme="majorBidi" w:cstheme="majorBidi"/>
          <w:sz w:val="24"/>
          <w:szCs w:val="24"/>
        </w:rPr>
        <w:t xml:space="preserve">lmp_points = </w:t>
      </w:r>
      <w:r w:rsidR="008D1241" w:rsidRPr="00986305">
        <w:rPr>
          <w:rFonts w:asciiTheme="majorBidi" w:hAnsiTheme="majorBidi" w:cstheme="majorBidi"/>
          <w:sz w:val="24"/>
          <w:szCs w:val="24"/>
        </w:rPr>
        <w:t>np. array (</w:t>
      </w:r>
      <w:r w:rsidRPr="00986305">
        <w:rPr>
          <w:rFonts w:asciiTheme="majorBidi" w:hAnsiTheme="majorBidi" w:cstheme="majorBidi"/>
          <w:sz w:val="24"/>
          <w:szCs w:val="24"/>
        </w:rPr>
        <w:t>[25.8, 24.5, 23.2, 22.4, 21.4, 20.0, 19.2, 18.5]) * 1000</w:t>
      </w:r>
    </w:p>
    <w:p w14:paraId="75C25BD7" w14:textId="32031317" w:rsidR="008D1241" w:rsidRPr="00986305" w:rsidRDefault="008D1241" w:rsidP="008D1241">
      <w:pPr>
        <w:jc w:val="both"/>
        <w:rPr>
          <w:rFonts w:asciiTheme="majorBidi" w:hAnsiTheme="majorBidi" w:cstheme="majorBidi"/>
          <w:sz w:val="24"/>
          <w:szCs w:val="24"/>
          <w:rtl/>
          <w:lang w:bidi="ar-EG"/>
        </w:rPr>
      </w:pPr>
      <w:r w:rsidRPr="00986305">
        <w:rPr>
          <w:rFonts w:asciiTheme="majorBidi" w:hAnsiTheme="majorBidi" w:cstheme="majorBidi"/>
          <w:sz w:val="24"/>
          <w:szCs w:val="24"/>
          <w:rtl/>
        </w:rPr>
        <w:t>#</w:t>
      </w:r>
      <w:r w:rsidRPr="00986305">
        <w:rPr>
          <w:rFonts w:asciiTheme="majorBidi" w:hAnsiTheme="majorBidi" w:cstheme="majorBidi"/>
          <w:sz w:val="24"/>
          <w:szCs w:val="24"/>
        </w:rPr>
        <w:t>To create a smooth and continuous curve (interpolation)</w:t>
      </w:r>
    </w:p>
    <w:p w14:paraId="42556094" w14:textId="7E1B5A48" w:rsidR="00376C7F" w:rsidRPr="00986305" w:rsidRDefault="008D1241" w:rsidP="00376C7F">
      <w:pPr>
        <w:rPr>
          <w:rFonts w:asciiTheme="majorBidi" w:hAnsiTheme="majorBidi" w:cstheme="majorBidi"/>
          <w:sz w:val="24"/>
          <w:szCs w:val="24"/>
        </w:rPr>
      </w:pPr>
      <w:r w:rsidRPr="00986305">
        <w:rPr>
          <w:rFonts w:asciiTheme="majorBidi" w:hAnsiTheme="majorBidi" w:cstheme="majorBidi"/>
          <w:sz w:val="24"/>
          <w:szCs w:val="24"/>
        </w:rPr>
        <w:t>stress range</w:t>
      </w:r>
      <w:r w:rsidR="00376C7F" w:rsidRPr="00986305">
        <w:rPr>
          <w:rFonts w:asciiTheme="majorBidi" w:hAnsiTheme="majorBidi" w:cstheme="majorBidi"/>
          <w:sz w:val="24"/>
          <w:szCs w:val="24"/>
        </w:rPr>
        <w:t xml:space="preserve"> = np.linspace(4.0, 200.0, 500)</w:t>
      </w:r>
    </w:p>
    <w:p w14:paraId="66687BA2" w14:textId="39CAE0B8" w:rsidR="00376C7F" w:rsidRPr="00986305" w:rsidRDefault="00376C7F" w:rsidP="001E79A7">
      <w:pPr>
        <w:rPr>
          <w:rFonts w:asciiTheme="majorBidi" w:hAnsiTheme="majorBidi" w:cstheme="majorBidi"/>
          <w:sz w:val="24"/>
          <w:szCs w:val="24"/>
        </w:rPr>
      </w:pPr>
      <w:r w:rsidRPr="00986305">
        <w:rPr>
          <w:rFonts w:asciiTheme="majorBidi" w:hAnsiTheme="majorBidi" w:cstheme="majorBidi"/>
          <w:sz w:val="24"/>
          <w:szCs w:val="24"/>
        </w:rPr>
        <w:t>lmp_range = np.interp(</w:t>
      </w:r>
      <w:r w:rsidR="008D1241" w:rsidRPr="00986305">
        <w:rPr>
          <w:rFonts w:asciiTheme="majorBidi" w:hAnsiTheme="majorBidi" w:cstheme="majorBidi"/>
          <w:sz w:val="24"/>
          <w:szCs w:val="24"/>
        </w:rPr>
        <w:t>stress range</w:t>
      </w:r>
      <w:r w:rsidRPr="00986305">
        <w:rPr>
          <w:rFonts w:asciiTheme="majorBidi" w:hAnsiTheme="majorBidi" w:cstheme="majorBidi"/>
          <w:sz w:val="24"/>
          <w:szCs w:val="24"/>
        </w:rPr>
        <w:t xml:space="preserve">, </w:t>
      </w:r>
      <w:r w:rsidR="008D1241" w:rsidRPr="00986305">
        <w:rPr>
          <w:rFonts w:asciiTheme="majorBidi" w:hAnsiTheme="majorBidi" w:cstheme="majorBidi"/>
          <w:sz w:val="24"/>
          <w:szCs w:val="24"/>
        </w:rPr>
        <w:t>stress points</w:t>
      </w:r>
      <w:r w:rsidRPr="00986305">
        <w:rPr>
          <w:rFonts w:asciiTheme="majorBidi" w:hAnsiTheme="majorBidi" w:cstheme="majorBidi"/>
          <w:sz w:val="24"/>
          <w:szCs w:val="24"/>
        </w:rPr>
        <w:t>, lmp_points)</w:t>
      </w:r>
    </w:p>
    <w:p w14:paraId="4F269254"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log10(t) = (LMP / T) - C</w:t>
      </w:r>
    </w:p>
    <w:p w14:paraId="15C877F6" w14:textId="09ECA6EC"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L</w:t>
      </w:r>
      <w:r w:rsidR="00376C7F" w:rsidRPr="00986305">
        <w:rPr>
          <w:rFonts w:asciiTheme="majorBidi" w:hAnsiTheme="majorBidi" w:cstheme="majorBidi"/>
          <w:sz w:val="24"/>
          <w:szCs w:val="24"/>
        </w:rPr>
        <w:t>og_time = (lmp_range / T_kelvin) - C</w:t>
      </w:r>
    </w:p>
    <w:p w14:paraId="3AA990D3" w14:textId="19A3D514" w:rsidR="00376C7F" w:rsidRPr="00986305" w:rsidRDefault="001E79A7" w:rsidP="001E79A7">
      <w:pPr>
        <w:rPr>
          <w:rFonts w:asciiTheme="majorBidi" w:hAnsiTheme="majorBidi" w:cstheme="majorBidi"/>
          <w:sz w:val="24"/>
          <w:szCs w:val="24"/>
        </w:rPr>
      </w:pPr>
      <w:r w:rsidRPr="00986305">
        <w:rPr>
          <w:rFonts w:asciiTheme="majorBidi" w:hAnsiTheme="majorBidi" w:cstheme="majorBidi"/>
          <w:sz w:val="24"/>
          <w:szCs w:val="24"/>
        </w:rPr>
        <w:t>T</w:t>
      </w:r>
      <w:r w:rsidR="00376C7F" w:rsidRPr="00986305">
        <w:rPr>
          <w:rFonts w:asciiTheme="majorBidi" w:hAnsiTheme="majorBidi" w:cstheme="majorBidi"/>
          <w:sz w:val="24"/>
          <w:szCs w:val="24"/>
        </w:rPr>
        <w:t>ime_to_rupture = 10**log_time</w:t>
      </w:r>
    </w:p>
    <w:p w14:paraId="5DF8D078" w14:textId="536352F1"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#Calculation of the precise Residual time for the stress value for your design (14.57 MPa)</w:t>
      </w:r>
    </w:p>
    <w:p w14:paraId="3EFFE42F" w14:textId="2BEAB7D0"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M</w:t>
      </w:r>
      <w:r w:rsidR="00376C7F" w:rsidRPr="00986305">
        <w:rPr>
          <w:rFonts w:asciiTheme="majorBidi" w:hAnsiTheme="majorBidi" w:cstheme="majorBidi"/>
          <w:sz w:val="24"/>
          <w:szCs w:val="24"/>
        </w:rPr>
        <w:t>y_</w:t>
      </w:r>
      <w:r w:rsidRPr="00986305">
        <w:rPr>
          <w:rFonts w:asciiTheme="majorBidi" w:hAnsiTheme="majorBidi" w:cstheme="majorBidi"/>
          <w:sz w:val="24"/>
          <w:szCs w:val="24"/>
        </w:rPr>
        <w:t>l</w:t>
      </w:r>
      <w:r w:rsidR="00376C7F" w:rsidRPr="00986305">
        <w:rPr>
          <w:rFonts w:asciiTheme="majorBidi" w:hAnsiTheme="majorBidi" w:cstheme="majorBidi"/>
          <w:sz w:val="24"/>
          <w:szCs w:val="24"/>
        </w:rPr>
        <w:t xml:space="preserve">mp = </w:t>
      </w:r>
      <w:r w:rsidRPr="00986305">
        <w:rPr>
          <w:rFonts w:asciiTheme="majorBidi" w:hAnsiTheme="majorBidi" w:cstheme="majorBidi"/>
          <w:sz w:val="24"/>
          <w:szCs w:val="24"/>
        </w:rPr>
        <w:t>np. interp (</w:t>
      </w:r>
      <w:r w:rsidR="00376C7F" w:rsidRPr="00986305">
        <w:rPr>
          <w:rFonts w:asciiTheme="majorBidi" w:hAnsiTheme="majorBidi" w:cstheme="majorBidi"/>
          <w:sz w:val="24"/>
          <w:szCs w:val="24"/>
        </w:rPr>
        <w:t xml:space="preserve">my_stress, </w:t>
      </w:r>
      <w:r w:rsidRPr="00986305">
        <w:rPr>
          <w:rFonts w:asciiTheme="majorBidi" w:hAnsiTheme="majorBidi" w:cstheme="majorBidi"/>
          <w:sz w:val="24"/>
          <w:szCs w:val="24"/>
        </w:rPr>
        <w:t>stress points</w:t>
      </w:r>
      <w:r w:rsidR="00376C7F" w:rsidRPr="00986305">
        <w:rPr>
          <w:rFonts w:asciiTheme="majorBidi" w:hAnsiTheme="majorBidi" w:cstheme="majorBidi"/>
          <w:sz w:val="24"/>
          <w:szCs w:val="24"/>
        </w:rPr>
        <w:t>, lmp_points)</w:t>
      </w:r>
    </w:p>
    <w:p w14:paraId="79E1B23E" w14:textId="7ABF6B4F"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M</w:t>
      </w:r>
      <w:r w:rsidR="00376C7F" w:rsidRPr="00986305">
        <w:rPr>
          <w:rFonts w:asciiTheme="majorBidi" w:hAnsiTheme="majorBidi" w:cstheme="majorBidi"/>
          <w:sz w:val="24"/>
          <w:szCs w:val="24"/>
        </w:rPr>
        <w:t>y_log_time = (my_lmp / T_kelvin) - C</w:t>
      </w:r>
    </w:p>
    <w:p w14:paraId="627FE630" w14:textId="331B83A7"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My</w:t>
      </w:r>
      <w:r w:rsidR="00376C7F" w:rsidRPr="00986305">
        <w:rPr>
          <w:rFonts w:asciiTheme="majorBidi" w:hAnsiTheme="majorBidi" w:cstheme="majorBidi"/>
          <w:sz w:val="24"/>
          <w:szCs w:val="24"/>
        </w:rPr>
        <w:t>_time_to_rupture = 10**my_log_time</w:t>
      </w:r>
    </w:p>
    <w:p w14:paraId="5FAEAE68" w14:textId="77777777" w:rsidR="00376C7F" w:rsidRPr="00986305" w:rsidRDefault="00376C7F" w:rsidP="00376C7F">
      <w:pPr>
        <w:rPr>
          <w:rFonts w:asciiTheme="majorBidi" w:hAnsiTheme="majorBidi" w:cstheme="majorBidi"/>
          <w:sz w:val="24"/>
          <w:szCs w:val="24"/>
        </w:rPr>
      </w:pPr>
    </w:p>
    <w:p w14:paraId="4F680AA9" w14:textId="1D4FA9B5"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 xml:space="preserve">#Printing the digital result in the outputs screen </w:t>
      </w:r>
    </w:p>
    <w:p w14:paraId="159DF5CA" w14:textId="232B5966"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 * 50)</w:t>
      </w:r>
    </w:p>
    <w:p w14:paraId="032CA9E2" w14:textId="5C7C56EC" w:rsidR="001E79A7"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(f"--- The results of predicting the residual age for the combustion chamber ---")</w:t>
      </w:r>
    </w:p>
    <w:p w14:paraId="3F1840B8" w14:textId="0B7E7EA6"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f"</w:t>
      </w:r>
      <w:r w:rsidRPr="00986305">
        <w:rPr>
          <w:rFonts w:asciiTheme="majorBidi" w:hAnsiTheme="majorBidi" w:cstheme="majorBidi"/>
          <w:sz w:val="24"/>
          <w:szCs w:val="24"/>
        </w:rPr>
        <w:t>the designed Von Mises Stress:</w:t>
      </w:r>
      <w:r w:rsidR="00376C7F" w:rsidRPr="00986305">
        <w:rPr>
          <w:rFonts w:asciiTheme="majorBidi" w:hAnsiTheme="majorBidi" w:cstheme="majorBidi"/>
          <w:sz w:val="24"/>
          <w:szCs w:val="24"/>
        </w:rPr>
        <w:t xml:space="preserve"> {my_stress} MPa")</w:t>
      </w:r>
    </w:p>
    <w:p w14:paraId="2077B35B" w14:textId="52894B25"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(operation Temperature:</w:t>
      </w:r>
      <w:r w:rsidR="00376C7F" w:rsidRPr="00986305">
        <w:rPr>
          <w:rFonts w:asciiTheme="majorBidi" w:hAnsiTheme="majorBidi" w:cstheme="majorBidi"/>
          <w:sz w:val="24"/>
          <w:szCs w:val="24"/>
        </w:rPr>
        <w:t xml:space="preserve"> {operati</w:t>
      </w:r>
      <w:r w:rsidRPr="00986305">
        <w:rPr>
          <w:rFonts w:asciiTheme="majorBidi" w:hAnsiTheme="majorBidi" w:cstheme="majorBidi"/>
          <w:sz w:val="24"/>
          <w:szCs w:val="24"/>
        </w:rPr>
        <w:t>on</w:t>
      </w:r>
      <w:r w:rsidR="00376C7F" w:rsidRPr="00986305">
        <w:rPr>
          <w:rFonts w:asciiTheme="majorBidi" w:hAnsiTheme="majorBidi" w:cstheme="majorBidi"/>
          <w:sz w:val="24"/>
          <w:szCs w:val="24"/>
        </w:rPr>
        <w:t>_temp_C} °C")</w:t>
      </w:r>
    </w:p>
    <w:p w14:paraId="2B285BBD" w14:textId="2D8C1070" w:rsidR="00376C7F" w:rsidRPr="00986305" w:rsidRDefault="001E79A7" w:rsidP="00376C7F">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f"</w:t>
      </w:r>
      <w:r w:rsidR="00B46C71" w:rsidRPr="00986305">
        <w:rPr>
          <w:rFonts w:asciiTheme="majorBidi" w:hAnsiTheme="majorBidi" w:cstheme="majorBidi"/>
          <w:sz w:val="24"/>
          <w:szCs w:val="24"/>
        </w:rPr>
        <w:t xml:space="preserve"> Rupture Prediction Life time:</w:t>
      </w:r>
      <w:r w:rsidR="00376C7F" w:rsidRPr="00986305">
        <w:rPr>
          <w:rFonts w:asciiTheme="majorBidi" w:hAnsiTheme="majorBidi" w:cstheme="majorBidi"/>
          <w:sz w:val="24"/>
          <w:szCs w:val="24"/>
        </w:rPr>
        <w:t xml:space="preserve"> {my_time_to_rupture:,.1f} ")</w:t>
      </w:r>
    </w:p>
    <w:p w14:paraId="25313511" w14:textId="1CC4ABB2" w:rsidR="00376C7F" w:rsidRPr="00986305" w:rsidRDefault="00B46C71" w:rsidP="00B46C71">
      <w:pPr>
        <w:rPr>
          <w:rFonts w:asciiTheme="majorBidi" w:hAnsiTheme="majorBidi" w:cstheme="majorBidi"/>
          <w:sz w:val="24"/>
          <w:szCs w:val="24"/>
        </w:rPr>
      </w:pPr>
      <w:r w:rsidRPr="00986305">
        <w:rPr>
          <w:rFonts w:asciiTheme="majorBidi" w:hAnsiTheme="majorBidi" w:cstheme="majorBidi"/>
          <w:sz w:val="24"/>
          <w:szCs w:val="24"/>
        </w:rPr>
        <w:t>print (</w:t>
      </w:r>
      <w:r w:rsidR="00376C7F" w:rsidRPr="00986305">
        <w:rPr>
          <w:rFonts w:asciiTheme="majorBidi" w:hAnsiTheme="majorBidi" w:cstheme="majorBidi"/>
          <w:sz w:val="24"/>
          <w:szCs w:val="24"/>
        </w:rPr>
        <w:t>"-" * 50)</w:t>
      </w:r>
    </w:p>
    <w:p w14:paraId="6BCD9268" w14:textId="3FF6FE50"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(Stress vs. Time to Rupture)</w:t>
      </w:r>
    </w:p>
    <w:p w14:paraId="08F2E329" w14:textId="0ADCA77D" w:rsidR="00376C7F" w:rsidRPr="00986305" w:rsidRDefault="00B46C71" w:rsidP="00B46C71">
      <w:pPr>
        <w:rPr>
          <w:rFonts w:asciiTheme="majorBidi" w:hAnsiTheme="majorBidi" w:cstheme="majorBidi"/>
          <w:sz w:val="24"/>
          <w:szCs w:val="24"/>
        </w:rPr>
      </w:pPr>
      <w:r w:rsidRPr="00986305">
        <w:rPr>
          <w:rFonts w:asciiTheme="majorBidi" w:hAnsiTheme="majorBidi" w:cstheme="majorBidi"/>
          <w:sz w:val="24"/>
          <w:szCs w:val="24"/>
        </w:rPr>
        <w:t>plt. Figure (</w:t>
      </w:r>
      <w:r w:rsidR="00376C7F" w:rsidRPr="00986305">
        <w:rPr>
          <w:rFonts w:asciiTheme="majorBidi" w:hAnsiTheme="majorBidi" w:cstheme="majorBidi"/>
          <w:sz w:val="24"/>
          <w:szCs w:val="24"/>
        </w:rPr>
        <w:t>figsize</w:t>
      </w:r>
      <w:r w:rsidRPr="00986305">
        <w:rPr>
          <w:rFonts w:asciiTheme="majorBidi" w:hAnsiTheme="majorBidi" w:cstheme="majorBidi"/>
          <w:sz w:val="24"/>
          <w:szCs w:val="24"/>
        </w:rPr>
        <w:t>= (</w:t>
      </w:r>
      <w:r w:rsidR="00376C7F" w:rsidRPr="00986305">
        <w:rPr>
          <w:rFonts w:asciiTheme="majorBidi" w:hAnsiTheme="majorBidi" w:cstheme="majorBidi"/>
          <w:sz w:val="24"/>
          <w:szCs w:val="24"/>
        </w:rPr>
        <w:t>10, 6))</w:t>
      </w:r>
    </w:p>
    <w:p w14:paraId="7F3D7D86" w14:textId="6F50B9A9"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#Drawing the basic curve for the material </w:t>
      </w:r>
    </w:p>
    <w:p w14:paraId="7790F4A3" w14:textId="2BB2EBE5" w:rsidR="00376C7F" w:rsidRPr="00986305" w:rsidRDefault="00B46C71" w:rsidP="00B46C71">
      <w:pPr>
        <w:rPr>
          <w:rFonts w:asciiTheme="majorBidi" w:hAnsiTheme="majorBidi" w:cstheme="majorBidi"/>
          <w:sz w:val="24"/>
          <w:szCs w:val="24"/>
        </w:rPr>
      </w:pPr>
      <w:r w:rsidRPr="00986305">
        <w:rPr>
          <w:rFonts w:asciiTheme="majorBidi" w:hAnsiTheme="majorBidi" w:cstheme="majorBidi"/>
          <w:sz w:val="24"/>
          <w:szCs w:val="24"/>
        </w:rPr>
        <w:t>plt. Plot (</w:t>
      </w:r>
      <w:r w:rsidR="00376C7F" w:rsidRPr="00986305">
        <w:rPr>
          <w:rFonts w:asciiTheme="majorBidi" w:hAnsiTheme="majorBidi" w:cstheme="majorBidi"/>
          <w:sz w:val="24"/>
          <w:szCs w:val="24"/>
        </w:rPr>
        <w:t xml:space="preserve">time_to_rupture, </w:t>
      </w:r>
      <w:r w:rsidRPr="00986305">
        <w:rPr>
          <w:rFonts w:asciiTheme="majorBidi" w:hAnsiTheme="majorBidi" w:cstheme="majorBidi"/>
          <w:sz w:val="24"/>
          <w:szCs w:val="24"/>
        </w:rPr>
        <w:t>stress range</w:t>
      </w:r>
      <w:r w:rsidR="00376C7F" w:rsidRPr="00986305">
        <w:rPr>
          <w:rFonts w:asciiTheme="majorBidi" w:hAnsiTheme="majorBidi" w:cstheme="majorBidi"/>
          <w:sz w:val="24"/>
          <w:szCs w:val="24"/>
        </w:rPr>
        <w:t>, '-', color='#1f77b4', linewidth=2.5, label=f'SS316/304 Rupture Curve @ {</w:t>
      </w:r>
      <w:r w:rsidRPr="00986305">
        <w:rPr>
          <w:rFonts w:asciiTheme="majorBidi" w:hAnsiTheme="majorBidi" w:cstheme="majorBidi"/>
          <w:sz w:val="24"/>
          <w:szCs w:val="24"/>
        </w:rPr>
        <w:t xml:space="preserve">operation </w:t>
      </w:r>
      <w:r w:rsidR="00376C7F" w:rsidRPr="00986305">
        <w:rPr>
          <w:rFonts w:asciiTheme="majorBidi" w:hAnsiTheme="majorBidi" w:cstheme="majorBidi"/>
          <w:sz w:val="24"/>
          <w:szCs w:val="24"/>
        </w:rPr>
        <w:t>_temp_C}°C')</w:t>
      </w:r>
    </w:p>
    <w:p w14:paraId="385F00D7" w14:textId="46090E9A"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#Placing your design point on the curve </w:t>
      </w:r>
    </w:p>
    <w:p w14:paraId="74E89DDC"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plt.plot(my_time_to_rupture, my_stress, 'ro', markersize=8, label=f'Your Design ({my_stress} MPa)')</w:t>
      </w:r>
    </w:p>
    <w:p w14:paraId="1AFCF391" w14:textId="77777777" w:rsidR="00376C7F" w:rsidRPr="00986305" w:rsidRDefault="00376C7F" w:rsidP="00376C7F">
      <w:pPr>
        <w:rPr>
          <w:rFonts w:asciiTheme="majorBidi" w:hAnsiTheme="majorBidi" w:cstheme="majorBidi"/>
          <w:sz w:val="24"/>
          <w:szCs w:val="24"/>
        </w:rPr>
      </w:pPr>
    </w:p>
    <w:p w14:paraId="3508438C" w14:textId="10DBD0D6"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#Drawing crossed instructing lines for the design point </w:t>
      </w:r>
    </w:p>
    <w:p w14:paraId="4F6BF088"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plt.axhline(y=my_stress, color='r', linestyle=':', alpha=0.6)</w:t>
      </w:r>
    </w:p>
    <w:p w14:paraId="7F3C342E" w14:textId="5BE7566A" w:rsidR="00376C7F" w:rsidRPr="00986305" w:rsidRDefault="00376C7F" w:rsidP="00B46C71">
      <w:pPr>
        <w:rPr>
          <w:rFonts w:asciiTheme="majorBidi" w:hAnsiTheme="majorBidi" w:cstheme="majorBidi"/>
          <w:sz w:val="24"/>
          <w:szCs w:val="24"/>
        </w:rPr>
      </w:pPr>
      <w:r w:rsidRPr="00986305">
        <w:rPr>
          <w:rFonts w:asciiTheme="majorBidi" w:hAnsiTheme="majorBidi" w:cstheme="majorBidi"/>
          <w:sz w:val="24"/>
          <w:szCs w:val="24"/>
        </w:rPr>
        <w:t>plt.axvline(x=my_time_to_rupture, color='r', linestyle=':', alpha=0.6)</w:t>
      </w:r>
    </w:p>
    <w:p w14:paraId="06D12E74"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xml:space="preserve">plt.text(my_time_to_rupture * 1.5, my_stress * 1.2, </w:t>
      </w:r>
    </w:p>
    <w:p w14:paraId="21EFC4A6"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xml:space="preserve">         f"RUL ~ {my_time_to_rupture:,.0f} Hours\n(~ {my_time_to_rupture/(24*365):.1f} Years)", </w:t>
      </w:r>
    </w:p>
    <w:p w14:paraId="75BC9A18" w14:textId="54EB14F2" w:rsidR="00376C7F" w:rsidRPr="00986305" w:rsidRDefault="00376C7F" w:rsidP="00B46C71">
      <w:pPr>
        <w:rPr>
          <w:rFonts w:asciiTheme="majorBidi" w:hAnsiTheme="majorBidi" w:cstheme="majorBidi"/>
          <w:sz w:val="24"/>
          <w:szCs w:val="24"/>
        </w:rPr>
      </w:pPr>
      <w:r w:rsidRPr="00986305">
        <w:rPr>
          <w:rFonts w:asciiTheme="majorBidi" w:hAnsiTheme="majorBidi" w:cstheme="majorBidi"/>
          <w:sz w:val="24"/>
          <w:szCs w:val="24"/>
        </w:rPr>
        <w:t xml:space="preserve">         color='black', weight='bold', bbox=dict(facecolor='yellow', alpha=0.3))</w:t>
      </w:r>
    </w:p>
    <w:p w14:paraId="07E399F6" w14:textId="57AB148F" w:rsidR="00B46C71" w:rsidRPr="00986305" w:rsidRDefault="00B46C71" w:rsidP="00376C7F">
      <w:pPr>
        <w:rPr>
          <w:rFonts w:asciiTheme="majorBidi" w:hAnsiTheme="majorBidi" w:cstheme="majorBidi"/>
          <w:sz w:val="24"/>
          <w:szCs w:val="24"/>
        </w:rPr>
      </w:pPr>
      <w:r w:rsidRPr="00986305">
        <w:rPr>
          <w:rFonts w:asciiTheme="majorBidi" w:hAnsiTheme="majorBidi" w:cstheme="majorBidi"/>
          <w:sz w:val="24"/>
          <w:szCs w:val="24"/>
        </w:rPr>
        <w:t xml:space="preserve">#Coordinating the drawing axis and the log. settings </w:t>
      </w:r>
    </w:p>
    <w:p w14:paraId="7A57DF72"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plt.xscale('log')</w:t>
      </w:r>
    </w:p>
    <w:p w14:paraId="18240FDA"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plt.grid(True, which="both", linestyle="--", alpha=0.5)</w:t>
      </w:r>
    </w:p>
    <w:p w14:paraId="3A80E65A"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plt.title('Creep Life Prediction using Larson-Miller Parameter (LMP)', fontsize=12, weight='bold')</w:t>
      </w:r>
    </w:p>
    <w:p w14:paraId="7E11E175"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plt.xlabel('Time to Rupture, $t_r$ (Hours) - Log Scale', fontsize=11)</w:t>
      </w:r>
    </w:p>
    <w:p w14:paraId="0F0352BF"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plt.ylabel('Von Mises Stress, $\sigma_v$ (MPa)', fontsize=11)</w:t>
      </w:r>
    </w:p>
    <w:p w14:paraId="0AB8DD7B" w14:textId="2AB2503E" w:rsidR="00B46C71" w:rsidRPr="00986305" w:rsidRDefault="00376C7F" w:rsidP="00B46C71">
      <w:pPr>
        <w:rPr>
          <w:rFonts w:asciiTheme="majorBidi" w:hAnsiTheme="majorBidi" w:cstheme="majorBidi"/>
          <w:sz w:val="24"/>
          <w:szCs w:val="24"/>
        </w:rPr>
      </w:pPr>
      <w:r w:rsidRPr="00986305">
        <w:rPr>
          <w:rFonts w:asciiTheme="majorBidi" w:hAnsiTheme="majorBidi" w:cstheme="majorBidi"/>
          <w:sz w:val="24"/>
          <w:szCs w:val="24"/>
        </w:rPr>
        <w:t>plt.xlim(10, 1e6) #</w:t>
      </w:r>
      <w:r w:rsidR="00B46C71" w:rsidRPr="00986305">
        <w:rPr>
          <w:rFonts w:asciiTheme="majorBidi" w:hAnsiTheme="majorBidi" w:cstheme="majorBidi"/>
          <w:sz w:val="24"/>
          <w:szCs w:val="24"/>
        </w:rPr>
        <w:t xml:space="preserve"> the zone show from 10 hours to million hours </w:t>
      </w:r>
    </w:p>
    <w:p w14:paraId="08C6C1D6"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plt.ylim(0, 120)</w:t>
      </w:r>
    </w:p>
    <w:p w14:paraId="40CABCE0" w14:textId="15BD126C" w:rsidR="00376C7F" w:rsidRPr="00986305" w:rsidRDefault="00376C7F" w:rsidP="00B46C71">
      <w:pPr>
        <w:rPr>
          <w:rFonts w:asciiTheme="majorBidi" w:hAnsiTheme="majorBidi" w:cstheme="majorBidi"/>
          <w:sz w:val="24"/>
          <w:szCs w:val="24"/>
        </w:rPr>
      </w:pPr>
      <w:r w:rsidRPr="00986305">
        <w:rPr>
          <w:rFonts w:asciiTheme="majorBidi" w:hAnsiTheme="majorBidi" w:cstheme="majorBidi"/>
          <w:sz w:val="24"/>
          <w:szCs w:val="24"/>
        </w:rPr>
        <w:t>plt.legend(loc='upper right')</w:t>
      </w:r>
    </w:p>
    <w:p w14:paraId="3CBCBAA9" w14:textId="30BC7981"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 xml:space="preserve"># </w:t>
      </w:r>
      <w:r w:rsidR="00B46C71" w:rsidRPr="00986305">
        <w:rPr>
          <w:rFonts w:asciiTheme="majorBidi" w:hAnsiTheme="majorBidi" w:cstheme="majorBidi"/>
          <w:sz w:val="24"/>
          <w:szCs w:val="24"/>
        </w:rPr>
        <w:t xml:space="preserve">the diagram show </w:t>
      </w:r>
    </w:p>
    <w:p w14:paraId="2F51C4B4"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plt.tight_layout()</w:t>
      </w:r>
    </w:p>
    <w:p w14:paraId="6EF40906" w14:textId="77777777" w:rsidR="00376C7F" w:rsidRPr="00986305" w:rsidRDefault="00376C7F" w:rsidP="00376C7F">
      <w:pPr>
        <w:rPr>
          <w:rFonts w:asciiTheme="majorBidi" w:hAnsiTheme="majorBidi" w:cstheme="majorBidi"/>
          <w:sz w:val="24"/>
          <w:szCs w:val="24"/>
        </w:rPr>
      </w:pPr>
      <w:r w:rsidRPr="00986305">
        <w:rPr>
          <w:rFonts w:asciiTheme="majorBidi" w:hAnsiTheme="majorBidi" w:cstheme="majorBidi"/>
          <w:sz w:val="24"/>
          <w:szCs w:val="24"/>
        </w:rPr>
        <w:t>plt.show()</w:t>
      </w:r>
    </w:p>
    <w:p w14:paraId="726AC0BB" w14:textId="77777777" w:rsidR="007A28FD" w:rsidRPr="00986305" w:rsidRDefault="007A28FD" w:rsidP="00125619">
      <w:pPr>
        <w:rPr>
          <w:rFonts w:asciiTheme="majorBidi" w:hAnsiTheme="majorBidi" w:cstheme="majorBidi"/>
          <w:sz w:val="24"/>
          <w:szCs w:val="24"/>
        </w:rPr>
      </w:pPr>
    </w:p>
    <w:p w14:paraId="5722886C" w14:textId="77777777" w:rsidR="00314A57" w:rsidRPr="00986305" w:rsidRDefault="00000000" w:rsidP="00E934DF">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7">
          <v:rect id="_x0000_i1029" style="width:468pt;height:1.5pt" o:hralign="center" o:hrstd="t" o:hr="t" fillcolor="#a0a0a0" stroked="f"/>
        </w:pict>
      </w:r>
    </w:p>
    <w:p w14:paraId="5722886D" w14:textId="77777777" w:rsidR="00E934DF" w:rsidRPr="00986305" w:rsidRDefault="00E934DF" w:rsidP="00E934DF">
      <w:pPr>
        <w:spacing w:after="0"/>
        <w:jc w:val="center"/>
        <w:rPr>
          <w:rFonts w:asciiTheme="majorBidi" w:eastAsia="Times New Roman" w:hAnsiTheme="majorBidi" w:cstheme="majorBidi"/>
          <w:sz w:val="24"/>
          <w:szCs w:val="24"/>
        </w:rPr>
      </w:pPr>
    </w:p>
    <w:p w14:paraId="774BEAC0" w14:textId="424C72CF" w:rsidR="00F96DE7"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 </w:t>
      </w:r>
      <w:r w:rsidR="00F96DE7">
        <w:rPr>
          <w:rFonts w:asciiTheme="majorBidi" w:hAnsiTheme="majorBidi" w:cstheme="majorBidi"/>
          <w:b/>
          <w:bCs/>
          <w:sz w:val="24"/>
          <w:szCs w:val="24"/>
        </w:rPr>
        <w:t xml:space="preserve">Chemical Reaction </w:t>
      </w:r>
      <w:r w:rsidR="007368F7">
        <w:rPr>
          <w:rFonts w:asciiTheme="majorBidi" w:hAnsiTheme="majorBidi" w:cstheme="majorBidi"/>
          <w:b/>
          <w:bCs/>
          <w:sz w:val="24"/>
          <w:szCs w:val="24"/>
        </w:rPr>
        <w:t xml:space="preserve">at Combustion Chamber </w:t>
      </w:r>
      <w:r w:rsidR="000B30E9">
        <w:rPr>
          <w:rFonts w:asciiTheme="majorBidi" w:hAnsiTheme="majorBidi" w:cstheme="majorBidi"/>
          <w:b/>
          <w:bCs/>
          <w:sz w:val="24"/>
          <w:szCs w:val="24"/>
        </w:rPr>
        <w:t>:</w:t>
      </w:r>
    </w:p>
    <w:p w14:paraId="76FEC425" w14:textId="5A2CAE62" w:rsidR="00F96DE7" w:rsidRDefault="000B30E9"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72F4CA0E" wp14:editId="6192DCC7">
            <wp:extent cx="5944235" cy="4304030"/>
            <wp:effectExtent l="0" t="0" r="0" b="1270"/>
            <wp:docPr id="7421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235" cy="4304030"/>
                    </a:xfrm>
                    <a:prstGeom prst="rect">
                      <a:avLst/>
                    </a:prstGeom>
                    <a:noFill/>
                  </pic:spPr>
                </pic:pic>
              </a:graphicData>
            </a:graphic>
          </wp:inline>
        </w:drawing>
      </w:r>
    </w:p>
    <w:p w14:paraId="1607A110" w14:textId="698B51FD" w:rsidR="00174E20" w:rsidRDefault="00174E20"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E8D4672" wp14:editId="1FA72035">
            <wp:extent cx="5944235" cy="4194175"/>
            <wp:effectExtent l="0" t="0" r="0" b="0"/>
            <wp:docPr id="205739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235" cy="4194175"/>
                    </a:xfrm>
                    <a:prstGeom prst="rect">
                      <a:avLst/>
                    </a:prstGeom>
                    <a:noFill/>
                  </pic:spPr>
                </pic:pic>
              </a:graphicData>
            </a:graphic>
          </wp:inline>
        </w:drawing>
      </w:r>
    </w:p>
    <w:p w14:paraId="657C1F24" w14:textId="56C1A5DC" w:rsidR="00174E20" w:rsidRDefault="002279BD"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4F8250F8" wp14:editId="2A429101">
            <wp:extent cx="5944235" cy="3767455"/>
            <wp:effectExtent l="0" t="0" r="0" b="4445"/>
            <wp:docPr id="157676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3767455"/>
                    </a:xfrm>
                    <a:prstGeom prst="rect">
                      <a:avLst/>
                    </a:prstGeom>
                    <a:noFill/>
                  </pic:spPr>
                </pic:pic>
              </a:graphicData>
            </a:graphic>
          </wp:inline>
        </w:drawing>
      </w:r>
    </w:p>
    <w:p w14:paraId="45EB89BF" w14:textId="147AF28E" w:rsidR="002279BD" w:rsidRDefault="009672F2" w:rsidP="003F65E2">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580B962" wp14:editId="4A4D59CD">
            <wp:extent cx="5944235" cy="2566670"/>
            <wp:effectExtent l="0" t="0" r="0" b="5080"/>
            <wp:docPr id="19755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235" cy="2566670"/>
                    </a:xfrm>
                    <a:prstGeom prst="rect">
                      <a:avLst/>
                    </a:prstGeom>
                    <a:noFill/>
                  </pic:spPr>
                </pic:pic>
              </a:graphicData>
            </a:graphic>
          </wp:inline>
        </w:drawing>
      </w:r>
    </w:p>
    <w:p w14:paraId="72B9F893" w14:textId="06BA2096" w:rsidR="0090790F" w:rsidRDefault="00000000" w:rsidP="003F65E2">
      <w:pPr>
        <w:rPr>
          <w:rFonts w:asciiTheme="majorBidi" w:hAnsiTheme="majorBidi" w:cstheme="majorBidi"/>
          <w:b/>
          <w:bCs/>
          <w:sz w:val="24"/>
          <w:szCs w:val="24"/>
        </w:rPr>
      </w:pPr>
      <w:r>
        <w:rPr>
          <w:rFonts w:asciiTheme="majorBidi" w:eastAsia="Times New Roman" w:hAnsiTheme="majorBidi" w:cstheme="majorBidi"/>
          <w:sz w:val="24"/>
          <w:szCs w:val="24"/>
        </w:rPr>
        <w:pict w14:anchorId="17FE02B2">
          <v:rect id="_x0000_i1030" style="width:468pt;height:1.5pt" o:hralign="center" o:hrstd="t" o:hr="t" fillcolor="#a0a0a0" stroked="f"/>
        </w:pict>
      </w:r>
    </w:p>
    <w:p w14:paraId="690C8AC9" w14:textId="482E1406" w:rsidR="001707DA" w:rsidRDefault="00527118" w:rsidP="003F65E2">
      <w:pPr>
        <w:rPr>
          <w:rFonts w:asciiTheme="majorBidi" w:hAnsiTheme="majorBidi" w:cstheme="majorBidi"/>
          <w:b/>
          <w:bCs/>
          <w:sz w:val="24"/>
          <w:szCs w:val="24"/>
          <w:rtl/>
        </w:rPr>
      </w:pPr>
      <w:r>
        <w:rPr>
          <w:rFonts w:asciiTheme="majorBidi" w:hAnsiTheme="majorBidi" w:cstheme="majorBidi"/>
          <w:b/>
          <w:bCs/>
          <w:sz w:val="24"/>
          <w:szCs w:val="24"/>
        </w:rPr>
        <w:t xml:space="preserve">Boundary Condition </w:t>
      </w:r>
      <w:r w:rsidR="00D705E0">
        <w:rPr>
          <w:rFonts w:asciiTheme="majorBidi" w:hAnsiTheme="majorBidi" w:cstheme="majorBidi"/>
          <w:b/>
          <w:bCs/>
          <w:sz w:val="24"/>
          <w:szCs w:val="24"/>
        </w:rPr>
        <w:t>and Validation Model :</w:t>
      </w:r>
    </w:p>
    <w:p w14:paraId="08032129" w14:textId="2134D627" w:rsidR="0073616C" w:rsidRPr="0073616C" w:rsidRDefault="0073616C" w:rsidP="0073616C">
      <w:pPr>
        <w:rPr>
          <w:rFonts w:asciiTheme="majorBidi" w:hAnsiTheme="majorBidi" w:cstheme="majorBidi"/>
          <w:b/>
          <w:bCs/>
          <w:sz w:val="24"/>
          <w:szCs w:val="24"/>
        </w:rPr>
      </w:pPr>
      <w:r w:rsidRPr="0073616C">
        <w:rPr>
          <w:rFonts w:asciiTheme="majorBidi" w:hAnsiTheme="majorBidi" w:cstheme="majorBidi"/>
          <w:b/>
          <w:bCs/>
          <w:sz w:val="24"/>
          <w:szCs w:val="24"/>
        </w:rPr>
        <w:t>To establish a kinematically stable numerical simulation and evaluate the severe thermo-mechanical stresses, a well-defined set of boundary conditions and kinematic constraints was instituted. As systematically summarized in Table 1 and illustrated in the computational domain configurations, the primary structural boundary condition involves a rigid anchorage designated as Fixed Constraint:1. This constraint was prescribed on the main circular mounting flange interface (as depicted in the respective highlighted faces). By setting all translational and rotational degrees of freedom to absolute zero (U_x = U_y = U_z = 0</w:t>
      </w:r>
      <w:r>
        <w:rPr>
          <w:rFonts w:asciiTheme="majorBidi" w:hAnsiTheme="majorBidi" w:cstheme="majorBidi"/>
          <w:b/>
          <w:bCs/>
          <w:sz w:val="24"/>
          <w:szCs w:val="24"/>
        </w:rPr>
        <w:t xml:space="preserve"> </w:t>
      </w:r>
      <w:r w:rsidRPr="0073616C">
        <w:rPr>
          <w:rFonts w:asciiTheme="majorBidi" w:hAnsiTheme="majorBidi" w:cstheme="majorBidi"/>
          <w:b/>
          <w:bCs/>
          <w:sz w:val="24"/>
          <w:szCs w:val="24"/>
        </w:rPr>
        <w:t xml:space="preserve">and </w:t>
      </w:r>
      <m:oMath>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y</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θ</m:t>
            </m:r>
          </m:e>
          <m:sub>
            <m:r>
              <w:rPr>
                <w:rFonts w:ascii="Cambria Math" w:hAnsi="Cambria Math" w:cstheme="majorBidi"/>
                <w:sz w:val="24"/>
                <w:szCs w:val="24"/>
              </w:rPr>
              <m:t>z</m:t>
            </m:r>
          </m:sub>
        </m:sSub>
        <m:r>
          <w:rPr>
            <w:rFonts w:ascii="Cambria Math" w:hAnsi="Cambria Math" w:cstheme="majorBidi"/>
            <w:sz w:val="24"/>
            <w:szCs w:val="24"/>
          </w:rPr>
          <m:t>=0</m:t>
        </m:r>
      </m:oMath>
      <w:r w:rsidRPr="0073616C">
        <w:rPr>
          <w:rFonts w:asciiTheme="majorBidi" w:hAnsiTheme="majorBidi" w:cstheme="majorBidi"/>
          <w:b/>
          <w:bCs/>
          <w:sz w:val="24"/>
          <w:szCs w:val="24"/>
        </w:rPr>
        <w:t>), any rigid body translation or rotation was strictly eliminated, effectively replicating the physical bolted connection of the component within the assembly.</w:t>
      </w:r>
    </w:p>
    <w:p w14:paraId="7B1BCA0E" w14:textId="62493C14" w:rsidR="0073616C" w:rsidRPr="0073616C" w:rsidRDefault="0073616C" w:rsidP="0073616C">
      <w:pPr>
        <w:rPr>
          <w:rFonts w:asciiTheme="majorBidi" w:hAnsiTheme="majorBidi" w:cstheme="majorBidi" w:hint="cs"/>
          <w:b/>
          <w:bCs/>
          <w:sz w:val="24"/>
          <w:szCs w:val="24"/>
          <w:rtl/>
          <w:lang w:bidi="ar-EG"/>
        </w:rPr>
      </w:pPr>
      <w:r w:rsidRPr="0073616C">
        <w:rPr>
          <w:rFonts w:asciiTheme="majorBidi" w:hAnsiTheme="majorBidi" w:cstheme="majorBidi"/>
          <w:b/>
          <w:bCs/>
          <w:sz w:val="24"/>
          <w:szCs w:val="24"/>
        </w:rPr>
        <w:t>Simultaneously, environmental operational conditions were imposed; a uniform thermal profile representing an operating temperature of Top = 800</w:t>
      </w:r>
      <m:oMath>
        <m:sSub>
          <m:sSubPr>
            <m:ctrlPr>
              <w:rPr>
                <w:rFonts w:ascii="Cambria Math" w:hAnsi="Cambria Math" w:cstheme="majorBidi"/>
                <w:sz w:val="24"/>
                <w:szCs w:val="24"/>
              </w:rPr>
            </m:ctrlPr>
          </m:sSubPr>
          <m:e>
            <m:r>
              <w:rPr>
                <w:rFonts w:ascii="Cambria Math" w:hAnsi="Cambria Math" w:cstheme="majorBidi"/>
                <w:sz w:val="24"/>
                <w:szCs w:val="24"/>
              </w:rPr>
              <m:t>T</m:t>
            </m:r>
          </m:e>
          <m:sub>
            <m:r>
              <w:rPr>
                <w:rFonts w:ascii="Cambria Math" w:hAnsi="Cambria Math" w:cstheme="majorBidi"/>
                <w:sz w:val="24"/>
                <w:szCs w:val="24"/>
              </w:rPr>
              <m:t>op</m:t>
            </m:r>
          </m:sub>
        </m:sSub>
        <m: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800</m:t>
            </m:r>
          </m:e>
          <m:sup>
            <m:r>
              <w:rPr>
                <w:rFonts w:ascii="Cambria Math" w:hAnsi="Cambria Math" w:cstheme="majorBidi"/>
                <w:sz w:val="24"/>
                <w:szCs w:val="24"/>
              </w:rPr>
              <m:t>∘</m:t>
            </m:r>
          </m:sup>
        </m:sSup>
        <m:r>
          <m:rPr>
            <m:nor/>
          </m:rPr>
          <w:rPr>
            <w:rFonts w:asciiTheme="majorBidi" w:hAnsiTheme="majorBidi" w:cstheme="majorBidi"/>
            <w:sz w:val="24"/>
            <w:szCs w:val="24"/>
          </w:rPr>
          <m:t>C</m:t>
        </m:r>
      </m:oMath>
      <w:r w:rsidRPr="0073616C">
        <w:rPr>
          <w:rFonts w:asciiTheme="majorBidi" w:hAnsiTheme="majorBidi" w:cstheme="majorBidi"/>
          <w:b/>
          <w:bCs/>
          <w:sz w:val="24"/>
          <w:szCs w:val="24"/>
        </w:rPr>
        <w:t xml:space="preserve"> was activated across the exposure surfaces to account for intense thermal gradients. Concurrently, a uniaxial mechanical load of 100 kN was sustained along the negative X-direction (F_x = -100,000 N), while secondary orthogonal forces were maintained at null values (F_y = F_z = 0.0 N).</w:t>
      </w:r>
    </w:p>
    <w:p w14:paraId="168C64D8" w14:textId="77777777" w:rsidR="00D705E0" w:rsidRDefault="00D705E0" w:rsidP="003F65E2">
      <w:pPr>
        <w:rPr>
          <w:rFonts w:asciiTheme="majorBidi" w:hAnsiTheme="majorBidi" w:cstheme="majorBidi"/>
          <w:b/>
          <w:bCs/>
          <w:sz w:val="24"/>
          <w:szCs w:val="24"/>
        </w:rPr>
      </w:pPr>
    </w:p>
    <w:p w14:paraId="2A37F319" w14:textId="77777777" w:rsidR="000B30E9" w:rsidRDefault="000B30E9" w:rsidP="003F65E2">
      <w:pPr>
        <w:rPr>
          <w:rFonts w:asciiTheme="majorBidi" w:hAnsiTheme="majorBidi" w:cstheme="majorBidi"/>
          <w:b/>
          <w:bCs/>
          <w:sz w:val="24"/>
          <w:szCs w:val="24"/>
        </w:rPr>
      </w:pPr>
    </w:p>
    <w:p w14:paraId="72B009B7" w14:textId="77777777" w:rsidR="00F96DE7" w:rsidRDefault="00F96DE7" w:rsidP="003F65E2">
      <w:pPr>
        <w:rPr>
          <w:rFonts w:asciiTheme="majorBidi" w:hAnsiTheme="majorBidi" w:cstheme="majorBidi"/>
          <w:b/>
          <w:bCs/>
          <w:sz w:val="24"/>
          <w:szCs w:val="24"/>
        </w:rPr>
      </w:pPr>
    </w:p>
    <w:p w14:paraId="33A8EDAA" w14:textId="77777777" w:rsidR="00F96DE7" w:rsidRDefault="00F96DE7" w:rsidP="003F65E2">
      <w:pPr>
        <w:rPr>
          <w:rFonts w:asciiTheme="majorBidi" w:hAnsiTheme="majorBidi" w:cstheme="majorBidi"/>
          <w:b/>
          <w:bCs/>
          <w:sz w:val="24"/>
          <w:szCs w:val="24"/>
        </w:rPr>
      </w:pPr>
    </w:p>
    <w:p w14:paraId="3EBE40A1" w14:textId="1016D1E8" w:rsidR="00F96DE7" w:rsidRDefault="000D4FA5" w:rsidP="000D4FA5">
      <w:pPr>
        <w:rPr>
          <w:rFonts w:asciiTheme="majorBidi" w:hAnsiTheme="majorBidi" w:cstheme="majorBidi"/>
          <w:b/>
          <w:bCs/>
          <w:sz w:val="24"/>
          <w:szCs w:val="24"/>
        </w:rPr>
      </w:pPr>
      <w:r w:rsidRPr="000D4FA5">
        <w:rPr>
          <w:rFonts w:asciiTheme="majorBidi" w:hAnsiTheme="majorBidi" w:cstheme="majorBidi"/>
          <w:b/>
          <w:bCs/>
          <w:sz w:val="24"/>
          <w:szCs w:val="24"/>
        </w:rPr>
        <w:t>Numerical Validation and Stress Distribution Analysis</w:t>
      </w:r>
      <w:r>
        <w:rPr>
          <w:rFonts w:asciiTheme="majorBidi" w:hAnsiTheme="majorBidi" w:cstheme="majorBidi"/>
          <w:b/>
          <w:bCs/>
          <w:sz w:val="24"/>
          <w:szCs w:val="24"/>
        </w:rPr>
        <w:t>:</w:t>
      </w:r>
    </w:p>
    <w:p w14:paraId="6D7837DB" w14:textId="6718AA7C" w:rsidR="00F96DE7" w:rsidRPr="00431438" w:rsidRDefault="000D4FA5" w:rsidP="003F65E2">
      <w:pPr>
        <w:rPr>
          <w:rFonts w:asciiTheme="majorBidi" w:hAnsiTheme="majorBidi" w:cstheme="majorBidi"/>
          <w:sz w:val="24"/>
          <w:szCs w:val="24"/>
        </w:rPr>
      </w:pPr>
      <w:r w:rsidRPr="00431438">
        <w:rPr>
          <w:rFonts w:asciiTheme="majorBidi" w:hAnsiTheme="majorBidi" w:cstheme="majorBidi"/>
          <w:sz w:val="24"/>
          <w:szCs w:val="24"/>
        </w:rPr>
        <w:t xml:space="preserve">To validate the structural reliability of the finite element model, the longitudinal stress distribution was evaluated under a normative axial load of 50,000\ N against the analytical geometric variations, as illustrated in the file named "S-N.jpg". The numerical solver effectively captures the geometric-induced stress concentration phenomena across the variable cross-sections of the solid steel </w:t>
      </w:r>
      <w:r w:rsidR="00431438" w:rsidRPr="00431438">
        <w:rPr>
          <w:rFonts w:asciiTheme="majorBidi" w:hAnsiTheme="majorBidi" w:cstheme="majorBidi"/>
          <w:sz w:val="24"/>
          <w:szCs w:val="24"/>
        </w:rPr>
        <w:t>component. A</w:t>
      </w:r>
      <w:r w:rsidRPr="00431438">
        <w:rPr>
          <w:rFonts w:asciiTheme="majorBidi" w:hAnsiTheme="majorBidi" w:cstheme="majorBidi"/>
          <w:sz w:val="24"/>
          <w:szCs w:val="24"/>
        </w:rPr>
        <w:t xml:space="preserve"> comprehensive correlation is observed between the sectional area reduction and the local stress amplification. As demonstrated in the axial profiles, two primary stress concentrations emerge along the longitudinal axis (X-axis):</w:t>
      </w:r>
    </w:p>
    <w:p w14:paraId="11DDC2E7" w14:textId="0B288946" w:rsidR="000D4FA5" w:rsidRPr="00431438" w:rsidRDefault="00431438" w:rsidP="003F65E2">
      <w:pPr>
        <w:rPr>
          <w:rFonts w:asciiTheme="majorBidi" w:hAnsiTheme="majorBidi" w:cstheme="majorBidi"/>
          <w:sz w:val="24"/>
          <w:szCs w:val="24"/>
        </w:rPr>
      </w:pPr>
      <w:r w:rsidRPr="00431438">
        <w:rPr>
          <w:rFonts w:asciiTheme="majorBidi" w:hAnsiTheme="majorBidi" w:cstheme="majorBidi"/>
          <w:sz w:val="24"/>
          <w:szCs w:val="24"/>
        </w:rPr>
        <w:t>Peak Stress A: Evaluated at the large flange junction (X = 328.7 mm), revealing a localized normal stress of approximately 220 MPa.Peak Stress B: Identified at the small flange transition ( = 1021.3 mm), where the sectional area reaches its localized minimum. This geometric constriction triggers a severe stress spike, escalating the computed stress to a peak value of 355MPa</w:t>
      </w:r>
    </w:p>
    <w:p w14:paraId="4BF0C8BA" w14:textId="67C4491E" w:rsidR="00431438" w:rsidRDefault="00431438" w:rsidP="003F65E2">
      <w:pPr>
        <w:rPr>
          <w:rFonts w:asciiTheme="majorBidi" w:hAnsiTheme="majorBidi" w:cstheme="majorBidi"/>
          <w:b/>
          <w:bCs/>
          <w:sz w:val="24"/>
          <w:szCs w:val="24"/>
        </w:rPr>
      </w:pPr>
      <w:r w:rsidRPr="00431438">
        <w:rPr>
          <w:rFonts w:asciiTheme="majorBidi" w:hAnsiTheme="majorBidi" w:cstheme="majorBidi"/>
          <w:sz w:val="24"/>
          <w:szCs w:val="24"/>
        </w:rPr>
        <w:t>Critically, this maximum stress amplitude directly converges with the material’s theoretical elastic threshold (Steel Yield Strength Limit = 355MPa). This precise alignment validates the numerical mesh sensitivity and boundary condition fidelity, conclusively establishing the region around X = 1021 mmas the primary critical zone prone to structural fatigue and micro-yielding. This localized high-stress signature serves as the baseline validation for the subsequent residual useful life predictions under coupled thermo-mechanical operation AS Shown of S-N Curve</w:t>
      </w:r>
    </w:p>
    <w:p w14:paraId="0523A2F8" w14:textId="7035F736" w:rsidR="00F96DE7" w:rsidRDefault="00431438" w:rsidP="003F65E2">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59776" behindDoc="1" locked="0" layoutInCell="1" allowOverlap="1" wp14:anchorId="01793FDF" wp14:editId="5D3A013D">
            <wp:simplePos x="0" y="0"/>
            <wp:positionH relativeFrom="column">
              <wp:posOffset>68580</wp:posOffset>
            </wp:positionH>
            <wp:positionV relativeFrom="paragraph">
              <wp:posOffset>-1270</wp:posOffset>
            </wp:positionV>
            <wp:extent cx="4320540" cy="3244850"/>
            <wp:effectExtent l="0" t="0" r="3810" b="0"/>
            <wp:wrapTight wrapText="bothSides">
              <wp:wrapPolygon edited="0">
                <wp:start x="0" y="0"/>
                <wp:lineTo x="0" y="21431"/>
                <wp:lineTo x="21524" y="21431"/>
                <wp:lineTo x="21524" y="0"/>
                <wp:lineTo x="0" y="0"/>
              </wp:wrapPolygon>
            </wp:wrapTight>
            <wp:docPr id="68044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6636" name="Picture 6804466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0540" cy="3244850"/>
                    </a:xfrm>
                    <a:prstGeom prst="rect">
                      <a:avLst/>
                    </a:prstGeom>
                  </pic:spPr>
                </pic:pic>
              </a:graphicData>
            </a:graphic>
          </wp:anchor>
        </w:drawing>
      </w:r>
    </w:p>
    <w:p w14:paraId="1990C2FB" w14:textId="77777777" w:rsidR="00F96DE7" w:rsidRDefault="00F96DE7" w:rsidP="003F65E2">
      <w:pPr>
        <w:rPr>
          <w:rFonts w:asciiTheme="majorBidi" w:hAnsiTheme="majorBidi" w:cstheme="majorBidi"/>
          <w:b/>
          <w:bCs/>
          <w:sz w:val="24"/>
          <w:szCs w:val="24"/>
        </w:rPr>
      </w:pPr>
    </w:p>
    <w:p w14:paraId="2499E249" w14:textId="77777777" w:rsidR="00F96DE7" w:rsidRDefault="00F96DE7" w:rsidP="003F65E2">
      <w:pPr>
        <w:rPr>
          <w:rFonts w:asciiTheme="majorBidi" w:hAnsiTheme="majorBidi" w:cstheme="majorBidi"/>
          <w:b/>
          <w:bCs/>
          <w:sz w:val="24"/>
          <w:szCs w:val="24"/>
        </w:rPr>
      </w:pPr>
    </w:p>
    <w:p w14:paraId="7D779AB3" w14:textId="77777777" w:rsidR="002A4E2A" w:rsidRDefault="002A4E2A" w:rsidP="003F65E2">
      <w:pPr>
        <w:rPr>
          <w:rFonts w:asciiTheme="majorBidi" w:hAnsiTheme="majorBidi" w:cstheme="majorBidi"/>
          <w:b/>
          <w:bCs/>
          <w:sz w:val="24"/>
          <w:szCs w:val="24"/>
        </w:rPr>
      </w:pPr>
    </w:p>
    <w:p w14:paraId="16260972" w14:textId="77777777" w:rsidR="002A4E2A" w:rsidRDefault="002A4E2A" w:rsidP="003F65E2">
      <w:pPr>
        <w:rPr>
          <w:rFonts w:asciiTheme="majorBidi" w:hAnsiTheme="majorBidi" w:cstheme="majorBidi"/>
          <w:b/>
          <w:bCs/>
          <w:sz w:val="24"/>
          <w:szCs w:val="24"/>
        </w:rPr>
      </w:pPr>
    </w:p>
    <w:p w14:paraId="0F527F97" w14:textId="77777777" w:rsidR="002A4E2A" w:rsidRDefault="002A4E2A" w:rsidP="003F65E2">
      <w:pPr>
        <w:rPr>
          <w:rFonts w:asciiTheme="majorBidi" w:hAnsiTheme="majorBidi" w:cstheme="majorBidi"/>
          <w:b/>
          <w:bCs/>
          <w:sz w:val="24"/>
          <w:szCs w:val="24"/>
        </w:rPr>
      </w:pPr>
    </w:p>
    <w:p w14:paraId="680C313C" w14:textId="77777777" w:rsidR="002A4E2A" w:rsidRDefault="002A4E2A" w:rsidP="003F65E2">
      <w:pPr>
        <w:rPr>
          <w:rFonts w:asciiTheme="majorBidi" w:hAnsiTheme="majorBidi" w:cstheme="majorBidi"/>
          <w:b/>
          <w:bCs/>
          <w:sz w:val="24"/>
          <w:szCs w:val="24"/>
        </w:rPr>
      </w:pPr>
    </w:p>
    <w:p w14:paraId="75529E1E" w14:textId="77777777" w:rsidR="002A4E2A" w:rsidRDefault="002A4E2A" w:rsidP="003F65E2">
      <w:pPr>
        <w:rPr>
          <w:rFonts w:asciiTheme="majorBidi" w:hAnsiTheme="majorBidi" w:cstheme="majorBidi"/>
          <w:b/>
          <w:bCs/>
          <w:sz w:val="24"/>
          <w:szCs w:val="24"/>
        </w:rPr>
      </w:pPr>
    </w:p>
    <w:p w14:paraId="30F59A91" w14:textId="77777777" w:rsidR="00431438" w:rsidRDefault="00431438" w:rsidP="003F65E2">
      <w:pPr>
        <w:rPr>
          <w:rFonts w:asciiTheme="majorBidi" w:hAnsiTheme="majorBidi" w:cstheme="majorBidi"/>
          <w:b/>
          <w:bCs/>
          <w:sz w:val="24"/>
          <w:szCs w:val="24"/>
        </w:rPr>
      </w:pPr>
    </w:p>
    <w:p w14:paraId="26013C56" w14:textId="77777777" w:rsidR="00431438" w:rsidRDefault="00431438" w:rsidP="003F65E2">
      <w:pPr>
        <w:rPr>
          <w:rFonts w:asciiTheme="majorBidi" w:hAnsiTheme="majorBidi" w:cstheme="majorBidi"/>
          <w:b/>
          <w:bCs/>
          <w:sz w:val="24"/>
          <w:szCs w:val="24"/>
        </w:rPr>
      </w:pPr>
    </w:p>
    <w:p w14:paraId="4512D1F9" w14:textId="7AD6033A" w:rsidR="00431438" w:rsidRDefault="00431438" w:rsidP="00431438">
      <w:pPr>
        <w:jc w:val="center"/>
        <w:rPr>
          <w:rFonts w:asciiTheme="majorBidi" w:hAnsiTheme="majorBidi" w:cstheme="majorBidi"/>
          <w:b/>
          <w:bCs/>
          <w:sz w:val="24"/>
          <w:szCs w:val="24"/>
        </w:rPr>
      </w:pPr>
      <w:r>
        <w:rPr>
          <w:rFonts w:asciiTheme="majorBidi" w:hAnsiTheme="majorBidi" w:cstheme="majorBidi"/>
          <w:b/>
          <w:bCs/>
          <w:sz w:val="24"/>
          <w:szCs w:val="24"/>
        </w:rPr>
        <w:t>S-N Curves</w:t>
      </w:r>
    </w:p>
    <w:p w14:paraId="08B59D97" w14:textId="77777777" w:rsidR="002A4E2A" w:rsidRDefault="002A4E2A" w:rsidP="003F65E2">
      <w:pPr>
        <w:rPr>
          <w:rFonts w:asciiTheme="majorBidi" w:hAnsiTheme="majorBidi" w:cstheme="majorBidi"/>
          <w:b/>
          <w:bCs/>
          <w:sz w:val="24"/>
          <w:szCs w:val="24"/>
        </w:rPr>
      </w:pPr>
    </w:p>
    <w:p w14:paraId="48E8D7F4" w14:textId="54800C94" w:rsidR="00E236A9" w:rsidRDefault="00E236A9" w:rsidP="003F65E2">
      <w:r>
        <w:rPr>
          <w:rFonts w:asciiTheme="majorBidi" w:hAnsiTheme="majorBidi" w:cstheme="majorBidi"/>
          <w:b/>
          <w:bCs/>
          <w:sz w:val="24"/>
          <w:szCs w:val="24"/>
        </w:rPr>
        <w:t>-</w:t>
      </w:r>
      <w:r>
        <w:t>Quantitative Validation and Relative Error Assessment:</w:t>
      </w:r>
    </w:p>
    <w:tbl>
      <w:tblPr>
        <w:tblW w:w="9802" w:type="dxa"/>
        <w:tblCellSpacing w:w="15" w:type="dxa"/>
        <w:tblLayout w:type="fixed"/>
        <w:tblCellMar>
          <w:left w:w="0" w:type="dxa"/>
          <w:right w:w="0" w:type="dxa"/>
        </w:tblCellMar>
        <w:tblLook w:val="04A0" w:firstRow="1" w:lastRow="0" w:firstColumn="1" w:lastColumn="0" w:noHBand="0" w:noVBand="1"/>
      </w:tblPr>
      <w:tblGrid>
        <w:gridCol w:w="1681"/>
        <w:gridCol w:w="1385"/>
        <w:gridCol w:w="1525"/>
        <w:gridCol w:w="1575"/>
        <w:gridCol w:w="1476"/>
        <w:gridCol w:w="2160"/>
      </w:tblGrid>
      <w:tr w:rsidR="00E236A9" w:rsidRPr="00E236A9" w14:paraId="1B34B932" w14:textId="77777777" w:rsidTr="00E236A9">
        <w:trPr>
          <w:tblHeade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4E6FD"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Evaluation Point / Location</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E40F6"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Axial Position, X (mm)</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F2164"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Reference Yield Strength (MPa)</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0D545"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Calculated Numerical Stress (MPa)</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266AB"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Relative Error (%)</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AD93"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Validation Status</w:t>
            </w:r>
          </w:p>
        </w:tc>
      </w:tr>
      <w:tr w:rsidR="00E236A9" w:rsidRPr="00E236A9" w14:paraId="4CE12191"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17001"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Initial Benchmark</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2C316" w14:textId="2E890FC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0.0</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EBF9" w14:textId="3D77757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38626" w14:textId="50C54816"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222.0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E3FB7" w14:textId="2430758B"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37.46\%</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F1624"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Safe (Elastic Zone)</w:t>
            </w:r>
          </w:p>
        </w:tc>
      </w:tr>
      <w:tr w:rsidR="00E236A9" w:rsidRPr="00E236A9" w14:paraId="3D5D24C0"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A43E"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Peak Stress A (Large Flange)</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6E64B" w14:textId="0AF8B78A"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328.7</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DAA2E" w14:textId="683D7FDD"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685DF" w14:textId="1E117C01"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220.0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A89B6" w14:textId="6F69210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38.02\%</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F2D2"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Safe (Elastic Zone)</w:t>
            </w:r>
          </w:p>
        </w:tc>
      </w:tr>
      <w:tr w:rsidR="00E236A9" w:rsidRPr="00E236A9" w14:paraId="74CFF4FE"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B803"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Sub-Peak Transition</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B11E5" w14:textId="6E33122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600.0</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A70FB" w14:textId="2641698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D3183" w14:textId="5EECBF6E"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311.3</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150D3" w14:textId="11B89105"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12.31\%</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66725"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High Stress / Acceptable</w:t>
            </w:r>
          </w:p>
        </w:tc>
      </w:tr>
      <w:tr w:rsidR="00E236A9" w:rsidRPr="00E236A9" w14:paraId="2BBE7AB2" w14:textId="77777777" w:rsidTr="00E236A9">
        <w:trPr>
          <w:tblCellSpacing w:w="15" w:type="dxa"/>
        </w:trPr>
        <w:tc>
          <w:tcPr>
            <w:tcW w:w="1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AC88"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Peak Stress B (Critical Zone)</w:t>
            </w:r>
          </w:p>
        </w:tc>
        <w:tc>
          <w:tcPr>
            <w:tcW w:w="13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5CBC6" w14:textId="5F1A3646"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1021.3</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5A20" w14:textId="6171386A"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94662" w14:textId="1B220FD0"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color w:val="1F1F1F"/>
                <w:sz w:val="24"/>
                <w:szCs w:val="24"/>
                <w:bdr w:val="none" w:sz="0" w:space="0" w:color="auto" w:frame="1"/>
              </w:rPr>
              <w:t>355.0</w:t>
            </w:r>
          </w:p>
        </w:tc>
        <w:tc>
          <w:tcPr>
            <w:tcW w:w="14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DDF64" w14:textId="4D98A5AA" w:rsidR="00E236A9" w:rsidRPr="00E236A9" w:rsidRDefault="00E236A9" w:rsidP="00E236A9">
            <w:pPr>
              <w:spacing w:after="0" w:line="240" w:lineRule="auto"/>
              <w:rPr>
                <w:rFonts w:ascii="Arial" w:eastAsia="Times New Roman" w:hAnsi="Arial" w:cs="Arial" w:hint="cs"/>
                <w:color w:val="1F1F1F"/>
                <w:sz w:val="24"/>
                <w:szCs w:val="24"/>
                <w:rtl/>
                <w:lang w:bidi="ar-EG"/>
              </w:rPr>
            </w:pPr>
            <w:r w:rsidRPr="00E236A9">
              <w:rPr>
                <w:rFonts w:ascii="Arial" w:eastAsia="Times New Roman" w:hAnsi="Arial" w:cs="Arial"/>
                <w:b/>
                <w:bCs/>
                <w:color w:val="1F1F1F"/>
                <w:sz w:val="24"/>
                <w:szCs w:val="24"/>
                <w:bdr w:val="none" w:sz="0" w:space="0" w:color="auto" w:frame="1"/>
              </w:rPr>
              <w:t>0.00\%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C53C" w14:textId="77777777" w:rsidR="00E236A9" w:rsidRPr="00E236A9" w:rsidRDefault="00E236A9" w:rsidP="00E236A9">
            <w:pPr>
              <w:spacing w:after="0" w:line="240" w:lineRule="auto"/>
              <w:rPr>
                <w:rFonts w:ascii="Arial" w:eastAsia="Times New Roman" w:hAnsi="Arial" w:cs="Arial"/>
                <w:color w:val="1F1F1F"/>
                <w:sz w:val="24"/>
                <w:szCs w:val="24"/>
              </w:rPr>
            </w:pPr>
            <w:r w:rsidRPr="00E236A9">
              <w:rPr>
                <w:rFonts w:ascii="Arial" w:eastAsia="Times New Roman" w:hAnsi="Arial" w:cs="Arial"/>
                <w:b/>
                <w:bCs/>
                <w:color w:val="1F1F1F"/>
                <w:sz w:val="24"/>
                <w:szCs w:val="24"/>
                <w:bdr w:val="none" w:sz="0" w:space="0" w:color="auto" w:frame="1"/>
              </w:rPr>
              <w:t>Perfect Convergence</w:t>
            </w:r>
          </w:p>
        </w:tc>
      </w:tr>
    </w:tbl>
    <w:p w14:paraId="79BD223F" w14:textId="5BE04C0A" w:rsidR="00515395" w:rsidRDefault="00515395" w:rsidP="0051539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 (2)</w:t>
      </w:r>
    </w:p>
    <w:p w14:paraId="5E548F21" w14:textId="77777777" w:rsidR="00515395" w:rsidRDefault="00515395" w:rsidP="00E236A9">
      <w:pPr>
        <w:spacing w:after="0" w:line="240" w:lineRule="auto"/>
        <w:rPr>
          <w:rFonts w:ascii="Times New Roman" w:eastAsia="Times New Roman" w:hAnsi="Times New Roman" w:cs="Times New Roman"/>
          <w:sz w:val="24"/>
          <w:szCs w:val="24"/>
        </w:rPr>
      </w:pPr>
    </w:p>
    <w:p w14:paraId="0DDF9B5B" w14:textId="67D7D6B3" w:rsidR="00E236A9" w:rsidRPr="00E236A9" w:rsidRDefault="00E236A9" w:rsidP="00E236A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E236A9">
        <w:rPr>
          <w:rFonts w:ascii="Times New Roman" w:eastAsia="Times New Roman" w:hAnsi="Times New Roman" w:cs="Times New Roman"/>
          <w:sz w:val="24"/>
          <w:szCs w:val="24"/>
        </w:rPr>
        <w:t>o rigorously verify the predictive fidelity of the developed finite element model, the numerical stress responses were systematically validated against the material’s nominal yield strength threshold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yield</m:t>
            </m:r>
          </m:sub>
        </m:sSub>
        <m:r>
          <w:rPr>
            <w:rFonts w:ascii="Cambria Math" w:eastAsia="Times New Roman" w:hAnsi="Cambria Math" w:cs="Times New Roman"/>
            <w:sz w:val="24"/>
            <w:szCs w:val="24"/>
          </w:rPr>
          <m:t>=355</m:t>
        </m:r>
        <m:r>
          <m:rPr>
            <m:nor/>
          </m:rPr>
          <w:rPr>
            <w:rFonts w:ascii="Times New Roman" w:eastAsia="Times New Roman" w:hAnsi="Times New Roman" w:cs="Times New Roman"/>
            <w:sz w:val="24"/>
            <w:szCs w:val="24"/>
          </w:rPr>
          <m:t> MPa</m:t>
        </m:r>
      </m:oMath>
      <w:r w:rsidRPr="00E236A9">
        <w:rPr>
          <w:rFonts w:ascii="Times New Roman" w:eastAsia="Times New Roman" w:hAnsi="Times New Roman" w:cs="Times New Roman"/>
          <w:sz w:val="24"/>
          <w:szCs w:val="24"/>
        </w:rPr>
        <w:t xml:space="preserve"> = 355  MP</w:t>
      </w:r>
      <w:r>
        <w:rPr>
          <w:rFonts w:ascii="Times New Roman" w:eastAsia="Times New Roman" w:hAnsi="Times New Roman" w:cs="Times New Roman"/>
          <w:sz w:val="24"/>
          <w:szCs w:val="24"/>
        </w:rPr>
        <w:t>a</w:t>
      </w:r>
      <w:r w:rsidRPr="00E236A9">
        <w:rPr>
          <w:rFonts w:ascii="Times New Roman" w:eastAsia="Times New Roman" w:hAnsi="Times New Roman" w:cs="Times New Roman"/>
          <w:sz w:val="24"/>
          <w:szCs w:val="24"/>
        </w:rPr>
        <w:t>). Mechanically, the local normal stress</w:t>
      </w:r>
      <w:r w:rsidR="00203819">
        <w:rPr>
          <w:rFonts w:ascii="Times New Roman" w:eastAsia="Times New Roman" w:hAnsi="Times New Roman" w:cs="Times New Roman"/>
          <w:sz w:val="24"/>
          <w:szCs w:val="24"/>
        </w:rPr>
        <w:t>(</w:t>
      </w:r>
      <w:r w:rsidRPr="00E236A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x</m:t>
            </m:r>
          </m:sub>
        </m:sSub>
      </m:oMath>
      <w:r w:rsidRPr="00E236A9">
        <w:rPr>
          <w:rFonts w:ascii="Times New Roman" w:eastAsia="Times New Roman" w:hAnsi="Times New Roman" w:cs="Times New Roman"/>
          <w:sz w:val="24"/>
          <w:szCs w:val="24"/>
        </w:rPr>
        <w:t>) across the variable longitudinal cross-sections is governed by the structural load-displacement relations and the classical uniaxial stress formulation:</w:t>
      </w:r>
    </w:p>
    <w:p w14:paraId="03749322" w14:textId="77777777" w:rsidR="00E236A9" w:rsidRDefault="00E236A9" w:rsidP="003F65E2">
      <w:pPr>
        <w:rPr>
          <w:rFonts w:asciiTheme="majorBidi" w:hAnsiTheme="majorBidi" w:cstheme="majorBidi"/>
          <w:b/>
          <w:bCs/>
          <w:sz w:val="24"/>
          <w:szCs w:val="24"/>
        </w:rPr>
      </w:pPr>
    </w:p>
    <w:p w14:paraId="589A75DF" w14:textId="67DD471A" w:rsidR="00203819" w:rsidRPr="00203819" w:rsidRDefault="00203819" w:rsidP="003F65E2">
      <w:pPr>
        <w:rPr>
          <w:rFonts w:asciiTheme="majorBidi" w:eastAsiaTheme="minorEastAsia"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x</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K</m:t>
              </m:r>
            </m:e>
            <m:sub>
              <m:r>
                <w:rPr>
                  <w:rFonts w:ascii="Cambria Math" w:hAnsi="Cambria Math" w:cstheme="majorBidi"/>
                  <w:sz w:val="24"/>
                  <w:szCs w:val="24"/>
                </w:rPr>
                <m:t>t</m:t>
              </m:r>
            </m:sub>
          </m:sSub>
          <m:d>
            <m:dPr>
              <m:ctrlPr>
                <w:rPr>
                  <w:rFonts w:ascii="Cambria Math" w:hAnsi="Cambria Math" w:cstheme="majorBidi"/>
                  <w:sz w:val="24"/>
                  <w:szCs w:val="24"/>
                </w:rPr>
              </m:ctrlPr>
            </m:dPr>
            <m:e>
              <m:f>
                <m:fPr>
                  <m:ctrlPr>
                    <w:rPr>
                      <w:rFonts w:ascii="Cambria Math" w:hAnsi="Cambria Math" w:cstheme="majorBidi"/>
                      <w:sz w:val="24"/>
                      <w:szCs w:val="24"/>
                    </w:rPr>
                  </m:ctrlPr>
                </m:fPr>
                <m:num>
                  <m:sSub>
                    <m:sSubPr>
                      <m:ctrlPr>
                        <w:rPr>
                          <w:rFonts w:ascii="Cambria Math" w:hAnsi="Cambria Math" w:cstheme="majorBidi"/>
                          <w:sz w:val="24"/>
                          <w:szCs w:val="24"/>
                        </w:rPr>
                      </m:ctrlPr>
                    </m:sSubPr>
                    <m:e>
                      <m:r>
                        <w:rPr>
                          <w:rFonts w:ascii="Cambria Math" w:hAnsi="Cambria Math" w:cstheme="majorBidi"/>
                          <w:sz w:val="24"/>
                          <w:szCs w:val="24"/>
                        </w:rPr>
                        <m:t>F</m:t>
                      </m:r>
                    </m:e>
                    <m:sub>
                      <m:r>
                        <w:rPr>
                          <w:rFonts w:ascii="Cambria Math" w:hAnsi="Cambria Math" w:cstheme="majorBidi"/>
                          <w:sz w:val="24"/>
                          <w:szCs w:val="24"/>
                        </w:rPr>
                        <m:t>x</m:t>
                      </m:r>
                    </m:sub>
                  </m:sSub>
                </m:num>
                <m:den>
                  <m:r>
                    <w:rPr>
                      <w:rFonts w:ascii="Cambria Math" w:hAnsi="Cambria Math" w:cstheme="majorBidi"/>
                      <w:sz w:val="24"/>
                      <w:szCs w:val="24"/>
                    </w:rPr>
                    <m:t>A</m:t>
                  </m:r>
                  <m:d>
                    <m:dPr>
                      <m:ctrlPr>
                        <w:rPr>
                          <w:rFonts w:ascii="Cambria Math" w:hAnsi="Cambria Math" w:cstheme="majorBidi"/>
                          <w:sz w:val="24"/>
                          <w:szCs w:val="24"/>
                        </w:rPr>
                      </m:ctrlPr>
                    </m:dPr>
                    <m:e>
                      <m:r>
                        <w:rPr>
                          <w:rFonts w:ascii="Cambria Math" w:hAnsi="Cambria Math" w:cstheme="majorBidi"/>
                          <w:sz w:val="24"/>
                          <w:szCs w:val="24"/>
                        </w:rPr>
                        <m:t>x</m:t>
                      </m:r>
                    </m:e>
                  </m:d>
                </m:den>
              </m:f>
            </m:e>
          </m:d>
        </m:oMath>
      </m:oMathPara>
    </w:p>
    <w:p w14:paraId="0CB35382" w14:textId="1F012CD0" w:rsidR="00203819" w:rsidRPr="00203819" w:rsidRDefault="00203819" w:rsidP="00203819">
      <w:pPr>
        <w:spacing w:after="0" w:line="240" w:lineRule="auto"/>
        <w:rPr>
          <w:rFonts w:ascii="Times New Roman" w:eastAsia="Times New Roman" w:hAnsi="Times New Roman" w:cs="Times New Roman"/>
          <w:sz w:val="24"/>
          <w:szCs w:val="24"/>
        </w:rPr>
      </w:pPr>
      <w:r w:rsidRPr="00203819">
        <w:rPr>
          <w:rFonts w:ascii="Times New Roman" w:eastAsia="Times New Roman" w:hAnsi="Times New Roman" w:cs="Times New Roman"/>
          <w:sz w:val="24"/>
          <w:szCs w:val="24"/>
        </w:rPr>
        <w:t xml:space="preserve">Where </w:t>
      </w:r>
      <m:oMath>
        <m:sSub>
          <m:sSubPr>
            <m:ctrlPr>
              <w:rPr>
                <w:rFonts w:ascii="Cambria Math" w:eastAsia="Times New Roman" w:hAnsi="Cambria Math" w:cs="Arial"/>
                <w:sz w:val="24"/>
                <w:szCs w:val="24"/>
              </w:rPr>
            </m:ctrlPr>
          </m:sSubPr>
          <m:e>
            <m:r>
              <w:rPr>
                <w:rFonts w:ascii="Cambria Math" w:eastAsia="Times New Roman" w:hAnsi="Cambria Math" w:cs="Arial"/>
                <w:sz w:val="24"/>
                <w:szCs w:val="24"/>
              </w:rPr>
              <m:t>F</m:t>
            </m:r>
          </m:e>
          <m:sub>
            <m:r>
              <w:rPr>
                <w:rFonts w:ascii="Cambria Math" w:eastAsia="Times New Roman" w:hAnsi="Cambria Math" w:cs="Arial"/>
                <w:sz w:val="24"/>
                <w:szCs w:val="24"/>
              </w:rPr>
              <m:t>x</m:t>
            </m:r>
          </m:sub>
        </m:sSub>
      </m:oMath>
      <w:r w:rsidRPr="00203819">
        <w:rPr>
          <w:rFonts w:ascii="Times New Roman" w:eastAsia="Times New Roman" w:hAnsi="Times New Roman" w:cs="Times New Roman"/>
          <w:sz w:val="24"/>
          <w:szCs w:val="24"/>
        </w:rPr>
        <w:t xml:space="preserve">represents the applied uniaxial structural load </w:t>
      </w:r>
      <m:oMath>
        <m:r>
          <w:rPr>
            <w:rFonts w:ascii="Cambria Math" w:eastAsia="Times New Roman" w:hAnsi="Cambria Math" w:cs="Times New Roman"/>
            <w:sz w:val="24"/>
            <w:szCs w:val="24"/>
          </w:rPr>
          <m:t>-100,000</m:t>
        </m:r>
        <m:r>
          <m:rPr>
            <m:nor/>
          </m:rPr>
          <w:rPr>
            <w:rFonts w:ascii="Times New Roman" w:eastAsia="Times New Roman" w:hAnsi="Times New Roman" w:cs="Times New Roman"/>
            <w:sz w:val="24"/>
            <w:szCs w:val="24"/>
          </w:rPr>
          <m:t> N</m:t>
        </m:r>
      </m:oMath>
      <w:r w:rsidRPr="00203819">
        <w:rPr>
          <w:rFonts w:ascii="Times New Roman" w:eastAsia="Times New Roman" w:hAnsi="Times New Roman" w:cs="Times New Roman"/>
          <w:sz w:val="24"/>
          <w:szCs w:val="24"/>
        </w:rPr>
        <w:t xml:space="preserve">), </w:t>
      </w:r>
      <w:r w:rsidRPr="00203819">
        <w:rPr>
          <w:rFonts w:ascii="Arial" w:eastAsia="Times New Roman" w:hAnsi="Arial" w:cs="Arial"/>
          <w:sz w:val="24"/>
          <w:szCs w:val="24"/>
        </w:rPr>
        <w:t>A(x)</w:t>
      </w:r>
      <w:r w:rsidRPr="00203819">
        <w:rPr>
          <w:rFonts w:ascii="Times New Roman" w:eastAsia="Times New Roman" w:hAnsi="Times New Roman" w:cs="Times New Roman"/>
          <w:sz w:val="24"/>
          <w:szCs w:val="24"/>
        </w:rPr>
        <w:t xml:space="preserve"> is the continuous function of the localized cross-sectional area along the longitudinal axis (</w:t>
      </w:r>
      <w:r w:rsidRPr="00203819">
        <w:rPr>
          <w:rFonts w:ascii="Arial" w:eastAsia="Times New Roman" w:hAnsi="Arial" w:cs="Arial"/>
          <w:sz w:val="24"/>
          <w:szCs w:val="24"/>
        </w:rPr>
        <w:t>X</w:t>
      </w:r>
      <w:r w:rsidRPr="00203819">
        <w:rPr>
          <w:rFonts w:ascii="Times New Roman" w:eastAsia="Times New Roman" w:hAnsi="Times New Roman" w:cs="Times New Roman"/>
          <w:sz w:val="24"/>
          <w:szCs w:val="24"/>
        </w:rPr>
        <w:t xml:space="preserve">), and </w:t>
      </w:r>
      <w:r w:rsidRPr="00203819">
        <w:rPr>
          <w:rFonts w:ascii="Arial" w:eastAsia="Times New Roman" w:hAnsi="Arial" w:cs="Arial"/>
          <w:sz w:val="24"/>
          <w:szCs w:val="24"/>
        </w:rPr>
        <w:t>K_t</w:t>
      </w:r>
      <w:r>
        <w:rPr>
          <w:rFonts w:ascii="Arial" w:eastAsia="Times New Roman" w:hAnsi="Arial" w:cs="Arial"/>
          <w:sz w:val="24"/>
          <w:szCs w:val="24"/>
        </w:rPr>
        <w:t xml:space="preserve"> </w:t>
      </w:r>
      <w:r w:rsidRPr="00203819">
        <w:rPr>
          <w:rFonts w:ascii="Times New Roman" w:eastAsia="Times New Roman" w:hAnsi="Times New Roman" w:cs="Times New Roman"/>
          <w:sz w:val="24"/>
          <w:szCs w:val="24"/>
        </w:rPr>
        <w:t>denotes the theoretical stress concentration factor induced by the structural flange transitions.</w:t>
      </w:r>
    </w:p>
    <w:p w14:paraId="5163D088" w14:textId="77777777" w:rsidR="00203819" w:rsidRDefault="00203819" w:rsidP="003F65E2">
      <w:pPr>
        <w:rPr>
          <w:rFonts w:asciiTheme="majorBidi" w:hAnsiTheme="majorBidi" w:cstheme="majorBidi"/>
          <w:b/>
          <w:bCs/>
          <w:sz w:val="24"/>
          <w:szCs w:val="24"/>
          <w:rtl/>
        </w:rPr>
      </w:pPr>
    </w:p>
    <w:p w14:paraId="6306B293" w14:textId="77777777" w:rsidR="00E236A9" w:rsidRDefault="00E236A9" w:rsidP="003F65E2">
      <w:pPr>
        <w:rPr>
          <w:rFonts w:asciiTheme="majorBidi" w:hAnsiTheme="majorBidi" w:cstheme="majorBidi"/>
          <w:b/>
          <w:bCs/>
          <w:sz w:val="24"/>
          <w:szCs w:val="24"/>
          <w:rtl/>
        </w:rPr>
      </w:pPr>
    </w:p>
    <w:p w14:paraId="26407F43" w14:textId="77777777" w:rsidR="00E236A9" w:rsidRDefault="00E236A9" w:rsidP="003F65E2">
      <w:pPr>
        <w:rPr>
          <w:rFonts w:asciiTheme="majorBidi" w:hAnsiTheme="majorBidi" w:cstheme="majorBidi"/>
          <w:b/>
          <w:bCs/>
          <w:sz w:val="24"/>
          <w:szCs w:val="24"/>
          <w:rtl/>
        </w:rPr>
      </w:pPr>
    </w:p>
    <w:p w14:paraId="3E670F9C" w14:textId="77777777" w:rsidR="00E236A9" w:rsidRDefault="00E236A9" w:rsidP="003F65E2">
      <w:pPr>
        <w:rPr>
          <w:rFonts w:asciiTheme="majorBidi" w:hAnsiTheme="majorBidi" w:cstheme="majorBidi"/>
          <w:b/>
          <w:bCs/>
          <w:sz w:val="24"/>
          <w:szCs w:val="24"/>
          <w:rtl/>
        </w:rPr>
      </w:pPr>
    </w:p>
    <w:p w14:paraId="1CC3D932" w14:textId="77777777" w:rsidR="00E236A9" w:rsidRDefault="00E236A9" w:rsidP="003F65E2">
      <w:pPr>
        <w:rPr>
          <w:rFonts w:asciiTheme="majorBidi" w:hAnsiTheme="majorBidi" w:cstheme="majorBidi"/>
          <w:b/>
          <w:bCs/>
          <w:sz w:val="24"/>
          <w:szCs w:val="24"/>
          <w:rtl/>
        </w:rPr>
      </w:pPr>
    </w:p>
    <w:p w14:paraId="1D5A4B45" w14:textId="37D7598F" w:rsidR="00203819" w:rsidRPr="00203819" w:rsidRDefault="00203819" w:rsidP="00203819">
      <w:pPr>
        <w:spacing w:after="0" w:line="240" w:lineRule="auto"/>
        <w:rPr>
          <w:rFonts w:ascii="Times New Roman" w:eastAsia="Times New Roman" w:hAnsi="Times New Roman" w:cs="Times New Roman"/>
          <w:sz w:val="24"/>
          <w:szCs w:val="24"/>
        </w:rPr>
      </w:pPr>
      <w:r w:rsidRPr="00203819">
        <w:rPr>
          <w:rFonts w:ascii="Times New Roman" w:eastAsia="Times New Roman" w:hAnsi="Times New Roman" w:cs="Times New Roman"/>
          <w:sz w:val="24"/>
          <w:szCs w:val="24"/>
        </w:rPr>
        <w:t>The quantitative correlation between the geometric constriction and the corresponding stress amplification is compiled in Table 2. To evaluate the exact mathematical convergence of the solver at the localized critical zones, the relative percentage error (</w:t>
      </w:r>
      <m:oMath>
        <m:r>
          <w:rPr>
            <w:rFonts w:ascii="Cambria Math" w:eastAsia="Times New Roman" w:hAnsi="Cambria Math" w:cs="Times New Roman"/>
            <w:sz w:val="24"/>
            <w:szCs w:val="24"/>
          </w:rPr>
          <m:t>ϵ</m:t>
        </m:r>
      </m:oMath>
      <w:r w:rsidRPr="00203819">
        <w:rPr>
          <w:rFonts w:ascii="Times New Roman" w:eastAsia="Times New Roman" w:hAnsi="Times New Roman" w:cs="Times New Roman"/>
          <w:sz w:val="24"/>
          <w:szCs w:val="24"/>
        </w:rPr>
        <w:t>) was computed utilizing the following relative error formula:</w:t>
      </w:r>
    </w:p>
    <w:p w14:paraId="08EEA2E3" w14:textId="4103FE0B" w:rsidR="00E236A9" w:rsidRDefault="00203819" w:rsidP="003F65E2">
      <w:pPr>
        <w:rPr>
          <w:rFonts w:asciiTheme="majorBidi" w:hAnsiTheme="majorBidi" w:cstheme="majorBidi"/>
          <w:b/>
          <w:bCs/>
          <w:sz w:val="24"/>
          <w:szCs w:val="24"/>
        </w:rPr>
      </w:pPr>
      <w:r>
        <w:rPr>
          <w:rFonts w:asciiTheme="majorBidi" w:hAnsiTheme="majorBidi" w:cstheme="majorBidi"/>
          <w:b/>
          <w:bCs/>
          <w:sz w:val="24"/>
          <w:szCs w:val="24"/>
        </w:rPr>
        <w:t xml:space="preserve">                                                   </w:t>
      </w:r>
    </w:p>
    <w:p w14:paraId="1691B8D0" w14:textId="3B98498F" w:rsidR="00203819" w:rsidRPr="00203819" w:rsidRDefault="00203819" w:rsidP="00203819">
      <w:pPr>
        <w:jc w:val="center"/>
        <w:rPr>
          <w:rFonts w:asciiTheme="majorBidi" w:eastAsiaTheme="minorEastAsia" w:hAnsiTheme="majorBidi" w:cstheme="majorBidi"/>
          <w:sz w:val="24"/>
          <w:szCs w:val="24"/>
        </w:rPr>
      </w:pPr>
      <m:oMathPara>
        <m:oMath>
          <m:r>
            <w:rPr>
              <w:rFonts w:ascii="Cambria Math" w:hAnsi="Cambria Math" w:cstheme="majorBidi"/>
              <w:sz w:val="24"/>
              <w:szCs w:val="24"/>
            </w:rPr>
            <m:t>ϵ</m:t>
          </m:r>
          <m:d>
            <m:dPr>
              <m:ctrlPr>
                <w:rPr>
                  <w:rFonts w:ascii="Cambria Math" w:hAnsi="Cambria Math" w:cstheme="majorBidi"/>
                  <w:sz w:val="24"/>
                  <w:szCs w:val="24"/>
                </w:rPr>
              </m:ctrlPr>
            </m:dPr>
            <m:e>
              <m:r>
                <w:rPr>
                  <w:rFonts w:ascii="Cambria Math" w:hAnsi="Cambria Math" w:cstheme="majorBidi"/>
                  <w:sz w:val="24"/>
                  <w:szCs w:val="24"/>
                </w:rPr>
                <m:t>%</m:t>
              </m:r>
            </m:e>
          </m:d>
          <m:r>
            <w:rPr>
              <w:rFonts w:ascii="Cambria Math" w:hAnsi="Cambria Math" w:cstheme="majorBidi"/>
              <w:sz w:val="24"/>
              <w:szCs w:val="24"/>
            </w:rPr>
            <m:t>=</m:t>
          </m:r>
          <m:d>
            <m:dPr>
              <m:begChr m:val="|"/>
              <m:endChr m:val="|"/>
              <m:ctrlPr>
                <w:rPr>
                  <w:rFonts w:ascii="Cambria Math" w:hAnsi="Cambria Math" w:cstheme="majorBidi"/>
                  <w:sz w:val="24"/>
                  <w:szCs w:val="24"/>
                </w:rPr>
              </m:ctrlPr>
            </m:dPr>
            <m:e>
              <m:f>
                <m:fPr>
                  <m:ctrlPr>
                    <w:rPr>
                      <w:rFonts w:ascii="Cambria Math" w:hAnsi="Cambria Math" w:cstheme="majorBidi"/>
                      <w:sz w:val="24"/>
                      <w:szCs w:val="24"/>
                    </w:rPr>
                  </m:ctrlPr>
                </m:fPr>
                <m:num>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calc</m:t>
                      </m:r>
                    </m:sub>
                  </m:sSub>
                  <m: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num>
                <m:den>
                  <m:sSub>
                    <m:sSubPr>
                      <m:ctrlPr>
                        <w:rPr>
                          <w:rFonts w:ascii="Cambria Math" w:hAnsi="Cambria Math" w:cstheme="majorBidi"/>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den>
              </m:f>
            </m:e>
          </m:d>
          <m:r>
            <w:rPr>
              <w:rFonts w:ascii="Cambria Math" w:hAnsi="Cambria Math" w:cstheme="majorBidi"/>
              <w:sz w:val="24"/>
              <w:szCs w:val="24"/>
            </w:rPr>
            <m:t>×100</m:t>
          </m:r>
        </m:oMath>
      </m:oMathPara>
    </w:p>
    <w:p w14:paraId="68D65C48" w14:textId="6C9BD9A2" w:rsidR="00203819" w:rsidRPr="00203819" w:rsidRDefault="00203819" w:rsidP="00203819">
      <w:pPr>
        <w:spacing w:after="0" w:line="240" w:lineRule="auto"/>
        <w:rPr>
          <w:rFonts w:ascii="Times New Roman" w:eastAsia="Times New Roman" w:hAnsi="Times New Roman" w:cs="Times New Roman"/>
          <w:sz w:val="24"/>
          <w:szCs w:val="24"/>
        </w:rPr>
      </w:pPr>
      <w:r w:rsidRPr="00203819">
        <w:rPr>
          <w:rFonts w:ascii="Times New Roman" w:eastAsia="Times New Roman" w:hAnsi="Times New Roman" w:cs="Times New Roman"/>
          <w:sz w:val="24"/>
          <w:szCs w:val="24"/>
        </w:rPr>
        <w:t xml:space="preserve">This absolute convergence </w:t>
      </w:r>
      <m:oMath>
        <m:r>
          <w:rPr>
            <w:rFonts w:ascii="Cambria Math" w:eastAsia="Times New Roman" w:hAnsi="Cambria Math" w:cs="Times New Roman"/>
            <w:sz w:val="24"/>
            <w:szCs w:val="24"/>
          </w:rPr>
          <m:t>ϵ=0.00%</m:t>
        </m:r>
      </m:oMath>
      <w:r w:rsidRPr="00203819">
        <w:rPr>
          <w:rFonts w:ascii="Times New Roman" w:eastAsia="Times New Roman" w:hAnsi="Times New Roman" w:cs="Times New Roman"/>
          <w:sz w:val="24"/>
          <w:szCs w:val="24"/>
        </w:rPr>
        <w:t xml:space="preserve">) rigorously confirms that the mesh density and boundary condition mechanics are highly optimized. Within the non-critical structural domains (e.g.,  </w:t>
      </w:r>
      <w:r w:rsidRPr="00203819">
        <w:rPr>
          <w:rFonts w:ascii="Arial" w:eastAsia="Times New Roman" w:hAnsi="Arial" w:cs="Arial"/>
          <w:sz w:val="24"/>
          <w:szCs w:val="24"/>
        </w:rPr>
        <w:t>X = 328.7  mm</w:t>
      </w:r>
      <w:r w:rsidRPr="00203819">
        <w:rPr>
          <w:rFonts w:ascii="Times New Roman" w:eastAsia="Times New Roman" w:hAnsi="Times New Roman" w:cs="Times New Roman"/>
          <w:sz w:val="24"/>
          <w:szCs w:val="24"/>
        </w:rPr>
        <w:t xml:space="preserve">), the calculated stresses safely remain beneath the elastic limit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calc</m:t>
            </m:r>
          </m:sub>
        </m:sSub>
        <m:r>
          <w:rPr>
            <w:rFonts w:ascii="Cambria Math" w:eastAsia="Times New Roman" w:hAnsi="Cambria Math" w:cs="Times New Roman"/>
            <w:sz w:val="24"/>
            <w:szCs w:val="24"/>
          </w:rPr>
          <m:t>=220.0</m:t>
        </m:r>
        <m:r>
          <m:rPr>
            <m:nor/>
          </m:rPr>
          <w:rPr>
            <w:rFonts w:ascii="Times New Roman" w:eastAsia="Times New Roman" w:hAnsi="Times New Roman" w:cs="Times New Roman"/>
            <w:sz w:val="24"/>
            <w:szCs w:val="24"/>
          </w:rPr>
          <m:t> MPa</m:t>
        </m:r>
      </m:oMath>
      <w:r w:rsidRPr="00203819">
        <w:rPr>
          <w:rFonts w:ascii="Arial" w:eastAsia="Times New Roman" w:hAnsi="Arial" w:cs="Arial"/>
          <w:sz w:val="24"/>
          <w:szCs w:val="24"/>
        </w:rPr>
        <w:t xml:space="preserve">220.0 </w:t>
      </w:r>
      <w:r w:rsidRPr="00203819">
        <w:rPr>
          <w:rFonts w:ascii="Times New Roman" w:eastAsia="Times New Roman" w:hAnsi="Times New Roman" w:cs="Times New Roman"/>
          <w:sz w:val="24"/>
          <w:szCs w:val="24"/>
        </w:rPr>
        <w:t>), presenting a predictable variance that aligns with the material's elastic safety margins. This minimal error signature bounding the mathematical uncertainties proves that the computational platform is exceptionally dependable for the subsequent forecasting of the component's residual useful life (RUL).</w:t>
      </w:r>
    </w:p>
    <w:p w14:paraId="3B68CC7D" w14:textId="77777777" w:rsidR="00203819" w:rsidRDefault="00203819" w:rsidP="00203819">
      <w:pPr>
        <w:rPr>
          <w:rFonts w:asciiTheme="majorBidi" w:hAnsiTheme="majorBidi" w:cstheme="majorBidi"/>
          <w:b/>
          <w:bCs/>
          <w:sz w:val="24"/>
          <w:szCs w:val="24"/>
          <w:rtl/>
        </w:rPr>
      </w:pPr>
    </w:p>
    <w:p w14:paraId="7836A8A3" w14:textId="77777777" w:rsidR="00E236A9" w:rsidRDefault="00E236A9" w:rsidP="003F65E2">
      <w:pPr>
        <w:rPr>
          <w:rFonts w:asciiTheme="majorBidi" w:hAnsiTheme="majorBidi" w:cstheme="majorBidi"/>
          <w:b/>
          <w:bCs/>
          <w:sz w:val="24"/>
          <w:szCs w:val="24"/>
          <w:rtl/>
        </w:rPr>
      </w:pPr>
    </w:p>
    <w:p w14:paraId="16D049EB" w14:textId="77777777" w:rsidR="00E236A9" w:rsidRDefault="00E236A9" w:rsidP="003F65E2">
      <w:pPr>
        <w:rPr>
          <w:rFonts w:asciiTheme="majorBidi" w:hAnsiTheme="majorBidi" w:cstheme="majorBidi"/>
          <w:b/>
          <w:bCs/>
          <w:sz w:val="24"/>
          <w:szCs w:val="24"/>
          <w:rtl/>
        </w:rPr>
      </w:pPr>
    </w:p>
    <w:p w14:paraId="425A5FFE" w14:textId="77777777" w:rsidR="00E236A9" w:rsidRDefault="00E236A9" w:rsidP="003F65E2">
      <w:pPr>
        <w:rPr>
          <w:rFonts w:asciiTheme="majorBidi" w:hAnsiTheme="majorBidi" w:cstheme="majorBidi"/>
          <w:b/>
          <w:bCs/>
          <w:sz w:val="24"/>
          <w:szCs w:val="24"/>
          <w:rtl/>
        </w:rPr>
      </w:pPr>
    </w:p>
    <w:p w14:paraId="3A8C83ED" w14:textId="77777777" w:rsidR="00E236A9" w:rsidRDefault="00E236A9" w:rsidP="003F65E2">
      <w:pPr>
        <w:rPr>
          <w:rFonts w:asciiTheme="majorBidi" w:hAnsiTheme="majorBidi" w:cstheme="majorBidi"/>
          <w:b/>
          <w:bCs/>
          <w:sz w:val="24"/>
          <w:szCs w:val="24"/>
          <w:rtl/>
        </w:rPr>
      </w:pPr>
    </w:p>
    <w:p w14:paraId="1C8EC1DE" w14:textId="77777777" w:rsidR="00E236A9" w:rsidRDefault="00E236A9" w:rsidP="003F65E2">
      <w:pPr>
        <w:rPr>
          <w:rFonts w:asciiTheme="majorBidi" w:hAnsiTheme="majorBidi" w:cstheme="majorBidi"/>
          <w:b/>
          <w:bCs/>
          <w:sz w:val="24"/>
          <w:szCs w:val="24"/>
          <w:rtl/>
        </w:rPr>
      </w:pPr>
    </w:p>
    <w:p w14:paraId="22152586" w14:textId="77777777" w:rsidR="00E236A9" w:rsidRDefault="00E236A9" w:rsidP="003F65E2">
      <w:pPr>
        <w:rPr>
          <w:rFonts w:asciiTheme="majorBidi" w:hAnsiTheme="majorBidi" w:cstheme="majorBidi"/>
          <w:b/>
          <w:bCs/>
          <w:sz w:val="24"/>
          <w:szCs w:val="24"/>
          <w:rtl/>
        </w:rPr>
      </w:pPr>
    </w:p>
    <w:p w14:paraId="525C2E3D" w14:textId="77777777" w:rsidR="00E236A9" w:rsidRDefault="00E236A9" w:rsidP="003F65E2">
      <w:pPr>
        <w:rPr>
          <w:rFonts w:asciiTheme="majorBidi" w:hAnsiTheme="majorBidi" w:cstheme="majorBidi"/>
          <w:b/>
          <w:bCs/>
          <w:sz w:val="24"/>
          <w:szCs w:val="24"/>
          <w:rtl/>
        </w:rPr>
      </w:pPr>
    </w:p>
    <w:p w14:paraId="41FFBF8F" w14:textId="77777777" w:rsidR="00E236A9" w:rsidRDefault="00E236A9" w:rsidP="003F65E2">
      <w:pPr>
        <w:rPr>
          <w:rFonts w:asciiTheme="majorBidi" w:hAnsiTheme="majorBidi" w:cstheme="majorBidi"/>
          <w:b/>
          <w:bCs/>
          <w:sz w:val="24"/>
          <w:szCs w:val="24"/>
          <w:rtl/>
        </w:rPr>
      </w:pPr>
    </w:p>
    <w:p w14:paraId="2DC85246" w14:textId="77777777" w:rsidR="00E236A9" w:rsidRDefault="00E236A9" w:rsidP="003F65E2">
      <w:pPr>
        <w:rPr>
          <w:rFonts w:asciiTheme="majorBidi" w:hAnsiTheme="majorBidi" w:cstheme="majorBidi"/>
          <w:b/>
          <w:bCs/>
          <w:sz w:val="24"/>
          <w:szCs w:val="24"/>
          <w:rtl/>
        </w:rPr>
      </w:pPr>
    </w:p>
    <w:p w14:paraId="6DEF4A01" w14:textId="77777777" w:rsidR="00E236A9" w:rsidRDefault="00E236A9" w:rsidP="003F65E2">
      <w:pPr>
        <w:rPr>
          <w:rFonts w:asciiTheme="majorBidi" w:hAnsiTheme="majorBidi" w:cstheme="majorBidi"/>
          <w:b/>
          <w:bCs/>
          <w:sz w:val="24"/>
          <w:szCs w:val="24"/>
          <w:rtl/>
        </w:rPr>
      </w:pPr>
    </w:p>
    <w:p w14:paraId="10645335" w14:textId="77777777" w:rsidR="00E236A9" w:rsidRDefault="00E236A9" w:rsidP="003F65E2">
      <w:pPr>
        <w:rPr>
          <w:rFonts w:asciiTheme="majorBidi" w:hAnsiTheme="majorBidi" w:cstheme="majorBidi"/>
          <w:b/>
          <w:bCs/>
          <w:sz w:val="24"/>
          <w:szCs w:val="24"/>
          <w:rtl/>
        </w:rPr>
      </w:pPr>
    </w:p>
    <w:p w14:paraId="0A60AFBB" w14:textId="77777777" w:rsidR="00E236A9" w:rsidRDefault="00E236A9" w:rsidP="003F65E2">
      <w:pPr>
        <w:rPr>
          <w:rFonts w:asciiTheme="majorBidi" w:hAnsiTheme="majorBidi" w:cstheme="majorBidi"/>
          <w:b/>
          <w:bCs/>
          <w:sz w:val="24"/>
          <w:szCs w:val="24"/>
          <w:rtl/>
        </w:rPr>
      </w:pPr>
    </w:p>
    <w:p w14:paraId="1D3DA106" w14:textId="77777777" w:rsidR="00E236A9" w:rsidRDefault="00E236A9" w:rsidP="003F65E2">
      <w:pPr>
        <w:rPr>
          <w:rFonts w:asciiTheme="majorBidi" w:hAnsiTheme="majorBidi" w:cstheme="majorBidi"/>
          <w:b/>
          <w:bCs/>
          <w:sz w:val="24"/>
          <w:szCs w:val="24"/>
          <w:rtl/>
        </w:rPr>
      </w:pPr>
    </w:p>
    <w:p w14:paraId="5722886E" w14:textId="3A425181" w:rsidR="006336FF" w:rsidRDefault="002A4E2A" w:rsidP="003F65E2">
      <w:pPr>
        <w:rPr>
          <w:rFonts w:asciiTheme="majorBidi" w:hAnsiTheme="majorBidi" w:cstheme="majorBidi"/>
          <w:b/>
          <w:bCs/>
          <w:sz w:val="24"/>
          <w:szCs w:val="24"/>
        </w:rPr>
      </w:pPr>
      <w:r>
        <w:rPr>
          <w:rFonts w:asciiTheme="majorBidi" w:hAnsiTheme="majorBidi" w:cstheme="majorBidi"/>
          <w:b/>
          <w:bCs/>
          <w:sz w:val="24"/>
          <w:szCs w:val="24"/>
        </w:rPr>
        <w:t>-</w:t>
      </w:r>
      <w:r w:rsidR="006336FF" w:rsidRPr="00986305">
        <w:rPr>
          <w:rFonts w:asciiTheme="majorBidi" w:hAnsiTheme="majorBidi" w:cstheme="majorBidi"/>
          <w:b/>
          <w:bCs/>
          <w:sz w:val="24"/>
          <w:szCs w:val="24"/>
        </w:rPr>
        <w:t xml:space="preserve">Results </w:t>
      </w:r>
      <w:r>
        <w:rPr>
          <w:rFonts w:asciiTheme="majorBidi" w:hAnsiTheme="majorBidi" w:cstheme="majorBidi"/>
          <w:b/>
          <w:bCs/>
          <w:sz w:val="24"/>
          <w:szCs w:val="24"/>
        </w:rPr>
        <w:t>and Discussion :</w:t>
      </w:r>
    </w:p>
    <w:p w14:paraId="5B60CF67" w14:textId="77777777" w:rsidR="002A4E2A" w:rsidRDefault="002A4E2A" w:rsidP="003F65E2">
      <w:pPr>
        <w:rPr>
          <w:rFonts w:asciiTheme="majorBidi" w:hAnsiTheme="majorBidi" w:cstheme="majorBidi"/>
          <w:b/>
          <w:bCs/>
          <w:sz w:val="24"/>
          <w:szCs w:val="24"/>
        </w:rPr>
      </w:pPr>
    </w:p>
    <w:p w14:paraId="1221722A" w14:textId="77777777" w:rsidR="002A4E2A" w:rsidRDefault="002A4E2A" w:rsidP="003F65E2">
      <w:pPr>
        <w:rPr>
          <w:rFonts w:asciiTheme="majorBidi" w:hAnsiTheme="majorBidi" w:cstheme="majorBidi"/>
          <w:b/>
          <w:bCs/>
          <w:sz w:val="24"/>
          <w:szCs w:val="24"/>
        </w:rPr>
      </w:pPr>
    </w:p>
    <w:p w14:paraId="3EFEBCA8" w14:textId="77777777" w:rsidR="002A4E2A" w:rsidRDefault="002A4E2A" w:rsidP="003F65E2">
      <w:pPr>
        <w:rPr>
          <w:rFonts w:asciiTheme="majorBidi" w:hAnsiTheme="majorBidi" w:cstheme="majorBidi"/>
          <w:b/>
          <w:bCs/>
          <w:sz w:val="24"/>
          <w:szCs w:val="24"/>
        </w:rPr>
      </w:pPr>
    </w:p>
    <w:p w14:paraId="6925B5DE" w14:textId="77777777" w:rsidR="002A4E2A" w:rsidRDefault="002A4E2A" w:rsidP="003F65E2">
      <w:pPr>
        <w:rPr>
          <w:rFonts w:asciiTheme="majorBidi" w:hAnsiTheme="majorBidi" w:cstheme="majorBidi"/>
          <w:b/>
          <w:bCs/>
          <w:sz w:val="24"/>
          <w:szCs w:val="24"/>
        </w:rPr>
      </w:pPr>
    </w:p>
    <w:p w14:paraId="4972CC51" w14:textId="77777777" w:rsidR="002A4E2A" w:rsidRDefault="002A4E2A" w:rsidP="003F65E2">
      <w:pPr>
        <w:rPr>
          <w:rFonts w:asciiTheme="majorBidi" w:hAnsiTheme="majorBidi" w:cstheme="majorBidi"/>
          <w:b/>
          <w:bCs/>
          <w:sz w:val="24"/>
          <w:szCs w:val="24"/>
        </w:rPr>
      </w:pPr>
    </w:p>
    <w:p w14:paraId="46BC6B4B" w14:textId="77777777" w:rsidR="002A4E2A" w:rsidRPr="00986305" w:rsidRDefault="002A4E2A" w:rsidP="003F65E2">
      <w:pPr>
        <w:rPr>
          <w:rFonts w:asciiTheme="majorBidi" w:hAnsiTheme="majorBidi" w:cstheme="majorBidi"/>
          <w:b/>
          <w:bCs/>
          <w:sz w:val="24"/>
          <w:szCs w:val="24"/>
        </w:rPr>
      </w:pPr>
    </w:p>
    <w:p w14:paraId="5722886F"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4.1 Stress Distribution  </w:t>
      </w:r>
    </w:p>
    <w:p w14:paraId="57228870" w14:textId="625C9601"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finite element results indicate that the Von Mises stress ranges from 0 to 14.57 MPa. Most areas show low stress levels, confirming a structurally stable and rigid system.</w:t>
      </w:r>
      <w:r w:rsidR="005C718D">
        <w:rPr>
          <w:rFonts w:asciiTheme="majorBidi" w:hAnsiTheme="majorBidi" w:cstheme="majorBidi"/>
          <w:sz w:val="24"/>
          <w:szCs w:val="24"/>
        </w:rPr>
        <w:t>as S</w:t>
      </w:r>
      <w:r w:rsidR="004A5896">
        <w:rPr>
          <w:rFonts w:asciiTheme="majorBidi" w:hAnsiTheme="majorBidi" w:cstheme="majorBidi"/>
          <w:sz w:val="24"/>
          <w:szCs w:val="24"/>
        </w:rPr>
        <w:t>hown Fig.(3)</w:t>
      </w:r>
    </w:p>
    <w:p w14:paraId="2A249A43" w14:textId="5A69D20A" w:rsidR="002804C1" w:rsidRPr="00986305" w:rsidRDefault="00412D1A"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13BC173D" wp14:editId="4795D71A">
            <wp:extent cx="4615180" cy="2712720"/>
            <wp:effectExtent l="0" t="0" r="0" b="0"/>
            <wp:docPr id="1521402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5180" cy="2712720"/>
                    </a:xfrm>
                    <a:prstGeom prst="rect">
                      <a:avLst/>
                    </a:prstGeom>
                    <a:noFill/>
                  </pic:spPr>
                </pic:pic>
              </a:graphicData>
            </a:graphic>
          </wp:inline>
        </w:drawing>
      </w:r>
    </w:p>
    <w:p w14:paraId="29D29E63" w14:textId="06EE6CB2" w:rsidR="002804C1" w:rsidRPr="00986305" w:rsidRDefault="00986305"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Fig. (3) Von Mises Stress</w:t>
      </w:r>
    </w:p>
    <w:p w14:paraId="46359D26" w14:textId="77777777" w:rsidR="002804C1" w:rsidRPr="00986305" w:rsidRDefault="002804C1" w:rsidP="003F65E2">
      <w:pPr>
        <w:rPr>
          <w:rFonts w:asciiTheme="majorBidi" w:hAnsiTheme="majorBidi" w:cstheme="majorBidi"/>
          <w:sz w:val="24"/>
          <w:szCs w:val="24"/>
        </w:rPr>
      </w:pPr>
    </w:p>
    <w:p w14:paraId="5BFF7E60" w14:textId="77777777" w:rsidR="004A5896" w:rsidRDefault="004A5896" w:rsidP="003F65E2">
      <w:pPr>
        <w:rPr>
          <w:rFonts w:asciiTheme="majorBidi" w:hAnsiTheme="majorBidi" w:cstheme="majorBidi"/>
          <w:b/>
          <w:bCs/>
          <w:sz w:val="24"/>
          <w:szCs w:val="24"/>
        </w:rPr>
      </w:pPr>
    </w:p>
    <w:p w14:paraId="57228871" w14:textId="14F37C9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4.2 Displacement Analysis  </w:t>
      </w:r>
    </w:p>
    <w:p w14:paraId="13CCF193" w14:textId="1D12DB11" w:rsidR="00740A5D"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maximum displacement is 0.007724 mm, reflecting minimal deformation. The observed radial expansion (bulging) is negligible and does not threaten structural integrity. </w:t>
      </w:r>
      <w:r w:rsidR="004A5896">
        <w:rPr>
          <w:rFonts w:asciiTheme="majorBidi" w:hAnsiTheme="majorBidi" w:cstheme="majorBidi"/>
          <w:sz w:val="24"/>
          <w:szCs w:val="24"/>
        </w:rPr>
        <w:t>Fig</w:t>
      </w:r>
      <w:r w:rsidR="000A1946">
        <w:rPr>
          <w:rFonts w:asciiTheme="majorBidi" w:hAnsiTheme="majorBidi" w:cstheme="majorBidi"/>
          <w:sz w:val="24"/>
          <w:szCs w:val="24"/>
        </w:rPr>
        <w:t>.(4)</w:t>
      </w:r>
    </w:p>
    <w:p w14:paraId="382810B9" w14:textId="2F5ABF9C" w:rsidR="00412D1A" w:rsidRPr="00986305" w:rsidRDefault="002804C1"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2CDB45C5" wp14:editId="62A988CC">
            <wp:extent cx="4163695" cy="2152015"/>
            <wp:effectExtent l="0" t="0" r="8255" b="635"/>
            <wp:docPr id="1745250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3695" cy="2152015"/>
                    </a:xfrm>
                    <a:prstGeom prst="rect">
                      <a:avLst/>
                    </a:prstGeom>
                    <a:noFill/>
                  </pic:spPr>
                </pic:pic>
              </a:graphicData>
            </a:graphic>
          </wp:inline>
        </w:drawing>
      </w:r>
    </w:p>
    <w:p w14:paraId="57228872" w14:textId="20C37F11" w:rsidR="006336FF" w:rsidRPr="00986305" w:rsidRDefault="006336FF"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 </w:t>
      </w:r>
      <w:r w:rsidR="00986305" w:rsidRPr="00986305">
        <w:rPr>
          <w:rFonts w:asciiTheme="majorBidi" w:hAnsiTheme="majorBidi" w:cstheme="majorBidi"/>
          <w:sz w:val="24"/>
          <w:szCs w:val="24"/>
        </w:rPr>
        <w:t>Fig. (4) Displacement Analysis</w:t>
      </w:r>
      <w:r w:rsidR="00986305" w:rsidRPr="00986305">
        <w:rPr>
          <w:rFonts w:asciiTheme="majorBidi" w:hAnsiTheme="majorBidi" w:cstheme="majorBidi"/>
          <w:b/>
          <w:bCs/>
          <w:sz w:val="24"/>
          <w:szCs w:val="24"/>
        </w:rPr>
        <w:t xml:space="preserve">  </w:t>
      </w:r>
    </w:p>
    <w:p w14:paraId="57228873"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4.3 Convergence Analysis  </w:t>
      </w:r>
    </w:p>
    <w:p w14:paraId="57228874" w14:textId="622D32FD"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simulation achieved a convergence rate of 1.449%, demonstrating high numerical accuracy. Stress values stabilize after mesh refinement, affirming the model's reliability. </w:t>
      </w:r>
      <w:r w:rsidR="000A1946">
        <w:rPr>
          <w:rFonts w:asciiTheme="majorBidi" w:hAnsiTheme="majorBidi" w:cstheme="majorBidi"/>
          <w:sz w:val="24"/>
          <w:szCs w:val="24"/>
        </w:rPr>
        <w:t>As Shown Fig(5)</w:t>
      </w:r>
      <w:r w:rsidRPr="00986305">
        <w:rPr>
          <w:rFonts w:asciiTheme="majorBidi" w:hAnsiTheme="majorBidi" w:cstheme="majorBidi"/>
          <w:sz w:val="24"/>
          <w:szCs w:val="24"/>
        </w:rPr>
        <w:t xml:space="preserve"> </w:t>
      </w:r>
    </w:p>
    <w:p w14:paraId="1B57A4A8" w14:textId="140D67AB" w:rsidR="00E17942" w:rsidRPr="00986305" w:rsidRDefault="00412D1A" w:rsidP="00412D1A">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4C649A89" wp14:editId="166D554D">
            <wp:extent cx="4884420" cy="2486931"/>
            <wp:effectExtent l="0" t="0" r="0" b="8890"/>
            <wp:docPr id="1981872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4575" cy="2492102"/>
                    </a:xfrm>
                    <a:prstGeom prst="rect">
                      <a:avLst/>
                    </a:prstGeom>
                    <a:noFill/>
                  </pic:spPr>
                </pic:pic>
              </a:graphicData>
            </a:graphic>
          </wp:inline>
        </w:drawing>
      </w:r>
    </w:p>
    <w:p w14:paraId="27EEC94C" w14:textId="1A7C551A" w:rsidR="00986305" w:rsidRPr="00986305" w:rsidRDefault="00986305" w:rsidP="00986305">
      <w:pPr>
        <w:ind w:left="-1152" w:right="-432"/>
        <w:jc w:val="center"/>
        <w:rPr>
          <w:rFonts w:asciiTheme="majorBidi" w:hAnsiTheme="majorBidi" w:cstheme="majorBidi"/>
          <w:sz w:val="24"/>
          <w:szCs w:val="24"/>
        </w:rPr>
      </w:pPr>
      <w:r w:rsidRPr="00986305">
        <w:rPr>
          <w:rFonts w:asciiTheme="majorBidi" w:hAnsiTheme="majorBidi" w:cstheme="majorBidi"/>
          <w:sz w:val="24"/>
          <w:szCs w:val="24"/>
        </w:rPr>
        <w:t xml:space="preserve">Fig. (5) Convergence Analysis  </w:t>
      </w:r>
    </w:p>
    <w:p w14:paraId="5C49BA58" w14:textId="0EAD3D82" w:rsidR="00986305" w:rsidRPr="00986305" w:rsidRDefault="00986305" w:rsidP="003F65E2">
      <w:pPr>
        <w:rPr>
          <w:rFonts w:asciiTheme="majorBidi" w:hAnsiTheme="majorBidi" w:cstheme="majorBidi"/>
          <w:b/>
          <w:bCs/>
          <w:sz w:val="24"/>
          <w:szCs w:val="24"/>
        </w:rPr>
      </w:pPr>
    </w:p>
    <w:p w14:paraId="46D5F1B7" w14:textId="77777777" w:rsidR="000A1946" w:rsidRDefault="000A1946" w:rsidP="003F65E2">
      <w:pPr>
        <w:rPr>
          <w:rFonts w:asciiTheme="majorBidi" w:hAnsiTheme="majorBidi" w:cstheme="majorBidi"/>
          <w:b/>
          <w:bCs/>
          <w:sz w:val="24"/>
          <w:szCs w:val="24"/>
        </w:rPr>
      </w:pPr>
    </w:p>
    <w:p w14:paraId="5361BE52" w14:textId="77777777" w:rsidR="000A1946" w:rsidRDefault="000A1946" w:rsidP="003F65E2">
      <w:pPr>
        <w:rPr>
          <w:rFonts w:asciiTheme="majorBidi" w:hAnsiTheme="majorBidi" w:cstheme="majorBidi"/>
          <w:b/>
          <w:bCs/>
          <w:sz w:val="24"/>
          <w:szCs w:val="24"/>
        </w:rPr>
      </w:pPr>
    </w:p>
    <w:p w14:paraId="57228875" w14:textId="18A6D5B8"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4.4 Residual Lifetime Prediction  </w:t>
      </w:r>
    </w:p>
    <w:p w14:paraId="57228876"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Using the Larson-Miller model at an operating temperature of 800°C, the predicted creep rupture life is around 10,000 hours. </w:t>
      </w:r>
    </w:p>
    <w:p w14:paraId="57228877" w14:textId="5C69143A"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The design point is in a low-stress region of the rupture curve, suggesting prolonged operational life under current conditions.</w:t>
      </w:r>
      <w:r w:rsidR="00701E57">
        <w:rPr>
          <w:rFonts w:asciiTheme="majorBidi" w:hAnsiTheme="majorBidi" w:cstheme="majorBidi"/>
          <w:sz w:val="24"/>
          <w:szCs w:val="24"/>
        </w:rPr>
        <w:t>as Shown Fig(6)</w:t>
      </w:r>
    </w:p>
    <w:p w14:paraId="4A44D6E8" w14:textId="52B36716" w:rsidR="00E17942" w:rsidRPr="00986305" w:rsidRDefault="00E17942" w:rsidP="003F65E2">
      <w:pPr>
        <w:rPr>
          <w:rFonts w:asciiTheme="majorBidi" w:hAnsiTheme="majorBidi" w:cstheme="majorBidi"/>
          <w:sz w:val="24"/>
          <w:szCs w:val="24"/>
        </w:rPr>
      </w:pPr>
      <w:r w:rsidRPr="00986305">
        <w:rPr>
          <w:rFonts w:asciiTheme="majorBidi" w:hAnsiTheme="majorBidi" w:cstheme="majorBidi"/>
          <w:noProof/>
          <w:sz w:val="24"/>
          <w:szCs w:val="24"/>
        </w:rPr>
        <w:drawing>
          <wp:inline distT="0" distB="0" distL="0" distR="0" wp14:anchorId="0AFC65AD" wp14:editId="49E43433">
            <wp:extent cx="5944235" cy="3548380"/>
            <wp:effectExtent l="0" t="0" r="0" b="0"/>
            <wp:docPr id="1814528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235" cy="3548380"/>
                    </a:xfrm>
                    <a:prstGeom prst="rect">
                      <a:avLst/>
                    </a:prstGeom>
                    <a:noFill/>
                  </pic:spPr>
                </pic:pic>
              </a:graphicData>
            </a:graphic>
          </wp:inline>
        </w:drawing>
      </w:r>
    </w:p>
    <w:p w14:paraId="59C1D896" w14:textId="41023D74" w:rsidR="00E17942" w:rsidRPr="00986305" w:rsidRDefault="00AB4DAB" w:rsidP="00701E57">
      <w:pPr>
        <w:jc w:val="center"/>
        <w:rPr>
          <w:rFonts w:asciiTheme="majorBidi" w:hAnsiTheme="majorBidi" w:cstheme="majorBidi"/>
          <w:sz w:val="24"/>
          <w:szCs w:val="24"/>
        </w:rPr>
      </w:pPr>
      <w:r>
        <w:rPr>
          <w:rFonts w:asciiTheme="majorBidi" w:hAnsiTheme="majorBidi" w:cstheme="majorBidi"/>
          <w:sz w:val="24"/>
          <w:szCs w:val="24"/>
        </w:rPr>
        <w:t>Fig(6)</w:t>
      </w:r>
    </w:p>
    <w:p w14:paraId="57228878"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8">
          <v:rect id="_x0000_i1031" style="width:468pt;height:1.5pt" o:hralign="center" o:hrstd="t" o:hr="t" fillcolor="#a0a0a0" stroked="f"/>
        </w:pict>
      </w:r>
    </w:p>
    <w:p w14:paraId="57228879" w14:textId="77777777" w:rsidR="00314A57" w:rsidRPr="00986305" w:rsidRDefault="00314A57" w:rsidP="003F65E2">
      <w:pPr>
        <w:rPr>
          <w:rFonts w:asciiTheme="majorBidi" w:hAnsiTheme="majorBidi" w:cstheme="majorBidi"/>
          <w:sz w:val="24"/>
          <w:szCs w:val="24"/>
        </w:rPr>
      </w:pPr>
    </w:p>
    <w:p w14:paraId="5722887A"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5. Discussion  </w:t>
      </w:r>
    </w:p>
    <w:p w14:paraId="5722887B"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results verify that creep is the main failure mechanism in the combustion chamber system. The low stress levels seen in the FEA results contribute to a longer component lifetime. </w:t>
      </w:r>
    </w:p>
    <w:p w14:paraId="5722887C"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The combination of FEA and LMP provides a useful predictive tool for assessing structural integrity. The high accuracy (approximately 95%) shows the effectiveness of the proposed method. </w:t>
      </w:r>
    </w:p>
    <w:p w14:paraId="5722887D"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Additionally, the system displays solid resistance to deformation and thermal stress, indicating that the current design is well-suited for high-temperature operation.</w:t>
      </w:r>
    </w:p>
    <w:p w14:paraId="5722887E"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9">
          <v:rect id="_x0000_i1032" style="width:468pt;height:1.5pt" o:hralign="center" o:hrstd="t" o:hr="t" fillcolor="#a0a0a0" stroked="f"/>
        </w:pict>
      </w:r>
    </w:p>
    <w:p w14:paraId="5722887F" w14:textId="77777777" w:rsidR="00314A57" w:rsidRPr="00986305" w:rsidRDefault="00314A57" w:rsidP="003F65E2">
      <w:pPr>
        <w:rPr>
          <w:rFonts w:asciiTheme="majorBidi" w:hAnsiTheme="majorBidi" w:cstheme="majorBidi"/>
          <w:sz w:val="24"/>
          <w:szCs w:val="24"/>
        </w:rPr>
      </w:pPr>
    </w:p>
    <w:p w14:paraId="57228880"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6. Practical Implications  </w:t>
      </w:r>
    </w:p>
    <w:p w14:paraId="57228881"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This method has significant implications for:  </w:t>
      </w:r>
    </w:p>
    <w:p w14:paraId="57228882"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Predictive maintenance strategies  </w:t>
      </w:r>
    </w:p>
    <w:p w14:paraId="57228883"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Asset management optimization  </w:t>
      </w:r>
    </w:p>
    <w:p w14:paraId="57228884"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Power plant reliability improvement  </w:t>
      </w:r>
    </w:p>
    <w:p w14:paraId="57228885"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National energy security  </w:t>
      </w:r>
    </w:p>
    <w:p w14:paraId="57228886"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A">
          <v:rect id="_x0000_i1033" style="width:468pt;height:1.5pt" o:hralign="center" o:hrstd="t" o:hr="t" fillcolor="#a0a0a0" stroked="f"/>
        </w:pict>
      </w:r>
    </w:p>
    <w:p w14:paraId="57228887" w14:textId="77777777" w:rsidR="00314A57" w:rsidRPr="00986305" w:rsidRDefault="00314A57" w:rsidP="003F65E2">
      <w:pPr>
        <w:pStyle w:val="ListParagraph"/>
        <w:ind w:left="0"/>
        <w:rPr>
          <w:rFonts w:asciiTheme="majorBidi" w:hAnsiTheme="majorBidi" w:cstheme="majorBidi"/>
          <w:sz w:val="24"/>
          <w:szCs w:val="24"/>
        </w:rPr>
      </w:pPr>
    </w:p>
    <w:p w14:paraId="57228888"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7. Future Work  </w:t>
      </w:r>
    </w:p>
    <w:p w14:paraId="57228889"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Future research should focus on:  </w:t>
      </w:r>
    </w:p>
    <w:p w14:paraId="5722888A"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Creep-fatigue interaction under cyclic loading conditions  </w:t>
      </w:r>
    </w:p>
    <w:p w14:paraId="5722888B"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 Nonlinear transient finite element analysis using advanced software (ANSYS, Abaqus)  </w:t>
      </w:r>
    </w:p>
    <w:p w14:paraId="5722888C"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Coupled CFD-FEA simulations for accurate thermal mapping  </w:t>
      </w:r>
    </w:p>
    <w:p w14:paraId="5722888D"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Oxidation and corrosion modeling under real combustion conditions  </w:t>
      </w:r>
    </w:p>
    <w:p w14:paraId="5722888E" w14:textId="77777777" w:rsidR="006336FF" w:rsidRPr="00986305" w:rsidRDefault="006336FF" w:rsidP="003F65E2">
      <w:pPr>
        <w:pStyle w:val="ListParagraph"/>
        <w:numPr>
          <w:ilvl w:val="0"/>
          <w:numId w:val="5"/>
        </w:numPr>
        <w:ind w:left="0"/>
        <w:rPr>
          <w:rFonts w:asciiTheme="majorBidi" w:hAnsiTheme="majorBidi" w:cstheme="majorBidi"/>
          <w:sz w:val="24"/>
          <w:szCs w:val="24"/>
        </w:rPr>
      </w:pPr>
      <w:r w:rsidRPr="00986305">
        <w:rPr>
          <w:rFonts w:asciiTheme="majorBidi" w:hAnsiTheme="majorBidi" w:cstheme="majorBidi"/>
          <w:sz w:val="24"/>
          <w:szCs w:val="24"/>
        </w:rPr>
        <w:t xml:space="preserve">Developing advanced thermal barrier coatings  </w:t>
      </w:r>
    </w:p>
    <w:p w14:paraId="5722888F"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B">
          <v:rect id="_x0000_i1034" style="width:468pt;height:1.5pt" o:hralign="center" o:hrstd="t" o:hr="t" fillcolor="#a0a0a0" stroked="f"/>
        </w:pict>
      </w:r>
    </w:p>
    <w:p w14:paraId="57228890" w14:textId="77777777" w:rsidR="00314A57" w:rsidRPr="00986305" w:rsidRDefault="00314A57" w:rsidP="003F65E2">
      <w:pPr>
        <w:pStyle w:val="ListParagraph"/>
        <w:ind w:left="0"/>
        <w:rPr>
          <w:rFonts w:asciiTheme="majorBidi" w:hAnsiTheme="majorBidi" w:cstheme="majorBidi"/>
          <w:sz w:val="24"/>
          <w:szCs w:val="24"/>
        </w:rPr>
      </w:pPr>
    </w:p>
    <w:p w14:paraId="57228891" w14:textId="77777777" w:rsidR="006336FF"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8. Conclusion  </w:t>
      </w:r>
    </w:p>
    <w:p w14:paraId="57228892"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This study presents a hybrid framework combining finite element analysis and the Larson-Miller parameter to predict the residual useful life of gas turbine combustion chambers.</w:t>
      </w:r>
    </w:p>
    <w:p w14:paraId="57228893" w14:textId="77777777" w:rsidR="00657696"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results show that the system operates within safe stress limits and has strong resistance to creep deformation. The predicted lifetime of about 10,000 hours confirms the design and material selection's effectiveness.</w:t>
      </w:r>
    </w:p>
    <w:p w14:paraId="57228894" w14:textId="77777777" w:rsidR="006336FF" w:rsidRPr="00986305" w:rsidRDefault="006336FF" w:rsidP="003F65E2">
      <w:pPr>
        <w:rPr>
          <w:rFonts w:asciiTheme="majorBidi" w:hAnsiTheme="majorBidi" w:cstheme="majorBidi"/>
          <w:sz w:val="24"/>
          <w:szCs w:val="24"/>
        </w:rPr>
      </w:pPr>
      <w:r w:rsidRPr="00986305">
        <w:rPr>
          <w:rFonts w:asciiTheme="majorBidi" w:hAnsiTheme="majorBidi" w:cstheme="majorBidi"/>
          <w:sz w:val="24"/>
          <w:szCs w:val="24"/>
        </w:rPr>
        <w:t xml:space="preserve"> The proposed method offers a reliable and practical tool for enhancing the performance, safety, and sustainability of power generation systems.  </w:t>
      </w:r>
    </w:p>
    <w:p w14:paraId="57228895" w14:textId="77777777" w:rsidR="00314A57" w:rsidRPr="00986305" w:rsidRDefault="00000000" w:rsidP="003F65E2">
      <w:pPr>
        <w:spacing w:after="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2288DC">
          <v:rect id="_x0000_i1035" style="width:468pt;height:1.5pt" o:hralign="center" o:hrstd="t" o:hr="t" fillcolor="#a0a0a0" stroked="f"/>
        </w:pict>
      </w:r>
    </w:p>
    <w:p w14:paraId="57228896" w14:textId="77777777" w:rsidR="00314A57" w:rsidRPr="00986305" w:rsidRDefault="00314A57" w:rsidP="003F65E2">
      <w:pPr>
        <w:rPr>
          <w:rFonts w:asciiTheme="majorBidi" w:hAnsiTheme="majorBidi" w:cstheme="majorBidi"/>
          <w:sz w:val="24"/>
          <w:szCs w:val="24"/>
        </w:rPr>
      </w:pPr>
    </w:p>
    <w:p w14:paraId="57228897" w14:textId="77777777" w:rsidR="003F65E2" w:rsidRPr="00986305" w:rsidRDefault="006336FF" w:rsidP="003F65E2">
      <w:pPr>
        <w:rPr>
          <w:rFonts w:asciiTheme="majorBidi" w:hAnsiTheme="majorBidi" w:cstheme="majorBidi"/>
          <w:b/>
          <w:bCs/>
          <w:sz w:val="24"/>
          <w:szCs w:val="24"/>
        </w:rPr>
      </w:pPr>
      <w:r w:rsidRPr="00986305">
        <w:rPr>
          <w:rFonts w:asciiTheme="majorBidi" w:hAnsiTheme="majorBidi" w:cstheme="majorBidi"/>
          <w:b/>
          <w:bCs/>
          <w:sz w:val="24"/>
          <w:szCs w:val="24"/>
        </w:rPr>
        <w:t xml:space="preserve">References  </w:t>
      </w:r>
    </w:p>
    <w:p w14:paraId="5722889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Cirigliano, D., D'Souza, H. L., Grimm, F., Kutne, P., &amp; Aigner, M. (2023). Creep-damage modelling for micro gas turbine combustion chambers lifetime prediction. Journal of the Global Power and Propulsion Society, 7, 166-176. Https://doi.org/10.33737/jgpps/163088</w:t>
      </w:r>
    </w:p>
    <w:p w14:paraId="57228899" w14:textId="77777777" w:rsidR="003F65E2" w:rsidRPr="00986305" w:rsidRDefault="003F65E2" w:rsidP="003F65E2">
      <w:pPr>
        <w:rPr>
          <w:rFonts w:asciiTheme="majorBidi" w:hAnsiTheme="majorBidi" w:cstheme="majorBidi"/>
          <w:b/>
          <w:bCs/>
          <w:sz w:val="24"/>
          <w:szCs w:val="24"/>
        </w:rPr>
      </w:pPr>
    </w:p>
    <w:p w14:paraId="5722889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Sun, L., et al. (2012). Numerical simulation of a complete gas turbine engine with wet compression. Journal of Engineering for Gas Turbines and Power, 135(1), 012002. Https://doi.org/10.1115/1.4007366</w:t>
      </w:r>
    </w:p>
    <w:p w14:paraId="5722889B" w14:textId="77777777" w:rsidR="003F65E2" w:rsidRPr="00986305" w:rsidRDefault="003F65E2" w:rsidP="003F65E2">
      <w:pPr>
        <w:rPr>
          <w:rFonts w:asciiTheme="majorBidi" w:hAnsiTheme="majorBidi" w:cstheme="majorBidi"/>
          <w:b/>
          <w:bCs/>
          <w:sz w:val="24"/>
          <w:szCs w:val="24"/>
        </w:rPr>
      </w:pPr>
    </w:p>
    <w:p w14:paraId="5722889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Palmer, C. (2021). Worldwide gas turbine market report 2022. Turbomachinery Magazine, Handbook 2022. Retrieved from https://www.turbomachinerymag.com/view/worldwide-gas-turbine-market-report-2022</w:t>
      </w:r>
    </w:p>
    <w:p w14:paraId="5722889D" w14:textId="77777777" w:rsidR="003F65E2" w:rsidRPr="00986305" w:rsidRDefault="003F65E2" w:rsidP="003F65E2">
      <w:pPr>
        <w:rPr>
          <w:rFonts w:asciiTheme="majorBidi" w:hAnsiTheme="majorBidi" w:cstheme="majorBidi"/>
          <w:b/>
          <w:bCs/>
          <w:sz w:val="24"/>
          <w:szCs w:val="24"/>
        </w:rPr>
      </w:pPr>
    </w:p>
    <w:p w14:paraId="5722889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Ofualagba, G. (2012). The modeling and simulation of a microturbine generation system. International Journal of Scientific &amp; Engineering Research, 2(2), 1-7. Https://doi.org/10.15373/22778179/FEB2013/1</w:t>
      </w:r>
    </w:p>
    <w:p w14:paraId="5722889F" w14:textId="77777777" w:rsidR="003F65E2" w:rsidRPr="00986305" w:rsidRDefault="003F65E2" w:rsidP="003F65E2">
      <w:pPr>
        <w:rPr>
          <w:rFonts w:asciiTheme="majorBidi" w:hAnsiTheme="majorBidi" w:cstheme="majorBidi"/>
          <w:b/>
          <w:bCs/>
          <w:sz w:val="24"/>
          <w:szCs w:val="24"/>
        </w:rPr>
      </w:pPr>
    </w:p>
    <w:p w14:paraId="572288A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Beith, R. (2011). Small and micro combined heat and power (CHP) systems. In Woodhead Publishing Series in Energy (pp. 42-69).</w:t>
      </w:r>
    </w:p>
    <w:p w14:paraId="572288A1" w14:textId="77777777" w:rsidR="003F65E2" w:rsidRPr="00986305" w:rsidRDefault="003F65E2" w:rsidP="003F65E2">
      <w:pPr>
        <w:rPr>
          <w:rFonts w:asciiTheme="majorBidi" w:hAnsiTheme="majorBidi" w:cstheme="majorBidi"/>
          <w:b/>
          <w:bCs/>
          <w:sz w:val="24"/>
          <w:szCs w:val="24"/>
        </w:rPr>
      </w:pPr>
    </w:p>
    <w:p w14:paraId="572288A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Enagi, I. I., Al-Attab, K., &amp; Zainal, Z. A. (2017). Combustion chamber design and performance for micro gas turbine application. Fuel Processing Technology, 166, 258-268. Https://doi.org/10.1016/j.fuproc.2017.05.037</w:t>
      </w:r>
    </w:p>
    <w:p w14:paraId="572288A3" w14:textId="77777777" w:rsidR="003F65E2" w:rsidRPr="00986305" w:rsidRDefault="003F65E2" w:rsidP="003F65E2">
      <w:pPr>
        <w:rPr>
          <w:rFonts w:asciiTheme="majorBidi" w:hAnsiTheme="majorBidi" w:cstheme="majorBidi"/>
          <w:b/>
          <w:bCs/>
          <w:sz w:val="24"/>
          <w:szCs w:val="24"/>
        </w:rPr>
      </w:pPr>
    </w:p>
    <w:p w14:paraId="572288A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Cirigliano, D., et al. (2020). Thermo-structural analysis of a micro gas turbine jet- and recirculation-stabilized combustion chamber. Proceedings of ASME Turbo Expo 2020, GT2020-16285.</w:t>
      </w:r>
    </w:p>
    <w:p w14:paraId="572288A5" w14:textId="77777777" w:rsidR="003F65E2" w:rsidRPr="00986305" w:rsidRDefault="003F65E2" w:rsidP="003F65E2">
      <w:pPr>
        <w:rPr>
          <w:rFonts w:asciiTheme="majorBidi" w:hAnsiTheme="majorBidi" w:cstheme="majorBidi"/>
          <w:b/>
          <w:bCs/>
          <w:sz w:val="24"/>
          <w:szCs w:val="24"/>
        </w:rPr>
      </w:pPr>
    </w:p>
    <w:p w14:paraId="572288A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Abe, F. (2014). Development of creep-resistant steels and alloys for use in power plants. In A. Shirzadi &amp; S. Jackson (Eds.), Structural Alloys for Power Plants (pp. 250-293). Cambridge, UK: Woodhead Publishing. Https://doi.org/10.1533/9780857097552.2.250</w:t>
      </w:r>
    </w:p>
    <w:p w14:paraId="572288A7" w14:textId="77777777" w:rsidR="003F65E2" w:rsidRPr="00986305" w:rsidRDefault="003F65E2" w:rsidP="003F65E2">
      <w:pPr>
        <w:rPr>
          <w:rFonts w:asciiTheme="majorBidi" w:hAnsiTheme="majorBidi" w:cstheme="majorBidi"/>
          <w:b/>
          <w:bCs/>
          <w:sz w:val="24"/>
          <w:szCs w:val="24"/>
        </w:rPr>
      </w:pPr>
    </w:p>
    <w:p w14:paraId="572288A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Alain, I. (1998). The correlation between the power-law coefficients in creep: The temperature dependence. Journal of Materials Science, 33, 3201-3206. Https://doi.org/10.1023/A:1004368511595</w:t>
      </w:r>
    </w:p>
    <w:p w14:paraId="572288A9" w14:textId="77777777" w:rsidR="003F65E2" w:rsidRPr="00986305" w:rsidRDefault="003F65E2" w:rsidP="003F65E2">
      <w:pPr>
        <w:rPr>
          <w:rFonts w:asciiTheme="majorBidi" w:hAnsiTheme="majorBidi" w:cstheme="majorBidi"/>
          <w:b/>
          <w:bCs/>
          <w:sz w:val="24"/>
          <w:szCs w:val="24"/>
        </w:rPr>
      </w:pPr>
    </w:p>
    <w:p w14:paraId="572288A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Barbosa, A. L., Taylor, N. G., Ashby, M. F., Dyson, B. F., &amp; McLean, M. (1988). A model-based computer analysis of creep data (CRIPSEN): Applications to nickel-base superalloys. Acta Metallurgica, 88, 683-692</w:t>
      </w:r>
    </w:p>
    <w:p w14:paraId="572288AB" w14:textId="77777777" w:rsidR="003F65E2" w:rsidRPr="00986305" w:rsidRDefault="003F65E2" w:rsidP="003F65E2">
      <w:pPr>
        <w:rPr>
          <w:rFonts w:asciiTheme="majorBidi" w:hAnsiTheme="majorBidi" w:cstheme="majorBidi"/>
          <w:b/>
          <w:bCs/>
          <w:sz w:val="24"/>
          <w:szCs w:val="24"/>
        </w:rPr>
      </w:pPr>
    </w:p>
    <w:p w14:paraId="572288A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Betten, J. (2008). Creep Mechanics. Berlin, Heidelberg: Springer Science &amp; Business Media.</w:t>
      </w:r>
    </w:p>
    <w:p w14:paraId="572288AD" w14:textId="77777777" w:rsidR="003F65E2" w:rsidRPr="00986305" w:rsidRDefault="003F65E2" w:rsidP="003F65E2">
      <w:pPr>
        <w:rPr>
          <w:rFonts w:asciiTheme="majorBidi" w:hAnsiTheme="majorBidi" w:cstheme="majorBidi"/>
          <w:b/>
          <w:bCs/>
          <w:sz w:val="24"/>
          <w:szCs w:val="24"/>
        </w:rPr>
      </w:pPr>
    </w:p>
    <w:p w14:paraId="572288A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Brinkman, C., Booker, M., &amp; Ding, J. (1991). Creep and creep-rupture behavior of Alloy 718.</w:t>
      </w:r>
    </w:p>
    <w:p w14:paraId="572288AF" w14:textId="77777777" w:rsidR="003F65E2" w:rsidRPr="00986305" w:rsidRDefault="003F65E2" w:rsidP="003F65E2">
      <w:pPr>
        <w:rPr>
          <w:rFonts w:asciiTheme="majorBidi" w:hAnsiTheme="majorBidi" w:cstheme="majorBidi"/>
          <w:b/>
          <w:bCs/>
          <w:sz w:val="24"/>
          <w:szCs w:val="24"/>
        </w:rPr>
      </w:pPr>
    </w:p>
    <w:p w14:paraId="572288B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Caliari, F. R., Candioto, K. C. G., Couto, A. A., Nunes, C. ., &amp; Reis, D. A. P. (2016). Effect of double aging heat treatment on the short-term creep behavior of Inconel 718. Journal of Materials Engineering and Performance, 25(6), 2307-2317. Https://doi.org/10.1007/s11665-016-2051-2</w:t>
      </w:r>
    </w:p>
    <w:p w14:paraId="572288B1" w14:textId="77777777" w:rsidR="003F65E2" w:rsidRPr="00986305" w:rsidRDefault="003F65E2" w:rsidP="003F65E2">
      <w:pPr>
        <w:rPr>
          <w:rFonts w:asciiTheme="majorBidi" w:hAnsiTheme="majorBidi" w:cstheme="majorBidi"/>
          <w:b/>
          <w:bCs/>
          <w:sz w:val="24"/>
          <w:szCs w:val="24"/>
        </w:rPr>
      </w:pPr>
    </w:p>
    <w:p w14:paraId="572288B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Carey, J., Sargent, P., &amp; Jones, D. (1990). Deformation mechanism map for IN738LC superalloy. Journal of Materials Science Letters, 9, 572-575. Https://doi.org/10.1007/BF00725881</w:t>
      </w:r>
    </w:p>
    <w:p w14:paraId="572288B3" w14:textId="77777777" w:rsidR="003F65E2" w:rsidRPr="00986305" w:rsidRDefault="003F65E2" w:rsidP="003F65E2">
      <w:pPr>
        <w:rPr>
          <w:rFonts w:asciiTheme="majorBidi" w:hAnsiTheme="majorBidi" w:cstheme="majorBidi"/>
          <w:b/>
          <w:bCs/>
          <w:sz w:val="24"/>
          <w:szCs w:val="24"/>
        </w:rPr>
      </w:pPr>
    </w:p>
    <w:p w14:paraId="572288B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Chaboche, J. L., &amp; Rousselier, G. (1983). On the plastic and viscoplastic constitutive equations-Part I: Rules developed with internal variable concept. Journal of Pressure Vessel Technology, 105(2), 153-158. Https://doi.org/10.1115/1.3264257</w:t>
      </w:r>
    </w:p>
    <w:p w14:paraId="572288B5" w14:textId="77777777" w:rsidR="003F65E2" w:rsidRPr="00986305" w:rsidRDefault="003F65E2" w:rsidP="003F65E2">
      <w:pPr>
        <w:rPr>
          <w:rFonts w:asciiTheme="majorBidi" w:hAnsiTheme="majorBidi" w:cstheme="majorBidi"/>
          <w:b/>
          <w:bCs/>
          <w:sz w:val="24"/>
          <w:szCs w:val="24"/>
        </w:rPr>
      </w:pPr>
    </w:p>
    <w:p w14:paraId="572288B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Chandrupatla, T. R., &amp; Belegundu, A. D. (2012). Introduction to Finite Elements in Engineering (4th ed.). Upper Saddle River, NJ: Pearson.</w:t>
      </w:r>
    </w:p>
    <w:p w14:paraId="572288B7" w14:textId="77777777" w:rsidR="003F65E2" w:rsidRPr="00986305" w:rsidRDefault="003F65E2" w:rsidP="003F65E2">
      <w:pPr>
        <w:rPr>
          <w:rFonts w:asciiTheme="majorBidi" w:hAnsiTheme="majorBidi" w:cstheme="majorBidi"/>
          <w:b/>
          <w:bCs/>
          <w:sz w:val="24"/>
          <w:szCs w:val="24"/>
        </w:rPr>
      </w:pPr>
    </w:p>
    <w:p w14:paraId="572288B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Ciela, M., Maka, M., Binczyk, F., &amp; Grado, P. (2016). Creep behaviour of modified MAR-247 superalloy. Archives of Metallurgy and Materials, 61, 701-704.</w:t>
      </w:r>
    </w:p>
    <w:p w14:paraId="572288B9" w14:textId="77777777" w:rsidR="003F65E2" w:rsidRPr="00986305" w:rsidRDefault="003F65E2" w:rsidP="003F65E2">
      <w:pPr>
        <w:rPr>
          <w:rFonts w:asciiTheme="majorBidi" w:hAnsiTheme="majorBidi" w:cstheme="majorBidi"/>
          <w:b/>
          <w:bCs/>
          <w:sz w:val="24"/>
          <w:szCs w:val="24"/>
        </w:rPr>
      </w:pPr>
    </w:p>
    <w:p w14:paraId="572288B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Das, Y., Fernandez-Caballero, A., Elmukashfi, E., Jazaeri, H., Forsey, A., et al. (2022). Stress-driven creep deformation and cavitation damage in pure copper. Materials Science and Engineering: A, 833, 142543. Https://doi.org/10.1016/j.msea.2021.142543</w:t>
      </w:r>
    </w:p>
    <w:p w14:paraId="572288BB" w14:textId="77777777" w:rsidR="003F65E2" w:rsidRPr="00986305" w:rsidRDefault="003F65E2" w:rsidP="003F65E2">
      <w:pPr>
        <w:rPr>
          <w:rFonts w:asciiTheme="majorBidi" w:hAnsiTheme="majorBidi" w:cstheme="majorBidi"/>
          <w:b/>
          <w:bCs/>
          <w:sz w:val="24"/>
          <w:szCs w:val="24"/>
        </w:rPr>
      </w:pPr>
    </w:p>
    <w:p w14:paraId="572288B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Frost, H. J., &amp; Ashby, M. F. (1982). Deformation-Mechanism Maps. Oxford, UK: Pergamon Press.</w:t>
      </w:r>
    </w:p>
    <w:p w14:paraId="572288BD" w14:textId="77777777" w:rsidR="003F65E2" w:rsidRPr="00986305" w:rsidRDefault="003F65E2" w:rsidP="003F65E2">
      <w:pPr>
        <w:rPr>
          <w:rFonts w:asciiTheme="majorBidi" w:hAnsiTheme="majorBidi" w:cstheme="majorBidi"/>
          <w:b/>
          <w:bCs/>
          <w:sz w:val="24"/>
          <w:szCs w:val="24"/>
        </w:rPr>
      </w:pPr>
    </w:p>
    <w:p w14:paraId="572288B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Golan, O., Arbel, A., Eliezer, D., &amp; Moreno, D. (1996). Applicability of Norton's creep power law to CMSX-2 superalloy. Materials Science and Engineering: A, 216(1), 125-130. Https://doi.org/10.1016/0921-5093(96)10400-7</w:t>
      </w:r>
    </w:p>
    <w:p w14:paraId="572288BF" w14:textId="77777777" w:rsidR="003F65E2" w:rsidRPr="00986305" w:rsidRDefault="003F65E2" w:rsidP="003F65E2">
      <w:pPr>
        <w:rPr>
          <w:rFonts w:asciiTheme="majorBidi" w:hAnsiTheme="majorBidi" w:cstheme="majorBidi"/>
          <w:b/>
          <w:bCs/>
          <w:sz w:val="24"/>
          <w:szCs w:val="24"/>
        </w:rPr>
      </w:pPr>
    </w:p>
    <w:p w14:paraId="572288C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Kachanov, L. M. (1999). Rupture time under creep conditions. International Journal of Fracture, 97(1-4), 11-18. Https://doi.org/10.1023/A:1018671022008</w:t>
      </w:r>
    </w:p>
    <w:p w14:paraId="572288C1" w14:textId="77777777" w:rsidR="003F65E2" w:rsidRPr="00986305" w:rsidRDefault="003F65E2" w:rsidP="003F65E2">
      <w:pPr>
        <w:rPr>
          <w:rFonts w:asciiTheme="majorBidi" w:hAnsiTheme="majorBidi" w:cstheme="majorBidi"/>
          <w:b/>
          <w:bCs/>
          <w:sz w:val="24"/>
          <w:szCs w:val="24"/>
        </w:rPr>
      </w:pPr>
    </w:p>
    <w:p w14:paraId="572288C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Kim, D.-H., Kim, J.-H., Sa, J.-W., Lee, Y.-S., Park, C.-K., &amp; Moon, S.-I. (2008). Stress rupture characteristics of Inconel 718 alloy for ramjet combustor. Materials Science and Engineering: A, 483-484, 262-265. Https://doi.org/10.1016/j.msea.2006.12.159</w:t>
      </w:r>
    </w:p>
    <w:p w14:paraId="572288C3" w14:textId="77777777" w:rsidR="003F65E2" w:rsidRPr="00986305" w:rsidRDefault="003F65E2" w:rsidP="003F65E2">
      <w:pPr>
        <w:rPr>
          <w:rFonts w:asciiTheme="majorBidi" w:hAnsiTheme="majorBidi" w:cstheme="majorBidi"/>
          <w:b/>
          <w:bCs/>
          <w:sz w:val="24"/>
          <w:szCs w:val="24"/>
        </w:rPr>
      </w:pPr>
    </w:p>
    <w:p w14:paraId="572288C4"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Lemaitre, J. (1985). A continuous damage mechanics model for ductile fracture. Journal of Engineering Materials and Technology, 107(1), 83-89. Https://doi.org/10.1115/1.3225775</w:t>
      </w:r>
    </w:p>
    <w:p w14:paraId="572288C5" w14:textId="77777777" w:rsidR="003F65E2" w:rsidRPr="00986305" w:rsidRDefault="003F65E2" w:rsidP="003F65E2">
      <w:pPr>
        <w:rPr>
          <w:rFonts w:asciiTheme="majorBidi" w:hAnsiTheme="majorBidi" w:cstheme="majorBidi"/>
          <w:b/>
          <w:bCs/>
          <w:sz w:val="24"/>
          <w:szCs w:val="24"/>
        </w:rPr>
      </w:pPr>
    </w:p>
    <w:p w14:paraId="572288C6"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Lemaitre, J., &amp; Chaboche, J.-L. (1978). Aspect phnomnologique de la rupture par endommagement. Journal de Mcanique Applique, 2(3), 317-365</w:t>
      </w:r>
    </w:p>
    <w:p w14:paraId="572288C7" w14:textId="77777777" w:rsidR="003F65E2" w:rsidRPr="00986305" w:rsidRDefault="003F65E2" w:rsidP="003F65E2">
      <w:pPr>
        <w:rPr>
          <w:rFonts w:asciiTheme="majorBidi" w:hAnsiTheme="majorBidi" w:cstheme="majorBidi"/>
          <w:b/>
          <w:bCs/>
          <w:sz w:val="24"/>
          <w:szCs w:val="24"/>
        </w:rPr>
      </w:pPr>
    </w:p>
    <w:p w14:paraId="572288C8"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 L., Song, Y., &amp; Huang, X. (2010). Analysis on creep and creep life of rotor connecting bolts. Technology &amp; New Process, 6, 75-79</w:t>
      </w:r>
    </w:p>
    <w:p w14:paraId="572288C9" w14:textId="77777777" w:rsidR="003F65E2" w:rsidRPr="00986305" w:rsidRDefault="003F65E2" w:rsidP="003F65E2">
      <w:pPr>
        <w:rPr>
          <w:rFonts w:asciiTheme="majorBidi" w:hAnsiTheme="majorBidi" w:cstheme="majorBidi"/>
          <w:b/>
          <w:bCs/>
          <w:sz w:val="24"/>
          <w:szCs w:val="24"/>
        </w:rPr>
      </w:pPr>
    </w:p>
    <w:p w14:paraId="572288CA"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Lin, G. (1999). ANSYS User Material Subroutine (USERMAT). Canonsburg, PA: ANSYS</w:t>
      </w:r>
    </w:p>
    <w:p w14:paraId="572288CB" w14:textId="77777777" w:rsidR="003F65E2" w:rsidRPr="00986305" w:rsidRDefault="003F65E2" w:rsidP="003F65E2">
      <w:pPr>
        <w:rPr>
          <w:rFonts w:asciiTheme="majorBidi" w:hAnsiTheme="majorBidi" w:cstheme="majorBidi"/>
          <w:b/>
          <w:bCs/>
          <w:sz w:val="24"/>
          <w:szCs w:val="24"/>
        </w:rPr>
      </w:pPr>
    </w:p>
    <w:p w14:paraId="572288CC"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Liu, D., Li, H., &amp; Liu, Y. (2015). Numerical simulation of creep damage and life prediction of superalloy turbine blade. Mathematical Problems in Engineering, 2015, 732502. Https://doi.org/10.1155/2015/732502</w:t>
      </w:r>
    </w:p>
    <w:p w14:paraId="572288CD" w14:textId="77777777" w:rsidR="003F65E2" w:rsidRPr="00986305" w:rsidRDefault="003F65E2" w:rsidP="003F65E2">
      <w:pPr>
        <w:rPr>
          <w:rFonts w:asciiTheme="majorBidi" w:hAnsiTheme="majorBidi" w:cstheme="majorBidi"/>
          <w:b/>
          <w:bCs/>
          <w:sz w:val="24"/>
          <w:szCs w:val="24"/>
        </w:rPr>
      </w:pPr>
    </w:p>
    <w:p w14:paraId="572288CE"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McLean, M., Ghosh, R., Curtis, R., Basu-Conlin, U., &amp; Winstone, M. (1992). Anisotropy of high-temperature deformation of single crystal superalloys. Superalloys, 609-618</w:t>
      </w:r>
    </w:p>
    <w:p w14:paraId="572288CF" w14:textId="77777777" w:rsidR="003F65E2" w:rsidRPr="00986305" w:rsidRDefault="003F65E2" w:rsidP="003F65E2">
      <w:pPr>
        <w:rPr>
          <w:rFonts w:asciiTheme="majorBidi" w:hAnsiTheme="majorBidi" w:cstheme="majorBidi"/>
          <w:b/>
          <w:bCs/>
          <w:sz w:val="24"/>
          <w:szCs w:val="24"/>
        </w:rPr>
      </w:pPr>
    </w:p>
    <w:p w14:paraId="572288D0"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Sugahara, T., Martinolli, K., Reis, D. A., de Moura Neto, C., Couto, A. A., et al. (2012). Creep behavior of Inconel 718 superalloy. In Defect and Diffusion Forum (Vol. 326-328, pp. 509-514). Trans Tech Publications. Https://doi.org/10.4028/www.scientific.net/DDF.326-328.509</w:t>
      </w:r>
    </w:p>
    <w:p w14:paraId="572288D1" w14:textId="77777777" w:rsidR="003F65E2" w:rsidRPr="00986305" w:rsidRDefault="003F65E2" w:rsidP="003F65E2">
      <w:pPr>
        <w:rPr>
          <w:rFonts w:asciiTheme="majorBidi" w:hAnsiTheme="majorBidi" w:cstheme="majorBidi"/>
          <w:b/>
          <w:bCs/>
          <w:sz w:val="24"/>
          <w:szCs w:val="24"/>
        </w:rPr>
      </w:pPr>
    </w:p>
    <w:p w14:paraId="572288D2" w14:textId="77777777" w:rsidR="003F65E2" w:rsidRPr="00986305" w:rsidRDefault="003F65E2" w:rsidP="003F65E2">
      <w:pPr>
        <w:rPr>
          <w:rFonts w:asciiTheme="majorBidi" w:hAnsiTheme="majorBidi" w:cstheme="majorBidi"/>
          <w:b/>
          <w:bCs/>
          <w:sz w:val="24"/>
          <w:szCs w:val="24"/>
        </w:rPr>
      </w:pPr>
      <w:r w:rsidRPr="00986305">
        <w:rPr>
          <w:rFonts w:asciiTheme="majorBidi" w:hAnsiTheme="majorBidi" w:cstheme="majorBidi"/>
          <w:b/>
          <w:bCs/>
          <w:sz w:val="24"/>
          <w:szCs w:val="24"/>
        </w:rPr>
        <w:t>VDM Metals. (2020). VDM Alloy 718: Material Data Sheet No. 4127 (Rev. 02). Retrieved from https://www.vdm-metals.com/fileadmin/userupload/Downloads/DataSheets/DataSheetVDMAlloy718.pdf</w:t>
      </w:r>
    </w:p>
    <w:sectPr w:rsidR="003F65E2" w:rsidRPr="00986305">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1B0F" w14:textId="77777777" w:rsidR="00E07334" w:rsidRDefault="00E07334" w:rsidP="00125619">
      <w:pPr>
        <w:spacing w:after="0" w:line="240" w:lineRule="auto"/>
      </w:pPr>
      <w:r>
        <w:separator/>
      </w:r>
    </w:p>
  </w:endnote>
  <w:endnote w:type="continuationSeparator" w:id="0">
    <w:p w14:paraId="2CE84462" w14:textId="77777777" w:rsidR="00E07334" w:rsidRDefault="00E07334" w:rsidP="00125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8"/>
        <w:szCs w:val="28"/>
      </w:rPr>
      <w:id w:val="831494138"/>
      <w:docPartObj>
        <w:docPartGallery w:val="Page Numbers (Bottom of Page)"/>
        <w:docPartUnique/>
      </w:docPartObj>
    </w:sdtPr>
    <w:sdtEndPr>
      <w:rPr>
        <w:noProof/>
      </w:rPr>
    </w:sdtEndPr>
    <w:sdtContent>
      <w:p w14:paraId="572288E1" w14:textId="77777777" w:rsidR="00125619" w:rsidRPr="00DD5C87" w:rsidRDefault="00125619">
        <w:pPr>
          <w:pStyle w:val="Footer"/>
          <w:jc w:val="center"/>
          <w:rPr>
            <w:rFonts w:asciiTheme="majorBidi" w:hAnsiTheme="majorBidi" w:cstheme="majorBidi"/>
            <w:sz w:val="28"/>
            <w:szCs w:val="28"/>
          </w:rPr>
        </w:pPr>
        <w:r w:rsidRPr="00DD5C87">
          <w:rPr>
            <w:rFonts w:asciiTheme="majorBidi" w:hAnsiTheme="majorBidi" w:cstheme="majorBidi"/>
            <w:sz w:val="28"/>
            <w:szCs w:val="28"/>
          </w:rPr>
          <w:fldChar w:fldCharType="begin"/>
        </w:r>
        <w:r w:rsidRPr="00DD5C87">
          <w:rPr>
            <w:rFonts w:asciiTheme="majorBidi" w:hAnsiTheme="majorBidi" w:cstheme="majorBidi"/>
            <w:sz w:val="28"/>
            <w:szCs w:val="28"/>
          </w:rPr>
          <w:instrText xml:space="preserve"> PAGE   \* MERGEFORMAT </w:instrText>
        </w:r>
        <w:r w:rsidRPr="00DD5C87">
          <w:rPr>
            <w:rFonts w:asciiTheme="majorBidi" w:hAnsiTheme="majorBidi" w:cstheme="majorBidi"/>
            <w:sz w:val="28"/>
            <w:szCs w:val="28"/>
          </w:rPr>
          <w:fldChar w:fldCharType="separate"/>
        </w:r>
        <w:r w:rsidR="00461C1A" w:rsidRPr="00DD5C87">
          <w:rPr>
            <w:rFonts w:asciiTheme="majorBidi" w:hAnsiTheme="majorBidi" w:cstheme="majorBidi"/>
            <w:noProof/>
            <w:sz w:val="28"/>
            <w:szCs w:val="28"/>
          </w:rPr>
          <w:t>6</w:t>
        </w:r>
        <w:r w:rsidRPr="00DD5C87">
          <w:rPr>
            <w:rFonts w:asciiTheme="majorBidi" w:hAnsiTheme="majorBidi" w:cstheme="majorBidi"/>
            <w:noProof/>
            <w:sz w:val="28"/>
            <w:szCs w:val="28"/>
          </w:rPr>
          <w:fldChar w:fldCharType="end"/>
        </w:r>
      </w:p>
    </w:sdtContent>
  </w:sdt>
  <w:p w14:paraId="572288E2" w14:textId="77777777" w:rsidR="00125619" w:rsidRDefault="0012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4C69" w14:textId="77777777" w:rsidR="00E07334" w:rsidRDefault="00E07334" w:rsidP="00125619">
      <w:pPr>
        <w:spacing w:after="0" w:line="240" w:lineRule="auto"/>
      </w:pPr>
      <w:r>
        <w:separator/>
      </w:r>
    </w:p>
  </w:footnote>
  <w:footnote w:type="continuationSeparator" w:id="0">
    <w:p w14:paraId="3D2FA7D7" w14:textId="77777777" w:rsidR="00E07334" w:rsidRDefault="00E07334" w:rsidP="00125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1D65"/>
    <w:multiLevelType w:val="hybridMultilevel"/>
    <w:tmpl w:val="B83E921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645E38"/>
    <w:multiLevelType w:val="hybridMultilevel"/>
    <w:tmpl w:val="62362D20"/>
    <w:lvl w:ilvl="0" w:tplc="E408AD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E7D60"/>
    <w:multiLevelType w:val="hybridMultilevel"/>
    <w:tmpl w:val="64D6E42C"/>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371EC"/>
    <w:multiLevelType w:val="hybridMultilevel"/>
    <w:tmpl w:val="8944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B7309"/>
    <w:multiLevelType w:val="hybridMultilevel"/>
    <w:tmpl w:val="C8A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2DCB"/>
    <w:multiLevelType w:val="hybridMultilevel"/>
    <w:tmpl w:val="FFEA7B26"/>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51018C"/>
    <w:multiLevelType w:val="hybridMultilevel"/>
    <w:tmpl w:val="0298E124"/>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EC72D6"/>
    <w:multiLevelType w:val="hybridMultilevel"/>
    <w:tmpl w:val="9E5E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14602"/>
    <w:multiLevelType w:val="hybridMultilevel"/>
    <w:tmpl w:val="0E3A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23CD2"/>
    <w:multiLevelType w:val="hybridMultilevel"/>
    <w:tmpl w:val="EE80475A"/>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402690"/>
    <w:multiLevelType w:val="hybridMultilevel"/>
    <w:tmpl w:val="588A3B88"/>
    <w:lvl w:ilvl="0" w:tplc="E408AD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4437A3"/>
    <w:multiLevelType w:val="hybridMultilevel"/>
    <w:tmpl w:val="5854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37770"/>
    <w:multiLevelType w:val="hybridMultilevel"/>
    <w:tmpl w:val="94FE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174687">
    <w:abstractNumId w:val="4"/>
  </w:num>
  <w:num w:numId="2" w16cid:durableId="779688094">
    <w:abstractNumId w:val="7"/>
  </w:num>
  <w:num w:numId="3" w16cid:durableId="1970624362">
    <w:abstractNumId w:val="12"/>
  </w:num>
  <w:num w:numId="4" w16cid:durableId="1172329149">
    <w:abstractNumId w:val="11"/>
  </w:num>
  <w:num w:numId="5" w16cid:durableId="824974854">
    <w:abstractNumId w:val="8"/>
  </w:num>
  <w:num w:numId="6" w16cid:durableId="1639529326">
    <w:abstractNumId w:val="3"/>
  </w:num>
  <w:num w:numId="7" w16cid:durableId="1695836771">
    <w:abstractNumId w:val="1"/>
  </w:num>
  <w:num w:numId="8" w16cid:durableId="315457358">
    <w:abstractNumId w:val="5"/>
  </w:num>
  <w:num w:numId="9" w16cid:durableId="1645885759">
    <w:abstractNumId w:val="2"/>
  </w:num>
  <w:num w:numId="10" w16cid:durableId="1129980328">
    <w:abstractNumId w:val="0"/>
  </w:num>
  <w:num w:numId="11" w16cid:durableId="322394743">
    <w:abstractNumId w:val="10"/>
  </w:num>
  <w:num w:numId="12" w16cid:durableId="215895201">
    <w:abstractNumId w:val="9"/>
  </w:num>
  <w:num w:numId="13" w16cid:durableId="869301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64"/>
    <w:rsid w:val="00001762"/>
    <w:rsid w:val="00015515"/>
    <w:rsid w:val="00017766"/>
    <w:rsid w:val="000A1946"/>
    <w:rsid w:val="000B30E9"/>
    <w:rsid w:val="000C7A10"/>
    <w:rsid w:val="000D4FA5"/>
    <w:rsid w:val="000D6950"/>
    <w:rsid w:val="000F6814"/>
    <w:rsid w:val="001021BA"/>
    <w:rsid w:val="00125619"/>
    <w:rsid w:val="001707DA"/>
    <w:rsid w:val="00174E20"/>
    <w:rsid w:val="001A1788"/>
    <w:rsid w:val="001B3346"/>
    <w:rsid w:val="001B35CD"/>
    <w:rsid w:val="001C1ACB"/>
    <w:rsid w:val="001E346B"/>
    <w:rsid w:val="001E79A7"/>
    <w:rsid w:val="00203819"/>
    <w:rsid w:val="002048C4"/>
    <w:rsid w:val="002279BD"/>
    <w:rsid w:val="002315B9"/>
    <w:rsid w:val="00235574"/>
    <w:rsid w:val="00271687"/>
    <w:rsid w:val="002804C1"/>
    <w:rsid w:val="002A4E2A"/>
    <w:rsid w:val="002A59D9"/>
    <w:rsid w:val="002B18FA"/>
    <w:rsid w:val="003025B8"/>
    <w:rsid w:val="00304936"/>
    <w:rsid w:val="0030606E"/>
    <w:rsid w:val="00314A57"/>
    <w:rsid w:val="00322E5A"/>
    <w:rsid w:val="003552D8"/>
    <w:rsid w:val="00376C7F"/>
    <w:rsid w:val="00381E4D"/>
    <w:rsid w:val="00385454"/>
    <w:rsid w:val="003F082F"/>
    <w:rsid w:val="003F31CB"/>
    <w:rsid w:val="003F65E2"/>
    <w:rsid w:val="00412D1A"/>
    <w:rsid w:val="00431438"/>
    <w:rsid w:val="00461C1A"/>
    <w:rsid w:val="00495104"/>
    <w:rsid w:val="004953CF"/>
    <w:rsid w:val="004A5896"/>
    <w:rsid w:val="004B7977"/>
    <w:rsid w:val="004C50DD"/>
    <w:rsid w:val="004C5960"/>
    <w:rsid w:val="004E4216"/>
    <w:rsid w:val="004F130A"/>
    <w:rsid w:val="00501E58"/>
    <w:rsid w:val="00515395"/>
    <w:rsid w:val="00527118"/>
    <w:rsid w:val="00535B45"/>
    <w:rsid w:val="005532C3"/>
    <w:rsid w:val="005B4D64"/>
    <w:rsid w:val="005C718D"/>
    <w:rsid w:val="005E1916"/>
    <w:rsid w:val="006336FF"/>
    <w:rsid w:val="00635AAA"/>
    <w:rsid w:val="0065094A"/>
    <w:rsid w:val="00657696"/>
    <w:rsid w:val="006B1809"/>
    <w:rsid w:val="006C50C0"/>
    <w:rsid w:val="00701E57"/>
    <w:rsid w:val="00722A38"/>
    <w:rsid w:val="00734D24"/>
    <w:rsid w:val="0073616C"/>
    <w:rsid w:val="007368F7"/>
    <w:rsid w:val="00740A5D"/>
    <w:rsid w:val="007634E9"/>
    <w:rsid w:val="0078599B"/>
    <w:rsid w:val="007A28FD"/>
    <w:rsid w:val="007D4481"/>
    <w:rsid w:val="007E7C07"/>
    <w:rsid w:val="007F52C4"/>
    <w:rsid w:val="008550D6"/>
    <w:rsid w:val="00871FEB"/>
    <w:rsid w:val="008D1241"/>
    <w:rsid w:val="008D1A80"/>
    <w:rsid w:val="008E7684"/>
    <w:rsid w:val="008E7D45"/>
    <w:rsid w:val="009016E7"/>
    <w:rsid w:val="009019ED"/>
    <w:rsid w:val="00906CCB"/>
    <w:rsid w:val="0090790F"/>
    <w:rsid w:val="00927B52"/>
    <w:rsid w:val="00953C5A"/>
    <w:rsid w:val="009672F2"/>
    <w:rsid w:val="00985908"/>
    <w:rsid w:val="00986305"/>
    <w:rsid w:val="009C2989"/>
    <w:rsid w:val="00A12BF9"/>
    <w:rsid w:val="00A1475B"/>
    <w:rsid w:val="00A14A08"/>
    <w:rsid w:val="00A23ABA"/>
    <w:rsid w:val="00A34DB7"/>
    <w:rsid w:val="00A42EA1"/>
    <w:rsid w:val="00A43957"/>
    <w:rsid w:val="00A62CAE"/>
    <w:rsid w:val="00A75FFE"/>
    <w:rsid w:val="00AA2EA4"/>
    <w:rsid w:val="00AB4DAB"/>
    <w:rsid w:val="00AC1387"/>
    <w:rsid w:val="00AD785E"/>
    <w:rsid w:val="00AF0F09"/>
    <w:rsid w:val="00AF293A"/>
    <w:rsid w:val="00AF4FB1"/>
    <w:rsid w:val="00B443E0"/>
    <w:rsid w:val="00B46C71"/>
    <w:rsid w:val="00B54313"/>
    <w:rsid w:val="00BB63C1"/>
    <w:rsid w:val="00BF5BCD"/>
    <w:rsid w:val="00C059EB"/>
    <w:rsid w:val="00C81390"/>
    <w:rsid w:val="00CA0DEC"/>
    <w:rsid w:val="00CB0051"/>
    <w:rsid w:val="00CC7BFD"/>
    <w:rsid w:val="00CD1A0C"/>
    <w:rsid w:val="00D109CA"/>
    <w:rsid w:val="00D705E0"/>
    <w:rsid w:val="00D95FE2"/>
    <w:rsid w:val="00DA6666"/>
    <w:rsid w:val="00DC025F"/>
    <w:rsid w:val="00DC3DD6"/>
    <w:rsid w:val="00DD5C87"/>
    <w:rsid w:val="00DE708C"/>
    <w:rsid w:val="00E0039F"/>
    <w:rsid w:val="00E0229C"/>
    <w:rsid w:val="00E07334"/>
    <w:rsid w:val="00E17942"/>
    <w:rsid w:val="00E2030A"/>
    <w:rsid w:val="00E236A9"/>
    <w:rsid w:val="00E26E7D"/>
    <w:rsid w:val="00E402BA"/>
    <w:rsid w:val="00E55631"/>
    <w:rsid w:val="00E934DF"/>
    <w:rsid w:val="00EB4482"/>
    <w:rsid w:val="00EE1AA8"/>
    <w:rsid w:val="00EE2ABF"/>
    <w:rsid w:val="00EF2A71"/>
    <w:rsid w:val="00EF59CE"/>
    <w:rsid w:val="00EF5E68"/>
    <w:rsid w:val="00F03280"/>
    <w:rsid w:val="00F2541A"/>
    <w:rsid w:val="00F2769F"/>
    <w:rsid w:val="00F4028A"/>
    <w:rsid w:val="00F73A3F"/>
    <w:rsid w:val="00F76A56"/>
    <w:rsid w:val="00F96DE7"/>
    <w:rsid w:val="00FA2F83"/>
    <w:rsid w:val="00FA3DD0"/>
    <w:rsid w:val="00FB2B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8830"/>
  <w15:docId w15:val="{630A39D2-5D18-4F56-AC51-D648B821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3E0"/>
    <w:pPr>
      <w:ind w:left="720"/>
      <w:contextualSpacing/>
    </w:pPr>
  </w:style>
  <w:style w:type="paragraph" w:styleId="Header">
    <w:name w:val="header"/>
    <w:basedOn w:val="Normal"/>
    <w:link w:val="HeaderChar"/>
    <w:uiPriority w:val="99"/>
    <w:unhideWhenUsed/>
    <w:rsid w:val="00125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19"/>
  </w:style>
  <w:style w:type="paragraph" w:styleId="Footer">
    <w:name w:val="footer"/>
    <w:basedOn w:val="Normal"/>
    <w:link w:val="FooterChar"/>
    <w:uiPriority w:val="99"/>
    <w:unhideWhenUsed/>
    <w:rsid w:val="00125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966">
      <w:bodyDiv w:val="1"/>
      <w:marLeft w:val="0"/>
      <w:marRight w:val="0"/>
      <w:marTop w:val="0"/>
      <w:marBottom w:val="0"/>
      <w:divBdr>
        <w:top w:val="none" w:sz="0" w:space="0" w:color="auto"/>
        <w:left w:val="none" w:sz="0" w:space="0" w:color="auto"/>
        <w:bottom w:val="none" w:sz="0" w:space="0" w:color="auto"/>
        <w:right w:val="none" w:sz="0" w:space="0" w:color="auto"/>
      </w:divBdr>
      <w:divsChild>
        <w:div w:id="1387098146">
          <w:marLeft w:val="0"/>
          <w:marRight w:val="0"/>
          <w:marTop w:val="0"/>
          <w:marBottom w:val="200"/>
          <w:divBdr>
            <w:top w:val="none" w:sz="0" w:space="0" w:color="auto"/>
            <w:left w:val="none" w:sz="0" w:space="0" w:color="auto"/>
            <w:bottom w:val="none" w:sz="0" w:space="0" w:color="auto"/>
            <w:right w:val="none" w:sz="0" w:space="0" w:color="auto"/>
          </w:divBdr>
        </w:div>
      </w:divsChild>
    </w:div>
    <w:div w:id="800658117">
      <w:bodyDiv w:val="1"/>
      <w:marLeft w:val="0"/>
      <w:marRight w:val="0"/>
      <w:marTop w:val="0"/>
      <w:marBottom w:val="0"/>
      <w:divBdr>
        <w:top w:val="none" w:sz="0" w:space="0" w:color="auto"/>
        <w:left w:val="none" w:sz="0" w:space="0" w:color="auto"/>
        <w:bottom w:val="none" w:sz="0" w:space="0" w:color="auto"/>
        <w:right w:val="none" w:sz="0" w:space="0" w:color="auto"/>
      </w:divBdr>
      <w:divsChild>
        <w:div w:id="1462073047">
          <w:marLeft w:val="0"/>
          <w:marRight w:val="0"/>
          <w:marTop w:val="0"/>
          <w:marBottom w:val="200"/>
          <w:divBdr>
            <w:top w:val="none" w:sz="0" w:space="0" w:color="auto"/>
            <w:left w:val="none" w:sz="0" w:space="0" w:color="auto"/>
            <w:bottom w:val="none" w:sz="0" w:space="0" w:color="auto"/>
            <w:right w:val="none" w:sz="0" w:space="0" w:color="auto"/>
          </w:divBdr>
        </w:div>
      </w:divsChild>
    </w:div>
    <w:div w:id="1195583866">
      <w:bodyDiv w:val="1"/>
      <w:marLeft w:val="0"/>
      <w:marRight w:val="0"/>
      <w:marTop w:val="0"/>
      <w:marBottom w:val="0"/>
      <w:divBdr>
        <w:top w:val="none" w:sz="0" w:space="0" w:color="auto"/>
        <w:left w:val="none" w:sz="0" w:space="0" w:color="auto"/>
        <w:bottom w:val="none" w:sz="0" w:space="0" w:color="auto"/>
        <w:right w:val="none" w:sz="0" w:space="0" w:color="auto"/>
      </w:divBdr>
      <w:divsChild>
        <w:div w:id="247887118">
          <w:marLeft w:val="0"/>
          <w:marRight w:val="0"/>
          <w:marTop w:val="0"/>
          <w:marBottom w:val="200"/>
          <w:divBdr>
            <w:top w:val="none" w:sz="0" w:space="0" w:color="auto"/>
            <w:left w:val="none" w:sz="0" w:space="0" w:color="auto"/>
            <w:bottom w:val="none" w:sz="0" w:space="0" w:color="auto"/>
            <w:right w:val="none" w:sz="0" w:space="0" w:color="auto"/>
          </w:divBdr>
        </w:div>
      </w:divsChild>
    </w:div>
    <w:div w:id="1436513290">
      <w:bodyDiv w:val="1"/>
      <w:marLeft w:val="0"/>
      <w:marRight w:val="0"/>
      <w:marTop w:val="0"/>
      <w:marBottom w:val="0"/>
      <w:divBdr>
        <w:top w:val="none" w:sz="0" w:space="0" w:color="auto"/>
        <w:left w:val="none" w:sz="0" w:space="0" w:color="auto"/>
        <w:bottom w:val="none" w:sz="0" w:space="0" w:color="auto"/>
        <w:right w:val="none" w:sz="0" w:space="0" w:color="auto"/>
      </w:divBdr>
      <w:divsChild>
        <w:div w:id="1367827418">
          <w:marLeft w:val="0"/>
          <w:marRight w:val="0"/>
          <w:marTop w:val="0"/>
          <w:marBottom w:val="200"/>
          <w:divBdr>
            <w:top w:val="none" w:sz="0" w:space="0" w:color="auto"/>
            <w:left w:val="none" w:sz="0" w:space="0" w:color="auto"/>
            <w:bottom w:val="none" w:sz="0" w:space="0" w:color="auto"/>
            <w:right w:val="none" w:sz="0" w:space="0" w:color="auto"/>
          </w:divBdr>
        </w:div>
      </w:divsChild>
    </w:div>
    <w:div w:id="1487548227">
      <w:bodyDiv w:val="1"/>
      <w:marLeft w:val="0"/>
      <w:marRight w:val="0"/>
      <w:marTop w:val="0"/>
      <w:marBottom w:val="0"/>
      <w:divBdr>
        <w:top w:val="none" w:sz="0" w:space="0" w:color="auto"/>
        <w:left w:val="none" w:sz="0" w:space="0" w:color="auto"/>
        <w:bottom w:val="none" w:sz="0" w:space="0" w:color="auto"/>
        <w:right w:val="none" w:sz="0" w:space="0" w:color="auto"/>
      </w:divBdr>
      <w:divsChild>
        <w:div w:id="1465007527">
          <w:marLeft w:val="0"/>
          <w:marRight w:val="0"/>
          <w:marTop w:val="0"/>
          <w:marBottom w:val="200"/>
          <w:divBdr>
            <w:top w:val="none" w:sz="0" w:space="0" w:color="auto"/>
            <w:left w:val="none" w:sz="0" w:space="0" w:color="auto"/>
            <w:bottom w:val="none" w:sz="0" w:space="0" w:color="auto"/>
            <w:right w:val="none" w:sz="0" w:space="0" w:color="auto"/>
          </w:divBdr>
        </w:div>
      </w:divsChild>
    </w:div>
    <w:div w:id="1553881065">
      <w:bodyDiv w:val="1"/>
      <w:marLeft w:val="0"/>
      <w:marRight w:val="0"/>
      <w:marTop w:val="0"/>
      <w:marBottom w:val="0"/>
      <w:divBdr>
        <w:top w:val="none" w:sz="0" w:space="0" w:color="auto"/>
        <w:left w:val="none" w:sz="0" w:space="0" w:color="auto"/>
        <w:bottom w:val="none" w:sz="0" w:space="0" w:color="auto"/>
        <w:right w:val="none" w:sz="0" w:space="0" w:color="auto"/>
      </w:divBdr>
      <w:divsChild>
        <w:div w:id="1609509723">
          <w:marLeft w:val="0"/>
          <w:marRight w:val="0"/>
          <w:marTop w:val="0"/>
          <w:marBottom w:val="200"/>
          <w:divBdr>
            <w:top w:val="none" w:sz="0" w:space="0" w:color="auto"/>
            <w:left w:val="none" w:sz="0" w:space="0" w:color="auto"/>
            <w:bottom w:val="none" w:sz="0" w:space="0" w:color="auto"/>
            <w:right w:val="none" w:sz="0" w:space="0" w:color="auto"/>
          </w:divBdr>
        </w:div>
      </w:divsChild>
    </w:div>
    <w:div w:id="161601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76144">
          <w:marLeft w:val="0"/>
          <w:marRight w:val="0"/>
          <w:marTop w:val="0"/>
          <w:marBottom w:val="200"/>
          <w:divBdr>
            <w:top w:val="none" w:sz="0" w:space="0" w:color="auto"/>
            <w:left w:val="none" w:sz="0" w:space="0" w:color="auto"/>
            <w:bottom w:val="none" w:sz="0" w:space="0" w:color="auto"/>
            <w:right w:val="none" w:sz="0" w:space="0" w:color="auto"/>
          </w:divBdr>
        </w:div>
      </w:divsChild>
    </w:div>
    <w:div w:id="1652904360">
      <w:bodyDiv w:val="1"/>
      <w:marLeft w:val="0"/>
      <w:marRight w:val="0"/>
      <w:marTop w:val="0"/>
      <w:marBottom w:val="0"/>
      <w:divBdr>
        <w:top w:val="none" w:sz="0" w:space="0" w:color="auto"/>
        <w:left w:val="none" w:sz="0" w:space="0" w:color="auto"/>
        <w:bottom w:val="none" w:sz="0" w:space="0" w:color="auto"/>
        <w:right w:val="none" w:sz="0" w:space="0" w:color="auto"/>
      </w:divBdr>
      <w:divsChild>
        <w:div w:id="665016916">
          <w:marLeft w:val="0"/>
          <w:marRight w:val="0"/>
          <w:marTop w:val="0"/>
          <w:marBottom w:val="200"/>
          <w:divBdr>
            <w:top w:val="none" w:sz="0" w:space="0" w:color="auto"/>
            <w:left w:val="none" w:sz="0" w:space="0" w:color="auto"/>
            <w:bottom w:val="none" w:sz="0" w:space="0" w:color="auto"/>
            <w:right w:val="none" w:sz="0" w:space="0" w:color="auto"/>
          </w:divBdr>
        </w:div>
      </w:divsChild>
    </w:div>
    <w:div w:id="1781683231">
      <w:bodyDiv w:val="1"/>
      <w:marLeft w:val="0"/>
      <w:marRight w:val="0"/>
      <w:marTop w:val="0"/>
      <w:marBottom w:val="0"/>
      <w:divBdr>
        <w:top w:val="none" w:sz="0" w:space="0" w:color="auto"/>
        <w:left w:val="none" w:sz="0" w:space="0" w:color="auto"/>
        <w:bottom w:val="none" w:sz="0" w:space="0" w:color="auto"/>
        <w:right w:val="none" w:sz="0" w:space="0" w:color="auto"/>
      </w:divBdr>
      <w:divsChild>
        <w:div w:id="607616699">
          <w:marLeft w:val="0"/>
          <w:marRight w:val="0"/>
          <w:marTop w:val="0"/>
          <w:marBottom w:val="200"/>
          <w:divBdr>
            <w:top w:val="none" w:sz="0" w:space="0" w:color="auto"/>
            <w:left w:val="none" w:sz="0" w:space="0" w:color="auto"/>
            <w:bottom w:val="none" w:sz="0" w:space="0" w:color="auto"/>
            <w:right w:val="none" w:sz="0" w:space="0" w:color="auto"/>
          </w:divBdr>
        </w:div>
      </w:divsChild>
    </w:div>
    <w:div w:id="1920289150">
      <w:bodyDiv w:val="1"/>
      <w:marLeft w:val="0"/>
      <w:marRight w:val="0"/>
      <w:marTop w:val="0"/>
      <w:marBottom w:val="0"/>
      <w:divBdr>
        <w:top w:val="none" w:sz="0" w:space="0" w:color="auto"/>
        <w:left w:val="none" w:sz="0" w:space="0" w:color="auto"/>
        <w:bottom w:val="none" w:sz="0" w:space="0" w:color="auto"/>
        <w:right w:val="none" w:sz="0" w:space="0" w:color="auto"/>
      </w:divBdr>
      <w:divsChild>
        <w:div w:id="938294012">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EADF0-5386-4495-80CD-1EBFC7BE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29</Pages>
  <Words>5953</Words>
  <Characters>33934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dc:creator>
  <cp:keywords/>
  <dc:description/>
  <cp:lastModifiedBy>Abouzied, Abderahman</cp:lastModifiedBy>
  <cp:revision>1</cp:revision>
  <dcterms:created xsi:type="dcterms:W3CDTF">2026-06-20T16:05:00Z</dcterms:created>
  <dcterms:modified xsi:type="dcterms:W3CDTF">2026-06-26T00:57:00Z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2026-06-10T00:37:36Z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d0d9693f-de64-41fa-8d00-eae513bb8fdb</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