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25.png" ContentType="image/png"/>
  <Override PartName="/word/media/rId58.png" ContentType="image/png"/>
  <Override PartName="/word/media/rId51.png" ContentType="image/png"/>
  <Override PartName="/word/media/rId55.png" ContentType="image/png"/>
  <Override PartName="/word/media/rId47.png" ContentType="image/png"/>
  <Override PartName="/word/media/rId62.png" ContentType="image/png"/>
  <Override PartName="/word/media/rId44.png" ContentType="image/png"/>
  <Override PartName="/word/media/rId36.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composition-aware</w:t>
      </w:r>
      <w:r>
        <w:t xml:space="preserve"> </w:t>
      </w:r>
      <w:r>
        <w:t xml:space="preserve">physics-embedded</w:t>
      </w:r>
      <w:r>
        <w:t xml:space="preserve"> </w:t>
      </w:r>
      <w:r>
        <w:t xml:space="preserve">neural</w:t>
      </w:r>
      <w:r>
        <w:t xml:space="preserve"> </w:t>
      </w:r>
      <w:r>
        <w:t xml:space="preserve">network</w:t>
      </w:r>
      <w:r>
        <w:t xml:space="preserve"> </w:t>
      </w:r>
      <w:r>
        <w:t xml:space="preserve">for</w:t>
      </w:r>
      <w:r>
        <w:t xml:space="preserve"> </w:t>
      </w:r>
      <w:r>
        <w:t xml:space="preserve">moisture</w:t>
      </w:r>
      <w:r>
        <w:t xml:space="preserve"> </w:t>
      </w:r>
      <w:r>
        <w:t xml:space="preserve">transport</w:t>
      </w:r>
      <w:r>
        <w:t xml:space="preserve"> </w:t>
      </w:r>
      <w:r>
        <w:t xml:space="preserve">in</w:t>
      </w:r>
      <w:r>
        <w:t xml:space="preserve"> </w:t>
      </w:r>
      <w:r>
        <w:t xml:space="preserve">concrete:</w:t>
      </w:r>
      <w:r>
        <w:t xml:space="preserve"> </w:t>
      </w:r>
      <w:r>
        <w:t xml:space="preserve">identification,</w:t>
      </w:r>
      <w:r>
        <w:t xml:space="preserve"> </w:t>
      </w:r>
      <w:r>
        <w:t xml:space="preserve">prediction</w:t>
      </w:r>
      <w:r>
        <w:t xml:space="preserve"> </w:t>
      </w:r>
      <w:r>
        <w:t xml:space="preserve">for</w:t>
      </w:r>
      <w:r>
        <w:t xml:space="preserve"> </w:t>
      </w:r>
      <w:r>
        <w:t xml:space="preserve">unseen</w:t>
      </w:r>
      <w:r>
        <w:t xml:space="preserve"> </w:t>
      </w:r>
      <w:r>
        <w:t xml:space="preserve">mixes</w:t>
      </w:r>
      <w:r>
        <w:t xml:space="preserve"> </w:t>
      </w:r>
      <w:r>
        <w:t xml:space="preserve">and</w:t>
      </w:r>
      <w:r>
        <w:t xml:space="preserve"> </w:t>
      </w:r>
      <w:r>
        <w:t xml:space="preserve">comparison</w:t>
      </w:r>
      <w:r>
        <w:t xml:space="preserve"> </w:t>
      </w:r>
      <w:r>
        <w:t xml:space="preserve">with</w:t>
      </w:r>
      <w:r>
        <w:t xml:space="preserve"> </w:t>
      </w:r>
      <w:r>
        <w:t xml:space="preserve">physics-informed</w:t>
      </w:r>
      <w:r>
        <w:t xml:space="preserve"> </w:t>
      </w:r>
      <w:r>
        <w:t xml:space="preserve">neural</w:t>
      </w:r>
      <w:r>
        <w:t xml:space="preserve"> </w:t>
      </w:r>
      <w:r>
        <w:t xml:space="preserve">networks</w:t>
      </w:r>
    </w:p>
    <w:p>
      <w:pPr>
        <w:pStyle w:val="Authors"/>
      </w:pPr>
      <w:r>
        <w:t xml:space="preserve">Abderrahmane Sghuri</w:t>
      </w:r>
      <w:r>
        <w:rPr>
          <w:vertAlign w:val="superscript"/>
        </w:rPr>
        <w:t xml:space="preserve">a,b</w:t>
      </w:r>
      <w:r>
        <w:t xml:space="preserve">, Xuande Chen</w:t>
      </w:r>
      <w:r>
        <w:rPr>
          <w:vertAlign w:val="superscript"/>
        </w:rPr>
        <w:t xml:space="preserve">a,b,*</w:t>
      </w:r>
      <w:r>
        <w:t xml:space="preserve">, Xiaodong Wang</w:t>
      </w:r>
      <w:r>
        <w:rPr>
          <w:vertAlign w:val="superscript"/>
        </w:rPr>
        <w:t xml:space="preserve">a</w:t>
      </w:r>
    </w:p>
    <w:p>
      <w:pPr>
        <w:pStyle w:val="Affiliation"/>
      </w:pPr>
      <w:r>
        <w:rPr>
          <w:vertAlign w:val="superscript"/>
        </w:rPr>
        <w:t xml:space="preserve">a</w:t>
      </w:r>
      <w:r>
        <w:t xml:space="preserve"> </w:t>
      </w:r>
      <w:r>
        <w:t xml:space="preserve">Department of Mathematics, Computer Science and Engineering, Université du Québec à Rimouski (UQAR), Rimouski, QC, Canada</w:t>
      </w:r>
      <w:r>
        <w:br/>
      </w:r>
      <w:r>
        <w:rPr>
          <w:vertAlign w:val="superscript"/>
        </w:rPr>
        <w:t xml:space="preserve">b</w:t>
      </w:r>
      <w:r>
        <w:t xml:space="preserve"> </w:t>
      </w:r>
      <w:r>
        <w:t xml:space="preserve">Research Center on Concrete Infrastructures (CRIB), Québec, QC, Canada</w:t>
      </w:r>
      <w:r>
        <w:br/>
      </w:r>
      <w:r>
        <w:t xml:space="preserve">* Corresponding author:</w:t>
      </w:r>
      <w:r>
        <w:t xml:space="preserve"> </w:t>
      </w:r>
      <w:r>
        <w:rPr>
          <w:rStyle w:val="ToUpdate"/>
          <w:highlight w:val="yellow"/>
        </w:rPr>
        <w:t xml:space="preserve">[e-mail address]</w:t>
      </w:r>
    </w:p>
    <w:bookmarkStart w:id="20" w:name="highlights"/>
    <w:p>
      <w:pPr>
        <w:pStyle w:val="Heading1"/>
      </w:pPr>
      <w:r>
        <w:t xml:space="preserve">Highlights</w:t>
      </w:r>
    </w:p>
    <w:p>
      <w:pPr>
        <w:pStyle w:val="Compact"/>
        <w:numPr>
          <w:ilvl w:val="0"/>
          <w:numId w:val="1001"/>
        </w:numPr>
      </w:pPr>
      <w:r>
        <w:t xml:space="preserve">A neural network maps mix composition to moisture transport parameters of concrete.</w:t>
      </w:r>
    </w:p>
    <w:p>
      <w:pPr>
        <w:pStyle w:val="Compact"/>
        <w:numPr>
          <w:ilvl w:val="0"/>
          <w:numId w:val="1001"/>
        </w:numPr>
      </w:pPr>
      <w:r>
        <w:t xml:space="preserve">Trained through a differentiable solver, the transport equation holds exactly.</w:t>
      </w:r>
    </w:p>
    <w:p>
      <w:pPr>
        <w:pStyle w:val="Compact"/>
        <w:numPr>
          <w:ilvl w:val="0"/>
          <w:numId w:val="1001"/>
        </w:numPr>
      </w:pPr>
      <w:r>
        <w:t xml:space="preserve">Unseen mixes predicted with R² = 0.994, 34% lower error than a data-driven net.</w:t>
      </w:r>
    </w:p>
    <w:p>
      <w:pPr>
        <w:pStyle w:val="Compact"/>
        <w:numPr>
          <w:ilvl w:val="0"/>
          <w:numId w:val="1001"/>
        </w:numPr>
      </w:pPr>
      <w:r>
        <w:t xml:space="preserve">A standard PINN fits the data but its parameters fail an independent solver check.</w:t>
      </w:r>
    </w:p>
    <w:p>
      <w:pPr>
        <w:pStyle w:val="Compact"/>
        <w:numPr>
          <w:ilvl w:val="0"/>
          <w:numId w:val="1001"/>
        </w:numPr>
      </w:pPr>
      <w:r>
        <w:t xml:space="preserve">Data cleaning, identifiability analysis and code are reported for reproducibility.</w:t>
      </w:r>
    </w:p>
    <w:p>
      <w:pPr>
        <w:pStyle w:val="FirstParagraph"/>
      </w:pPr>
      <w:commentRangeStart w:id="0"/>
      <w:commentRangeEnd w:id="0"/>
      <w:r>
        <w:rPr>
          <w:rStyle w:val="CommentReference"/>
        </w:rPr>
        <w:commentReference w:id="0"/>
      </w:r>
    </w:p>
    <w:bookmarkEnd w:id="20"/>
    <w:bookmarkStart w:id="21" w:name="abstract"/>
    <w:p>
      <w:pPr>
        <w:pStyle w:val="Heading1"/>
      </w:pPr>
      <w:r>
        <w:t xml:space="preserve">Abstract</w:t>
      </w:r>
    </w:p>
    <w:p>
      <w:pPr>
        <w:pStyle w:val="FirstParagraph"/>
      </w:pPr>
      <w:r>
        <w:t xml:space="preserve">Laboratory drying tests on concrete usually record only the specimen mass, that is, the average degree of saturation. Turning these data into transport properties and internal moisture fields is an ill-posed inverse problem, which is generally solved one mix at a time. This study develops a physics-embedded neural network in which a small network maps mix composition (water-to-binder ratio, fly ash and slag fractions) to the parameters of a nonlinear vapour–capillary diffusivity model, and a differentiable finite-volume solver of the moisture transport equation turns these parameters into drying curves. Because the network is trained through the solver, the governing equation is satisfied exactly and the parameters of a mix that was never seen in training are genuine predictions. The approach is evaluated on 932 cleaned drying measurements of 20 plain, binary and ternary concretes. An identifiability analysis shows that two parameters per mix, the reference vapour diffusivity and the intrinsic permeability, can be recovered from average-saturation curves. On six mixes withheld from training, the model reaches R² = 0.9935 and RMSE = 0.013, a 34% lower error than a purely data-driven network and the same accuracy as a classical finite-difference identification combined with composition regression. A physics-informed neural network (PINN) trained on the same data reproduces the curves (R² = 0.983) but its parameters do not reproduce them when inserted into an independent solver (R² = 0.86), because the PDE residual cannot enforce the early-time capillary regime. Embedding the solver, rather than penalising a residual, therefore yields physically consistent parameters.</w:t>
      </w:r>
    </w:p>
    <w:p>
      <w:pPr>
        <w:pStyle w:val="BodyText"/>
      </w:pPr>
      <w:r>
        <w:rPr>
          <w:bCs/>
          <w:b/>
        </w:rPr>
        <w:t xml:space="preserve">Keywords:</w:t>
      </w:r>
      <w:r>
        <w:t xml:space="preserve"> </w:t>
      </w:r>
      <w:r>
        <w:t xml:space="preserve">Concrete; Moisture transport; Physics-embedded neural network; Physics-informed neural networks; Inverse problem; Supplementary cementitious materials</w:t>
      </w:r>
    </w:p>
    <w:bookmarkEnd w:id="21"/>
    <w:bookmarkStart w:id="22" w:name="introduction"/>
    <w:p>
      <w:pPr>
        <w:pStyle w:val="Heading1"/>
      </w:pPr>
      <w:r>
        <w:t xml:space="preserve">1 Introduction</w:t>
      </w:r>
    </w:p>
    <w:p>
      <w:pPr>
        <w:pStyle w:val="FirstParagraph"/>
      </w:pPr>
      <w:r>
        <w:t xml:space="preserve">Moisture is the carrier, reactant or controlling factor of most deterioration processes in concrete, including chloride ingress, carbonation, freeze–thaw damage, alkali–silica reaction and drying shrinkage [1, 2]. Predicting how water moves through the pore network is therefore a prerequisite for service-life design and for the maintenance of existing structures. In unsaturated concrete, moisture moves as liquid driven by capillary pressure and as vapour diffusing through the gas-filled pores. The relative weight of these mechanisms depends on the local degree of saturation and on the pore structure, which is controlled by the water-to-binder ratio (w/b) and by supplementary cementitious materials (SCMs) such as fly ash and slag [3–5].</w:t>
      </w:r>
    </w:p>
    <w:p>
      <w:pPr>
        <w:pStyle w:val="BodyText"/>
      </w:pPr>
      <w:r>
        <w:t xml:space="preserve">Most laboratory characterisations rely on gravimetric measurements: the specimen is weighed during drying or absorption, which yields its average degree of saturation</w:t>
      </w:r>
      <w:r>
        <w:t xml:space="preserve"> </w:t>
      </w:r>
      <m:oMath>
        <m:sSub>
          <m:e>
            <m:r>
              <m:t>S</m:t>
            </m:r>
          </m:e>
          <m:sub>
            <m:r>
              <m:rPr>
                <m:nor/>
              </m:rPr>
              <m:t>avg</m:t>
            </m:r>
          </m:sub>
        </m:sSub>
        <m:d>
          <m:dPr>
            <m:begChr m:val="("/>
            <m:sepChr m:val=""/>
            <m:endChr m:val=")"/>
            <m:grow/>
          </m:dPr>
          <m:e>
            <m:r>
              <m:t>t</m:t>
            </m:r>
          </m:e>
        </m:d>
      </m:oMath>
      <w:r>
        <w:t xml:space="preserve"> </w:t>
      </w:r>
      <w:r>
        <w:t xml:space="preserve">[6, 7]. These data are cheap and robust but contain no direct information on the internal saturation profile</w:t>
      </w:r>
      <w:r>
        <w:t xml:space="preserve"> </w:t>
      </w:r>
      <m:oMath>
        <m:r>
          <m:t>S</m:t>
        </m:r>
        <m:d>
          <m:dPr>
            <m:begChr m:val="("/>
            <m:sepChr m:val=""/>
            <m:endChr m:val=")"/>
            <m:grow/>
          </m:dPr>
          <m:e>
            <m:r>
              <m:t>x</m:t>
            </m:r>
            <m:r>
              <m:rPr>
                <m:sty m:val="p"/>
              </m:rPr>
              <m:t>,</m:t>
            </m:r>
            <m:r>
              <m:t>t</m:t>
            </m:r>
          </m:e>
        </m:d>
      </m:oMath>
      <w:r>
        <w:t xml:space="preserve">, which controls local damage and the penetration of aggressive species [3]. Numerical models based on finite elements or finite differences can compute</w:t>
      </w:r>
      <w:r>
        <w:t xml:space="preserve"> </w:t>
      </w:r>
      <m:oMath>
        <m:r>
          <m:t>S</m:t>
        </m:r>
        <m:d>
          <m:dPr>
            <m:begChr m:val="("/>
            <m:sepChr m:val=""/>
            <m:endChr m:val=")"/>
            <m:grow/>
          </m:dPr>
          <m:e>
            <m:r>
              <m:t>x</m:t>
            </m:r>
            <m:r>
              <m:rPr>
                <m:sty m:val="p"/>
              </m:rPr>
              <m:t>,</m:t>
            </m:r>
            <m:r>
              <m:t>t</m:t>
            </m:r>
          </m:e>
        </m:d>
      </m:oMath>
      <w:r>
        <w:t xml:space="preserve"> </w:t>
      </w:r>
      <w:r>
        <w:t xml:space="preserve">once the transport properties are known [8–11], but these properties are rarely measured for every mix and are usually calibrated by fitting simulated mass-loss curves. The calibration is an inverse problem that is generally ill-posed: different parameter sets can reproduce the same global response [12, 13]. It is also performed mix by mix, so the effect of composition on the transport properties is not captured by a single model.</w:t>
      </w:r>
    </w:p>
    <w:p>
      <w:pPr>
        <w:pStyle w:val="BodyText"/>
      </w:pPr>
      <w:r>
        <w:t xml:space="preserve">Physics-informed neural networks (PINNs) have been proposed to address such problems [14, 15]. A PINN represents the unknown field by a neural network and penalises the residual of the governing equation, computed by automatic differentiation [16], together with the misfit to the data; unknown coefficients of the equation can be learned in the same optimisation [14, 17]. PINNs have identified constitutive relationships of unsaturated soils [18, 19] and chloride diffusion coefficients of concrete and mortars [20, 21], and neural networks have recovered moisture diffusivities of concrete from synthetic data [22]. However, PINN training is known to fail for stiff, transport-dominated problems: the optimiser can converge to solutions that satisfy the residual almost everywhere while violating the initial condition or the early-time dynamics [23–25]. For an inverse problem, such a failure is difficult to detect from the data fit alone, because the network can reproduce the measurements with parameters that are not consistent with the governing equation.</w:t>
      </w:r>
    </w:p>
    <w:p>
      <w:pPr>
        <w:pStyle w:val="BodyText"/>
      </w:pPr>
      <w:r>
        <w:t xml:space="preserve">An alternative is to embed a numerical solver in the learning loop. In this</w:t>
      </w:r>
      <w:r>
        <w:t xml:space="preserve"> </w:t>
      </w:r>
      <w:r>
        <w:rPr>
          <w:iCs/>
          <w:i/>
        </w:rPr>
        <w:t xml:space="preserve">differentiable physics</w:t>
      </w:r>
      <w:r>
        <w:t xml:space="preserve"> </w:t>
      </w:r>
      <w:r>
        <w:t xml:space="preserve">approach, a network predicts the unknown parameters or closures, a conventional discretisation solves the equations, and gradients are propagated through the solver by automatic differentiation [26, 27]. The governing equation is then satisfied to the accuracy of the discretisation, and the network only has to learn the mapping to the parameters. To the authors’ knowledge, this approach has not been applied to moisture transport in cementitious materials, and the consistency of PINN-identified moisture parameters has not been checked against an independent solver.</w:t>
      </w:r>
    </w:p>
    <w:p>
      <w:pPr>
        <w:pStyle w:val="BodyText"/>
      </w:pPr>
      <w:r>
        <w:t xml:space="preserve">This study addresses these gaps. Its contributions are:</w:t>
      </w:r>
    </w:p>
    <w:p>
      <w:pPr>
        <w:pStyle w:val="Compact"/>
        <w:numPr>
          <w:ilvl w:val="0"/>
          <w:numId w:val="1002"/>
        </w:numPr>
      </w:pPr>
      <w:r>
        <w:t xml:space="preserve">A documented cleaning of a public database of 27 drying curves and an identifiability analysis showing which transport parameters can be recovered from average-saturation data.</w:t>
      </w:r>
    </w:p>
    <w:p>
      <w:pPr>
        <w:pStyle w:val="Compact"/>
        <w:numPr>
          <w:ilvl w:val="0"/>
          <w:numId w:val="1002"/>
        </w:numPr>
      </w:pPr>
      <w:r>
        <w:t xml:space="preserve">A composition-aware physics-embedded neural network (PENN) that predicts the transport parameters of any mix from its composition, trained through a differentiable finite-volume solver.</w:t>
      </w:r>
    </w:p>
    <w:p>
      <w:pPr>
        <w:pStyle w:val="Compact"/>
        <w:numPr>
          <w:ilvl w:val="0"/>
          <w:numId w:val="1002"/>
        </w:numPr>
      </w:pPr>
      <w:r>
        <w:t xml:space="preserve">A systematic comparison, on mixes withheld from training, with a classical finite-difference identification, a purely data-driven network and a composition-aware PINN, including an independent solver check of the identified parameters.</w:t>
      </w:r>
    </w:p>
    <w:p>
      <w:pPr>
        <w:pStyle w:val="Compact"/>
        <w:numPr>
          <w:ilvl w:val="0"/>
          <w:numId w:val="1002"/>
        </w:numPr>
      </w:pPr>
      <w:r>
        <w:t xml:space="preserve">The resulting transport parameters, diffusivity curves and internal saturation fields of plain, binary and ternary concretes, and their dependence on w/b and SCM content.</w:t>
      </w:r>
    </w:p>
    <w:p>
      <w:pPr>
        <w:pStyle w:val="FirstParagraph"/>
      </w:pPr>
      <w:r>
        <w:t xml:space="preserve">Section 2 describes the experimental database and its cleaning, Section 3 the physical model and its identifiability, and Section 4 the methods. Results are presented in Section 5 and discussed in Section 6; Section 7 concludes.</w:t>
      </w:r>
    </w:p>
    <w:bookmarkEnd w:id="22"/>
    <w:bookmarkStart w:id="29" w:name="experimental-database"/>
    <w:p>
      <w:pPr>
        <w:pStyle w:val="Heading1"/>
      </w:pPr>
      <w:r>
        <w:t xml:space="preserve">2 Experimental database</w:t>
      </w:r>
    </w:p>
    <w:bookmarkStart w:id="23" w:name="source-and-test-protocol"/>
    <w:p>
      <w:pPr>
        <w:pStyle w:val="Heading2"/>
      </w:pPr>
      <w:r>
        <w:t xml:space="preserve">2.1 Source and test protocol</w:t>
      </w:r>
    </w:p>
    <w:p>
      <w:pPr>
        <w:pStyle w:val="FirstParagraph"/>
      </w:pPr>
      <w:r>
        <w:t xml:space="preserve">The data are taken from the experimental campaign of Zhuang et al. [7] on the drying and capillary absorption of concretes with fly ash and slag. Discs 100 mm in diameter and 50 mm thick were cut from 100 mm × 150 mm cylinders, vacuum-saturated for 24 h and dried in an oven at 50 °C, following the conditioning procedure of ASTM C1585 [28]. The specimens were weighed daily until constant mass, defined as a mass change below 0.1% in 24 h, and the degree of saturation was expressed relative to the saturated and oven-dry states.</w:t>
      </w:r>
      <w:r>
        <w:t xml:space="preserve"> </w:t>
      </w:r>
      <w:commentRangeStart w:id="1"/>
      <w:r>
        <w:t xml:space="preserve">The drying curves used here were digitised from the figures of the original publication.</w:t>
      </w:r>
      <w:commentRangeEnd w:id="1"/>
      <w:r>
        <w:rPr>
          <w:rStyle w:val="CommentReference"/>
        </w:rPr>
        <w:commentReference w:id="1"/>
      </w:r>
    </w:p>
    <w:bookmarkEnd w:id="23"/>
    <w:bookmarkStart w:id="24" w:name="concrete-mixes"/>
    <w:p>
      <w:pPr>
        <w:pStyle w:val="Heading2"/>
      </w:pPr>
      <w:r>
        <w:t xml:space="preserve">2.2 Concrete mixes</w:t>
      </w:r>
    </w:p>
    <w:p>
      <w:pPr>
        <w:pStyle w:val="FirstParagraph"/>
      </w:pPr>
      <w:r>
        <w:t xml:space="preserve">The test programme covers four w/b ratios (0.3–0.6) and seven binder systems: plain Portland cement (C), 20% and 40% fly ash (F20, F40), 20% and 40% slag (S20, S40), and ternary blends with 10% + 10% and 20% + 20% fly ash and slag (F10S10, F20S20). The mix proportions are listed in Table 1.</w:t>
      </w:r>
    </w:p>
    <w:p>
      <w:pPr>
        <w:pStyle w:val="TableCaption"/>
      </w:pPr>
      <w:r>
        <w:rPr>
          <w:bCs/>
          <w:b/>
        </w:rPr>
        <w:t xml:space="preserve">Table 1.</w:t>
      </w:r>
      <w:r>
        <w:t xml:space="preserve"> </w:t>
      </w:r>
      <w:r>
        <w:t xml:space="preserve">Mix proportions of the concretes (kg/m³), after Zhuang et al. [7].</w:t>
      </w:r>
    </w:p>
    <w:tbl>
      <w:tblPr>
        <w:tblStyle w:val="Table"/>
        <w:tblW w:type="auto" w:w="0"/>
        <w:jc w:val="center"/>
        <w:tblLook w:firstRow="1" w:lastRow="0" w:firstColumn="0" w:lastColumn="0" w:noHBand="0" w:noVBand="0" w:val="0020"/>
        <w:tblCaption w:val="Table 1. Mix proportions of the concretes (kg/m³), after Zhuang et al. [7]."/>
      </w:tblPr>
      <w:tblGrid>
        <w:gridCol w:w="1320"/>
        <w:gridCol w:w="1320"/>
        <w:gridCol w:w="1320"/>
        <w:gridCol w:w="1320"/>
        <w:gridCol w:w="1320"/>
        <w:gridCol w:w="1320"/>
      </w:tblGrid>
      <w:tr>
        <w:trPr>
          <w:tblHeader w:val="true"/>
        </w:trPr>
        <w:tc>
          <w:tcPr/>
          <w:p>
            <w:pPr>
              <w:pStyle w:val="Compact"/>
              <w:jc w:val="left"/>
            </w:pPr>
            <w:r>
              <w:t xml:space="preserve">Mix</w:t>
            </w:r>
          </w:p>
        </w:tc>
        <w:tc>
          <w:tcPr/>
          <w:p>
            <w:pPr>
              <w:pStyle w:val="Compact"/>
              <w:jc w:val="center"/>
            </w:pPr>
            <w:r>
              <w:t xml:space="preserve">w/b</w:t>
            </w:r>
          </w:p>
        </w:tc>
        <w:tc>
          <w:tcPr/>
          <w:p>
            <w:pPr>
              <w:pStyle w:val="Compact"/>
              <w:jc w:val="center"/>
            </w:pPr>
            <w:r>
              <w:t xml:space="preserve">Water</w:t>
            </w:r>
          </w:p>
        </w:tc>
        <w:tc>
          <w:tcPr/>
          <w:p>
            <w:pPr>
              <w:pStyle w:val="Compact"/>
              <w:jc w:val="center"/>
            </w:pPr>
            <w:r>
              <w:t xml:space="preserve">Cement</w:t>
            </w:r>
          </w:p>
        </w:tc>
        <w:tc>
          <w:tcPr/>
          <w:p>
            <w:pPr>
              <w:pStyle w:val="Compact"/>
              <w:jc w:val="center"/>
            </w:pPr>
            <w:r>
              <w:t xml:space="preserve">Fly ash</w:t>
            </w:r>
          </w:p>
        </w:tc>
        <w:tc>
          <w:tcPr/>
          <w:p>
            <w:pPr>
              <w:pStyle w:val="Compact"/>
              <w:jc w:val="center"/>
            </w:pPr>
            <w:r>
              <w:t xml:space="preserve">Slag</w:t>
            </w:r>
          </w:p>
        </w:tc>
      </w:tr>
      <w:tr>
        <w:tc>
          <w:tcPr/>
          <w:p>
            <w:pPr>
              <w:pStyle w:val="Compact"/>
              <w:jc w:val="left"/>
            </w:pPr>
            <w:r>
              <w:t xml:space="preserve">C-0.3</w:t>
            </w:r>
          </w:p>
        </w:tc>
        <w:tc>
          <w:tcPr/>
          <w:p>
            <w:pPr>
              <w:pStyle w:val="Compact"/>
              <w:jc w:val="center"/>
            </w:pPr>
            <w:r>
              <w:t xml:space="preserve">0.3</w:t>
            </w:r>
          </w:p>
        </w:tc>
        <w:tc>
          <w:tcPr/>
          <w:p>
            <w:pPr>
              <w:pStyle w:val="Compact"/>
              <w:jc w:val="center"/>
            </w:pPr>
            <w:r>
              <w:t xml:space="preserve">179</w:t>
            </w:r>
          </w:p>
        </w:tc>
        <w:tc>
          <w:tcPr/>
          <w:p>
            <w:pPr>
              <w:pStyle w:val="Compact"/>
              <w:jc w:val="center"/>
            </w:pPr>
            <w:r>
              <w:t xml:space="preserve">596</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C-0.4</w:t>
            </w:r>
          </w:p>
        </w:tc>
        <w:tc>
          <w:tcPr/>
          <w:p>
            <w:pPr>
              <w:pStyle w:val="Compact"/>
              <w:jc w:val="center"/>
            </w:pPr>
            <w:r>
              <w:t xml:space="preserve">0.4</w:t>
            </w:r>
          </w:p>
        </w:tc>
        <w:tc>
          <w:tcPr/>
          <w:p>
            <w:pPr>
              <w:pStyle w:val="Compact"/>
              <w:jc w:val="center"/>
            </w:pPr>
            <w:r>
              <w:t xml:space="preserve">204</w:t>
            </w:r>
          </w:p>
        </w:tc>
        <w:tc>
          <w:tcPr/>
          <w:p>
            <w:pPr>
              <w:pStyle w:val="Compact"/>
              <w:jc w:val="center"/>
            </w:pPr>
            <w:r>
              <w:t xml:space="preserve">509</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C-0.5</w:t>
            </w:r>
          </w:p>
        </w:tc>
        <w:tc>
          <w:tcPr/>
          <w:p>
            <w:pPr>
              <w:pStyle w:val="Compact"/>
              <w:jc w:val="center"/>
            </w:pPr>
            <w:r>
              <w:t xml:space="preserve">0.5</w:t>
            </w:r>
          </w:p>
        </w:tc>
        <w:tc>
          <w:tcPr/>
          <w:p>
            <w:pPr>
              <w:pStyle w:val="Compact"/>
              <w:jc w:val="center"/>
            </w:pPr>
            <w:r>
              <w:t xml:space="preserve">226</w:t>
            </w:r>
          </w:p>
        </w:tc>
        <w:tc>
          <w:tcPr/>
          <w:p>
            <w:pPr>
              <w:pStyle w:val="Compact"/>
              <w:jc w:val="center"/>
            </w:pPr>
            <w:r>
              <w:t xml:space="preserve">451</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C-0.6</w:t>
            </w:r>
          </w:p>
        </w:tc>
        <w:tc>
          <w:tcPr/>
          <w:p>
            <w:pPr>
              <w:pStyle w:val="Compact"/>
              <w:jc w:val="center"/>
            </w:pPr>
            <w:r>
              <w:t xml:space="preserve">0.6</w:t>
            </w:r>
          </w:p>
        </w:tc>
        <w:tc>
          <w:tcPr/>
          <w:p>
            <w:pPr>
              <w:pStyle w:val="Compact"/>
              <w:jc w:val="center"/>
            </w:pPr>
            <w:r>
              <w:t xml:space="preserve">236</w:t>
            </w:r>
          </w:p>
        </w:tc>
        <w:tc>
          <w:tcPr/>
          <w:p>
            <w:pPr>
              <w:pStyle w:val="Compact"/>
              <w:jc w:val="center"/>
            </w:pPr>
            <w:r>
              <w:t xml:space="preserve">393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F20-0.3</w:t>
            </w:r>
          </w:p>
        </w:tc>
        <w:tc>
          <w:tcPr/>
          <w:p>
            <w:pPr>
              <w:pStyle w:val="Compact"/>
              <w:jc w:val="center"/>
            </w:pPr>
            <w:r>
              <w:t xml:space="preserve">0.3</w:t>
            </w:r>
          </w:p>
        </w:tc>
        <w:tc>
          <w:tcPr/>
          <w:p>
            <w:pPr>
              <w:pStyle w:val="Compact"/>
              <w:jc w:val="center"/>
            </w:pPr>
            <w:r>
              <w:t xml:space="preserve">173</w:t>
            </w:r>
          </w:p>
        </w:tc>
        <w:tc>
          <w:tcPr/>
          <w:p>
            <w:pPr>
              <w:pStyle w:val="Compact"/>
              <w:jc w:val="center"/>
            </w:pPr>
            <w:r>
              <w:t xml:space="preserve">461</w:t>
            </w:r>
          </w:p>
        </w:tc>
        <w:tc>
          <w:tcPr/>
          <w:p>
            <w:pPr>
              <w:pStyle w:val="Compact"/>
              <w:jc w:val="center"/>
            </w:pPr>
            <w:r>
              <w:t xml:space="preserve">115</w:t>
            </w:r>
          </w:p>
        </w:tc>
        <w:tc>
          <w:tcPr/>
          <w:p>
            <w:pPr>
              <w:pStyle w:val="Compact"/>
              <w:jc w:val="center"/>
            </w:pPr>
            <w:r>
              <w:t xml:space="preserve">–</w:t>
            </w:r>
          </w:p>
        </w:tc>
      </w:tr>
      <w:tr>
        <w:tc>
          <w:tcPr/>
          <w:p>
            <w:pPr>
              <w:pStyle w:val="Compact"/>
              <w:jc w:val="left"/>
            </w:pPr>
            <w:r>
              <w:t xml:space="preserve">F20-0.4</w:t>
            </w:r>
          </w:p>
        </w:tc>
        <w:tc>
          <w:tcPr/>
          <w:p>
            <w:pPr>
              <w:pStyle w:val="Compact"/>
              <w:jc w:val="center"/>
            </w:pPr>
            <w:r>
              <w:t xml:space="preserve">0.4</w:t>
            </w:r>
          </w:p>
        </w:tc>
        <w:tc>
          <w:tcPr/>
          <w:p>
            <w:pPr>
              <w:pStyle w:val="Compact"/>
              <w:jc w:val="center"/>
            </w:pPr>
            <w:r>
              <w:t xml:space="preserve">200</w:t>
            </w:r>
          </w:p>
        </w:tc>
        <w:tc>
          <w:tcPr/>
          <w:p>
            <w:pPr>
              <w:pStyle w:val="Compact"/>
              <w:jc w:val="center"/>
            </w:pPr>
            <w:r>
              <w:t xml:space="preserve">399</w:t>
            </w:r>
          </w:p>
        </w:tc>
        <w:tc>
          <w:tcPr/>
          <w:p>
            <w:pPr>
              <w:pStyle w:val="Compact"/>
              <w:jc w:val="center"/>
            </w:pPr>
            <w:r>
              <w:t xml:space="preserve">100</w:t>
            </w:r>
          </w:p>
        </w:tc>
        <w:tc>
          <w:tcPr/>
          <w:p>
            <w:pPr>
              <w:pStyle w:val="Compact"/>
              <w:jc w:val="center"/>
            </w:pPr>
            <w:r>
              <w:t xml:space="preserve">–</w:t>
            </w:r>
          </w:p>
        </w:tc>
      </w:tr>
      <w:tr>
        <w:tc>
          <w:tcPr/>
          <w:p>
            <w:pPr>
              <w:pStyle w:val="Compact"/>
              <w:jc w:val="left"/>
            </w:pPr>
            <w:r>
              <w:t xml:space="preserve">F20-0.5</w:t>
            </w:r>
          </w:p>
        </w:tc>
        <w:tc>
          <w:tcPr/>
          <w:p>
            <w:pPr>
              <w:pStyle w:val="Compact"/>
              <w:jc w:val="center"/>
            </w:pPr>
            <w:r>
              <w:t xml:space="preserve">0.5</w:t>
            </w:r>
          </w:p>
        </w:tc>
        <w:tc>
          <w:tcPr/>
          <w:p>
            <w:pPr>
              <w:pStyle w:val="Compact"/>
              <w:jc w:val="center"/>
            </w:pPr>
            <w:r>
              <w:t xml:space="preserve">222</w:t>
            </w:r>
          </w:p>
        </w:tc>
        <w:tc>
          <w:tcPr/>
          <w:p>
            <w:pPr>
              <w:pStyle w:val="Compact"/>
              <w:jc w:val="center"/>
            </w:pPr>
            <w:r>
              <w:t xml:space="preserve">355</w:t>
            </w:r>
          </w:p>
        </w:tc>
        <w:tc>
          <w:tcPr/>
          <w:p>
            <w:pPr>
              <w:pStyle w:val="Compact"/>
              <w:jc w:val="center"/>
            </w:pPr>
            <w:r>
              <w:t xml:space="preserve">89</w:t>
            </w:r>
          </w:p>
        </w:tc>
        <w:tc>
          <w:tcPr/>
          <w:p>
            <w:pPr>
              <w:pStyle w:val="Compact"/>
              <w:jc w:val="center"/>
            </w:pPr>
            <w:r>
              <w:t xml:space="preserve">–</w:t>
            </w:r>
          </w:p>
        </w:tc>
      </w:tr>
      <w:tr>
        <w:tc>
          <w:tcPr/>
          <w:p>
            <w:pPr>
              <w:pStyle w:val="Compact"/>
              <w:jc w:val="left"/>
            </w:pPr>
            <w:r>
              <w:t xml:space="preserve">F20-0.6</w:t>
            </w:r>
          </w:p>
        </w:tc>
        <w:tc>
          <w:tcPr/>
          <w:p>
            <w:pPr>
              <w:pStyle w:val="Compact"/>
              <w:jc w:val="center"/>
            </w:pPr>
            <w:r>
              <w:t xml:space="preserve">0.6</w:t>
            </w:r>
          </w:p>
        </w:tc>
        <w:tc>
          <w:tcPr/>
          <w:p>
            <w:pPr>
              <w:pStyle w:val="Compact"/>
              <w:jc w:val="center"/>
            </w:pPr>
            <w:r>
              <w:t xml:space="preserve">233</w:t>
            </w:r>
          </w:p>
        </w:tc>
        <w:tc>
          <w:tcPr/>
          <w:p>
            <w:pPr>
              <w:pStyle w:val="Compact"/>
              <w:jc w:val="center"/>
            </w:pPr>
            <w:r>
              <w:t xml:space="preserve">311</w:t>
            </w:r>
          </w:p>
        </w:tc>
        <w:tc>
          <w:tcPr/>
          <w:p>
            <w:pPr>
              <w:pStyle w:val="Compact"/>
              <w:jc w:val="center"/>
            </w:pPr>
            <w:r>
              <w:t xml:space="preserve">78</w:t>
            </w:r>
          </w:p>
        </w:tc>
        <w:tc>
          <w:tcPr/>
          <w:p>
            <w:pPr>
              <w:pStyle w:val="Compact"/>
              <w:jc w:val="center"/>
            </w:pPr>
            <w:r>
              <w:t xml:space="preserve">–</w:t>
            </w:r>
          </w:p>
        </w:tc>
      </w:tr>
      <w:tr>
        <w:tc>
          <w:tcPr/>
          <w:p>
            <w:pPr>
              <w:pStyle w:val="Compact"/>
              <w:jc w:val="left"/>
            </w:pPr>
            <w:r>
              <w:t xml:space="preserve">F40-0.3</w:t>
            </w:r>
          </w:p>
        </w:tc>
        <w:tc>
          <w:tcPr/>
          <w:p>
            <w:pPr>
              <w:pStyle w:val="Compact"/>
              <w:jc w:val="center"/>
            </w:pPr>
            <w:r>
              <w:t xml:space="preserve">0.3</w:t>
            </w:r>
          </w:p>
        </w:tc>
        <w:tc>
          <w:tcPr/>
          <w:p>
            <w:pPr>
              <w:pStyle w:val="Compact"/>
              <w:jc w:val="center"/>
            </w:pPr>
            <w:r>
              <w:t xml:space="preserve">167</w:t>
            </w:r>
          </w:p>
        </w:tc>
        <w:tc>
          <w:tcPr/>
          <w:p>
            <w:pPr>
              <w:pStyle w:val="Compact"/>
              <w:jc w:val="center"/>
            </w:pPr>
            <w:r>
              <w:t xml:space="preserve">334</w:t>
            </w:r>
          </w:p>
        </w:tc>
        <w:tc>
          <w:tcPr/>
          <w:p>
            <w:pPr>
              <w:pStyle w:val="Compact"/>
              <w:jc w:val="center"/>
            </w:pPr>
            <w:r>
              <w:t xml:space="preserve">223</w:t>
            </w:r>
          </w:p>
        </w:tc>
        <w:tc>
          <w:tcPr/>
          <w:p>
            <w:pPr>
              <w:pStyle w:val="Compact"/>
              <w:jc w:val="center"/>
            </w:pPr>
            <w:r>
              <w:t xml:space="preserve">–</w:t>
            </w:r>
          </w:p>
        </w:tc>
      </w:tr>
      <w:tr>
        <w:tc>
          <w:tcPr/>
          <w:p>
            <w:pPr>
              <w:pStyle w:val="Compact"/>
              <w:jc w:val="left"/>
            </w:pPr>
            <w:r>
              <w:t xml:space="preserve">F40-0.4</w:t>
            </w:r>
          </w:p>
        </w:tc>
        <w:tc>
          <w:tcPr/>
          <w:p>
            <w:pPr>
              <w:pStyle w:val="Compact"/>
              <w:jc w:val="center"/>
            </w:pPr>
            <w:r>
              <w:t xml:space="preserve">0.4</w:t>
            </w:r>
          </w:p>
        </w:tc>
        <w:tc>
          <w:tcPr/>
          <w:p>
            <w:pPr>
              <w:pStyle w:val="Compact"/>
              <w:jc w:val="center"/>
            </w:pPr>
            <w:r>
              <w:t xml:space="preserve">197</w:t>
            </w:r>
          </w:p>
        </w:tc>
        <w:tc>
          <w:tcPr/>
          <w:p>
            <w:pPr>
              <w:pStyle w:val="Compact"/>
              <w:jc w:val="center"/>
            </w:pPr>
            <w:r>
              <w:t xml:space="preserve">296</w:t>
            </w:r>
          </w:p>
        </w:tc>
        <w:tc>
          <w:tcPr/>
          <w:p>
            <w:pPr>
              <w:pStyle w:val="Compact"/>
              <w:jc w:val="center"/>
            </w:pPr>
            <w:r>
              <w:t xml:space="preserve">197</w:t>
            </w:r>
          </w:p>
        </w:tc>
        <w:tc>
          <w:tcPr/>
          <w:p>
            <w:pPr>
              <w:pStyle w:val="Compact"/>
              <w:jc w:val="center"/>
            </w:pPr>
            <w:r>
              <w:t xml:space="preserve">–</w:t>
            </w:r>
          </w:p>
        </w:tc>
      </w:tr>
      <w:tr>
        <w:tc>
          <w:tcPr/>
          <w:p>
            <w:pPr>
              <w:pStyle w:val="Compact"/>
              <w:jc w:val="left"/>
            </w:pPr>
            <w:r>
              <w:t xml:space="preserve">F40-0.5</w:t>
            </w:r>
          </w:p>
        </w:tc>
        <w:tc>
          <w:tcPr/>
          <w:p>
            <w:pPr>
              <w:pStyle w:val="Compact"/>
              <w:jc w:val="center"/>
            </w:pPr>
            <w:r>
              <w:t xml:space="preserve">0.5</w:t>
            </w:r>
          </w:p>
        </w:tc>
        <w:tc>
          <w:tcPr/>
          <w:p>
            <w:pPr>
              <w:pStyle w:val="Compact"/>
              <w:jc w:val="center"/>
            </w:pPr>
            <w:r>
              <w:t xml:space="preserve">217</w:t>
            </w:r>
          </w:p>
        </w:tc>
        <w:tc>
          <w:tcPr/>
          <w:p>
            <w:pPr>
              <w:pStyle w:val="Compact"/>
              <w:jc w:val="center"/>
            </w:pPr>
            <w:r>
              <w:t xml:space="preserve">260</w:t>
            </w:r>
          </w:p>
        </w:tc>
        <w:tc>
          <w:tcPr/>
          <w:p>
            <w:pPr>
              <w:pStyle w:val="Compact"/>
              <w:jc w:val="center"/>
            </w:pPr>
            <w:r>
              <w:t xml:space="preserve">174</w:t>
            </w:r>
          </w:p>
        </w:tc>
        <w:tc>
          <w:tcPr/>
          <w:p>
            <w:pPr>
              <w:pStyle w:val="Compact"/>
              <w:jc w:val="center"/>
            </w:pPr>
            <w:r>
              <w:t xml:space="preserve">–</w:t>
            </w:r>
          </w:p>
        </w:tc>
      </w:tr>
      <w:tr>
        <w:tc>
          <w:tcPr/>
          <w:p>
            <w:pPr>
              <w:pStyle w:val="Compact"/>
              <w:jc w:val="left"/>
            </w:pPr>
            <w:r>
              <w:t xml:space="preserve">F40-0.6</w:t>
            </w:r>
          </w:p>
        </w:tc>
        <w:tc>
          <w:tcPr/>
          <w:p>
            <w:pPr>
              <w:pStyle w:val="Compact"/>
              <w:jc w:val="center"/>
            </w:pPr>
            <w:r>
              <w:t xml:space="preserve">0.6</w:t>
            </w:r>
          </w:p>
        </w:tc>
        <w:tc>
          <w:tcPr/>
          <w:p>
            <w:pPr>
              <w:pStyle w:val="Compact"/>
              <w:jc w:val="center"/>
            </w:pPr>
            <w:r>
              <w:t xml:space="preserve">231</w:t>
            </w:r>
          </w:p>
        </w:tc>
        <w:tc>
          <w:tcPr/>
          <w:p>
            <w:pPr>
              <w:pStyle w:val="Compact"/>
              <w:jc w:val="center"/>
            </w:pPr>
            <w:r>
              <w:t xml:space="preserve">231</w:t>
            </w:r>
          </w:p>
        </w:tc>
        <w:tc>
          <w:tcPr/>
          <w:p>
            <w:pPr>
              <w:pStyle w:val="Compact"/>
              <w:jc w:val="center"/>
            </w:pPr>
            <w:r>
              <w:t xml:space="preserve">154</w:t>
            </w:r>
          </w:p>
        </w:tc>
        <w:tc>
          <w:tcPr/>
          <w:p>
            <w:pPr>
              <w:pStyle w:val="Compact"/>
              <w:jc w:val="center"/>
            </w:pPr>
            <w:r>
              <w:t xml:space="preserve">–</w:t>
            </w:r>
          </w:p>
        </w:tc>
      </w:tr>
      <w:tr>
        <w:tc>
          <w:tcPr/>
          <w:p>
            <w:pPr>
              <w:pStyle w:val="Compact"/>
              <w:jc w:val="left"/>
            </w:pPr>
            <w:r>
              <w:t xml:space="preserve">S20-0.3</w:t>
            </w:r>
          </w:p>
        </w:tc>
        <w:tc>
          <w:tcPr/>
          <w:p>
            <w:pPr>
              <w:pStyle w:val="Compact"/>
              <w:jc w:val="center"/>
            </w:pPr>
            <w:r>
              <w:t xml:space="preserve">0.3</w:t>
            </w:r>
          </w:p>
        </w:tc>
        <w:tc>
          <w:tcPr/>
          <w:p>
            <w:pPr>
              <w:pStyle w:val="Compact"/>
              <w:jc w:val="center"/>
            </w:pPr>
            <w:r>
              <w:t xml:space="preserve">176</w:t>
            </w:r>
          </w:p>
        </w:tc>
        <w:tc>
          <w:tcPr/>
          <w:p>
            <w:pPr>
              <w:pStyle w:val="Compact"/>
              <w:jc w:val="center"/>
            </w:pPr>
            <w:r>
              <w:t xml:space="preserve">470</w:t>
            </w:r>
          </w:p>
        </w:tc>
        <w:tc>
          <w:tcPr/>
          <w:p>
            <w:pPr>
              <w:pStyle w:val="Compact"/>
              <w:jc w:val="center"/>
            </w:pPr>
            <w:r>
              <w:t xml:space="preserve">–</w:t>
            </w:r>
          </w:p>
        </w:tc>
        <w:tc>
          <w:tcPr/>
          <w:p>
            <w:pPr>
              <w:pStyle w:val="Compact"/>
              <w:jc w:val="center"/>
            </w:pPr>
            <w:r>
              <w:t xml:space="preserve">118</w:t>
            </w:r>
          </w:p>
        </w:tc>
      </w:tr>
      <w:tr>
        <w:tc>
          <w:tcPr/>
          <w:p>
            <w:pPr>
              <w:pStyle w:val="Compact"/>
              <w:jc w:val="left"/>
            </w:pPr>
            <w:r>
              <w:t xml:space="preserve">S20-0.4</w:t>
            </w:r>
          </w:p>
        </w:tc>
        <w:tc>
          <w:tcPr/>
          <w:p>
            <w:pPr>
              <w:pStyle w:val="Compact"/>
              <w:jc w:val="center"/>
            </w:pPr>
            <w:r>
              <w:t xml:space="preserve">0.4</w:t>
            </w:r>
          </w:p>
        </w:tc>
        <w:tc>
          <w:tcPr/>
          <w:p>
            <w:pPr>
              <w:pStyle w:val="Compact"/>
              <w:jc w:val="center"/>
            </w:pPr>
            <w:r>
              <w:t xml:space="preserve">205</w:t>
            </w:r>
          </w:p>
        </w:tc>
        <w:tc>
          <w:tcPr/>
          <w:p>
            <w:pPr>
              <w:pStyle w:val="Compact"/>
              <w:jc w:val="center"/>
            </w:pPr>
            <w:r>
              <w:t xml:space="preserve">409</w:t>
            </w:r>
          </w:p>
        </w:tc>
        <w:tc>
          <w:tcPr/>
          <w:p>
            <w:pPr>
              <w:pStyle w:val="Compact"/>
              <w:jc w:val="center"/>
            </w:pPr>
            <w:r>
              <w:t xml:space="preserve">–</w:t>
            </w:r>
          </w:p>
        </w:tc>
        <w:tc>
          <w:tcPr/>
          <w:p>
            <w:pPr>
              <w:pStyle w:val="Compact"/>
              <w:jc w:val="center"/>
            </w:pPr>
            <w:r>
              <w:t xml:space="preserve">102</w:t>
            </w:r>
          </w:p>
        </w:tc>
      </w:tr>
      <w:tr>
        <w:tc>
          <w:tcPr/>
          <w:p>
            <w:pPr>
              <w:pStyle w:val="Compact"/>
              <w:jc w:val="left"/>
            </w:pPr>
            <w:r>
              <w:t xml:space="preserve">S20-0.5</w:t>
            </w:r>
          </w:p>
        </w:tc>
        <w:tc>
          <w:tcPr/>
          <w:p>
            <w:pPr>
              <w:pStyle w:val="Compact"/>
              <w:jc w:val="center"/>
            </w:pPr>
            <w:r>
              <w:t xml:space="preserve">0.5</w:t>
            </w:r>
          </w:p>
        </w:tc>
        <w:tc>
          <w:tcPr/>
          <w:p>
            <w:pPr>
              <w:pStyle w:val="Compact"/>
              <w:jc w:val="center"/>
            </w:pPr>
            <w:r>
              <w:t xml:space="preserve">227</w:t>
            </w:r>
          </w:p>
        </w:tc>
        <w:tc>
          <w:tcPr/>
          <w:p>
            <w:pPr>
              <w:pStyle w:val="Compact"/>
              <w:jc w:val="center"/>
            </w:pPr>
            <w:r>
              <w:t xml:space="preserve">363</w:t>
            </w:r>
          </w:p>
        </w:tc>
        <w:tc>
          <w:tcPr/>
          <w:p>
            <w:pPr>
              <w:pStyle w:val="Compact"/>
              <w:jc w:val="center"/>
            </w:pPr>
            <w:r>
              <w:t xml:space="preserve">–</w:t>
            </w:r>
          </w:p>
        </w:tc>
        <w:tc>
          <w:tcPr/>
          <w:p>
            <w:pPr>
              <w:pStyle w:val="Compact"/>
              <w:jc w:val="center"/>
            </w:pPr>
            <w:r>
              <w:t xml:space="preserve">91</w:t>
            </w:r>
          </w:p>
        </w:tc>
      </w:tr>
      <w:tr>
        <w:tc>
          <w:tcPr/>
          <w:p>
            <w:pPr>
              <w:pStyle w:val="Compact"/>
              <w:jc w:val="left"/>
            </w:pPr>
            <w:r>
              <w:t xml:space="preserve">S20-0.6</w:t>
            </w:r>
          </w:p>
        </w:tc>
        <w:tc>
          <w:tcPr/>
          <w:p>
            <w:pPr>
              <w:pStyle w:val="Compact"/>
              <w:jc w:val="center"/>
            </w:pPr>
            <w:r>
              <w:t xml:space="preserve">0.6</w:t>
            </w:r>
          </w:p>
        </w:tc>
        <w:tc>
          <w:tcPr/>
          <w:p>
            <w:pPr>
              <w:pStyle w:val="Compact"/>
              <w:jc w:val="center"/>
            </w:pPr>
            <w:r>
              <w:t xml:space="preserve">237</w:t>
            </w:r>
          </w:p>
        </w:tc>
        <w:tc>
          <w:tcPr/>
          <w:p>
            <w:pPr>
              <w:pStyle w:val="Compact"/>
              <w:jc w:val="center"/>
            </w:pPr>
            <w:r>
              <w:t xml:space="preserve">316</w:t>
            </w:r>
          </w:p>
        </w:tc>
        <w:tc>
          <w:tcPr/>
          <w:p>
            <w:pPr>
              <w:pStyle w:val="Compact"/>
              <w:jc w:val="center"/>
            </w:pPr>
            <w:r>
              <w:t xml:space="preserve">–</w:t>
            </w:r>
          </w:p>
        </w:tc>
        <w:tc>
          <w:tcPr/>
          <w:p>
            <w:pPr>
              <w:pStyle w:val="Compact"/>
              <w:jc w:val="center"/>
            </w:pPr>
            <w:r>
              <w:t xml:space="preserve">79</w:t>
            </w:r>
          </w:p>
        </w:tc>
      </w:tr>
      <w:tr>
        <w:tc>
          <w:tcPr/>
          <w:p>
            <w:pPr>
              <w:pStyle w:val="Compact"/>
              <w:jc w:val="left"/>
            </w:pPr>
            <w:r>
              <w:t xml:space="preserve">S40-0.3</w:t>
            </w:r>
          </w:p>
        </w:tc>
        <w:tc>
          <w:tcPr/>
          <w:p>
            <w:pPr>
              <w:pStyle w:val="Compact"/>
              <w:jc w:val="center"/>
            </w:pPr>
            <w:r>
              <w:t xml:space="preserve">0.3</w:t>
            </w:r>
          </w:p>
        </w:tc>
        <w:tc>
          <w:tcPr/>
          <w:p>
            <w:pPr>
              <w:pStyle w:val="Compact"/>
              <w:jc w:val="center"/>
            </w:pPr>
            <w:r>
              <w:t xml:space="preserve">174</w:t>
            </w:r>
          </w:p>
        </w:tc>
        <w:tc>
          <w:tcPr/>
          <w:p>
            <w:pPr>
              <w:pStyle w:val="Compact"/>
              <w:jc w:val="center"/>
            </w:pPr>
            <w:r>
              <w:t xml:space="preserve">348</w:t>
            </w:r>
          </w:p>
        </w:tc>
        <w:tc>
          <w:tcPr/>
          <w:p>
            <w:pPr>
              <w:pStyle w:val="Compact"/>
              <w:jc w:val="center"/>
            </w:pPr>
            <w:r>
              <w:t xml:space="preserve">–</w:t>
            </w:r>
          </w:p>
        </w:tc>
        <w:tc>
          <w:tcPr/>
          <w:p>
            <w:pPr>
              <w:pStyle w:val="Compact"/>
              <w:jc w:val="center"/>
            </w:pPr>
            <w:r>
              <w:t xml:space="preserve">232</w:t>
            </w:r>
          </w:p>
        </w:tc>
      </w:tr>
      <w:tr>
        <w:tc>
          <w:tcPr/>
          <w:p>
            <w:pPr>
              <w:pStyle w:val="Compact"/>
              <w:jc w:val="left"/>
            </w:pPr>
            <w:r>
              <w:t xml:space="preserve">S40-0.4</w:t>
            </w:r>
          </w:p>
        </w:tc>
        <w:tc>
          <w:tcPr/>
          <w:p>
            <w:pPr>
              <w:pStyle w:val="Compact"/>
              <w:jc w:val="center"/>
            </w:pPr>
            <w:r>
              <w:t xml:space="preserve">0.4</w:t>
            </w:r>
          </w:p>
        </w:tc>
        <w:tc>
          <w:tcPr/>
          <w:p>
            <w:pPr>
              <w:pStyle w:val="Compact"/>
              <w:jc w:val="center"/>
            </w:pPr>
            <w:r>
              <w:t xml:space="preserve">205</w:t>
            </w:r>
          </w:p>
        </w:tc>
        <w:tc>
          <w:tcPr/>
          <w:p>
            <w:pPr>
              <w:pStyle w:val="Compact"/>
              <w:jc w:val="center"/>
            </w:pPr>
            <w:r>
              <w:t xml:space="preserve">307</w:t>
            </w:r>
          </w:p>
        </w:tc>
        <w:tc>
          <w:tcPr/>
          <w:p>
            <w:pPr>
              <w:pStyle w:val="Compact"/>
              <w:jc w:val="center"/>
            </w:pPr>
            <w:r>
              <w:t xml:space="preserve">–</w:t>
            </w:r>
          </w:p>
        </w:tc>
        <w:tc>
          <w:tcPr/>
          <w:p>
            <w:pPr>
              <w:pStyle w:val="Compact"/>
              <w:jc w:val="center"/>
            </w:pPr>
            <w:r>
              <w:t xml:space="preserve">205</w:t>
            </w:r>
          </w:p>
        </w:tc>
      </w:tr>
      <w:tr>
        <w:tc>
          <w:tcPr/>
          <w:p>
            <w:pPr>
              <w:pStyle w:val="Compact"/>
              <w:jc w:val="left"/>
            </w:pPr>
            <w:r>
              <w:t xml:space="preserve">S40-0.5</w:t>
            </w:r>
          </w:p>
        </w:tc>
        <w:tc>
          <w:tcPr/>
          <w:p>
            <w:pPr>
              <w:pStyle w:val="Compact"/>
              <w:jc w:val="center"/>
            </w:pPr>
            <w:r>
              <w:t xml:space="preserve">0.5</w:t>
            </w:r>
          </w:p>
        </w:tc>
        <w:tc>
          <w:tcPr/>
          <w:p>
            <w:pPr>
              <w:pStyle w:val="Compact"/>
              <w:jc w:val="center"/>
            </w:pPr>
            <w:r>
              <w:t xml:space="preserve">223</w:t>
            </w:r>
          </w:p>
        </w:tc>
        <w:tc>
          <w:tcPr/>
          <w:p>
            <w:pPr>
              <w:pStyle w:val="Compact"/>
              <w:jc w:val="center"/>
            </w:pPr>
            <w:r>
              <w:t xml:space="preserve">268</w:t>
            </w:r>
          </w:p>
        </w:tc>
        <w:tc>
          <w:tcPr/>
          <w:p>
            <w:pPr>
              <w:pStyle w:val="Compact"/>
              <w:jc w:val="center"/>
            </w:pPr>
            <w:r>
              <w:t xml:space="preserve">–</w:t>
            </w:r>
          </w:p>
        </w:tc>
        <w:tc>
          <w:tcPr/>
          <w:p>
            <w:pPr>
              <w:pStyle w:val="Compact"/>
              <w:jc w:val="center"/>
            </w:pPr>
            <w:r>
              <w:t xml:space="preserve">178</w:t>
            </w:r>
          </w:p>
        </w:tc>
      </w:tr>
      <w:tr>
        <w:tc>
          <w:tcPr/>
          <w:p>
            <w:pPr>
              <w:pStyle w:val="Compact"/>
              <w:jc w:val="left"/>
            </w:pPr>
            <w:r>
              <w:t xml:space="preserve">S40-0.6</w:t>
            </w:r>
          </w:p>
        </w:tc>
        <w:tc>
          <w:tcPr/>
          <w:p>
            <w:pPr>
              <w:pStyle w:val="Compact"/>
              <w:jc w:val="center"/>
            </w:pPr>
            <w:r>
              <w:t xml:space="preserve">0.6</w:t>
            </w:r>
          </w:p>
        </w:tc>
        <w:tc>
          <w:tcPr/>
          <w:p>
            <w:pPr>
              <w:pStyle w:val="Compact"/>
              <w:jc w:val="center"/>
            </w:pPr>
            <w:r>
              <w:t xml:space="preserve">237</w:t>
            </w:r>
          </w:p>
        </w:tc>
        <w:tc>
          <w:tcPr/>
          <w:p>
            <w:pPr>
              <w:pStyle w:val="Compact"/>
              <w:jc w:val="center"/>
            </w:pPr>
            <w:r>
              <w:t xml:space="preserve">237</w:t>
            </w:r>
          </w:p>
        </w:tc>
        <w:tc>
          <w:tcPr/>
          <w:p>
            <w:pPr>
              <w:pStyle w:val="Compact"/>
              <w:jc w:val="center"/>
            </w:pPr>
            <w:r>
              <w:t xml:space="preserve">–</w:t>
            </w:r>
          </w:p>
        </w:tc>
        <w:tc>
          <w:tcPr/>
          <w:p>
            <w:pPr>
              <w:pStyle w:val="Compact"/>
              <w:jc w:val="center"/>
            </w:pPr>
            <w:r>
              <w:t xml:space="preserve">158</w:t>
            </w:r>
          </w:p>
        </w:tc>
      </w:tr>
      <w:tr>
        <w:tc>
          <w:tcPr/>
          <w:p>
            <w:pPr>
              <w:pStyle w:val="Compact"/>
              <w:jc w:val="left"/>
            </w:pPr>
            <w:r>
              <w:t xml:space="preserve">F10S10-0.3</w:t>
            </w:r>
          </w:p>
        </w:tc>
        <w:tc>
          <w:tcPr/>
          <w:p>
            <w:pPr>
              <w:pStyle w:val="Compact"/>
              <w:jc w:val="center"/>
            </w:pPr>
            <w:r>
              <w:t xml:space="preserve">0.3</w:t>
            </w:r>
          </w:p>
        </w:tc>
        <w:tc>
          <w:tcPr/>
          <w:p>
            <w:pPr>
              <w:pStyle w:val="Compact"/>
              <w:jc w:val="center"/>
            </w:pPr>
            <w:r>
              <w:t xml:space="preserve">175</w:t>
            </w:r>
          </w:p>
        </w:tc>
        <w:tc>
          <w:tcPr/>
          <w:p>
            <w:pPr>
              <w:pStyle w:val="Compact"/>
              <w:jc w:val="center"/>
            </w:pPr>
            <w:r>
              <w:t xml:space="preserve">466</w:t>
            </w:r>
          </w:p>
        </w:tc>
        <w:tc>
          <w:tcPr/>
          <w:p>
            <w:pPr>
              <w:pStyle w:val="Compact"/>
              <w:jc w:val="center"/>
            </w:pPr>
            <w:r>
              <w:t xml:space="preserve">58</w:t>
            </w:r>
          </w:p>
        </w:tc>
        <w:tc>
          <w:tcPr/>
          <w:p>
            <w:pPr>
              <w:pStyle w:val="Compact"/>
              <w:jc w:val="center"/>
            </w:pPr>
            <w:r>
              <w:t xml:space="preserve">58</w:t>
            </w:r>
          </w:p>
        </w:tc>
      </w:tr>
      <w:tr>
        <w:tc>
          <w:tcPr/>
          <w:p>
            <w:pPr>
              <w:pStyle w:val="Compact"/>
              <w:jc w:val="left"/>
            </w:pPr>
            <w:r>
              <w:t xml:space="preserve">F10S10-0.4</w:t>
            </w:r>
          </w:p>
        </w:tc>
        <w:tc>
          <w:tcPr/>
          <w:p>
            <w:pPr>
              <w:pStyle w:val="Compact"/>
              <w:jc w:val="center"/>
            </w:pPr>
            <w:r>
              <w:t xml:space="preserve">0.4</w:t>
            </w:r>
          </w:p>
        </w:tc>
        <w:tc>
          <w:tcPr/>
          <w:p>
            <w:pPr>
              <w:pStyle w:val="Compact"/>
              <w:jc w:val="center"/>
            </w:pPr>
            <w:r>
              <w:t xml:space="preserve">202</w:t>
            </w:r>
          </w:p>
        </w:tc>
        <w:tc>
          <w:tcPr/>
          <w:p>
            <w:pPr>
              <w:pStyle w:val="Compact"/>
              <w:jc w:val="center"/>
            </w:pPr>
            <w:r>
              <w:t xml:space="preserve">403</w:t>
            </w:r>
          </w:p>
        </w:tc>
        <w:tc>
          <w:tcPr/>
          <w:p>
            <w:pPr>
              <w:pStyle w:val="Compact"/>
              <w:jc w:val="center"/>
            </w:pPr>
            <w:r>
              <w:t xml:space="preserve">50</w:t>
            </w:r>
          </w:p>
        </w:tc>
        <w:tc>
          <w:tcPr/>
          <w:p>
            <w:pPr>
              <w:pStyle w:val="Compact"/>
              <w:jc w:val="center"/>
            </w:pPr>
            <w:r>
              <w:t xml:space="preserve">50</w:t>
            </w:r>
          </w:p>
        </w:tc>
      </w:tr>
      <w:tr>
        <w:tc>
          <w:tcPr/>
          <w:p>
            <w:pPr>
              <w:pStyle w:val="Compact"/>
              <w:jc w:val="left"/>
            </w:pPr>
            <w:r>
              <w:t xml:space="preserve">F10S10-0.5</w:t>
            </w:r>
          </w:p>
        </w:tc>
        <w:tc>
          <w:tcPr/>
          <w:p>
            <w:pPr>
              <w:pStyle w:val="Compact"/>
              <w:jc w:val="center"/>
            </w:pPr>
            <w:r>
              <w:t xml:space="preserve">0.5</w:t>
            </w:r>
          </w:p>
        </w:tc>
        <w:tc>
          <w:tcPr/>
          <w:p>
            <w:pPr>
              <w:pStyle w:val="Compact"/>
              <w:jc w:val="center"/>
            </w:pPr>
            <w:r>
              <w:t xml:space="preserve">223</w:t>
            </w:r>
          </w:p>
        </w:tc>
        <w:tc>
          <w:tcPr/>
          <w:p>
            <w:pPr>
              <w:pStyle w:val="Compact"/>
              <w:jc w:val="center"/>
            </w:pPr>
            <w:r>
              <w:t xml:space="preserve">357</w:t>
            </w:r>
          </w:p>
        </w:tc>
        <w:tc>
          <w:tcPr/>
          <w:p>
            <w:pPr>
              <w:pStyle w:val="Compact"/>
              <w:jc w:val="center"/>
            </w:pPr>
            <w:r>
              <w:t xml:space="preserve">45</w:t>
            </w:r>
          </w:p>
        </w:tc>
        <w:tc>
          <w:tcPr/>
          <w:p>
            <w:pPr>
              <w:pStyle w:val="Compact"/>
              <w:jc w:val="center"/>
            </w:pPr>
            <w:r>
              <w:t xml:space="preserve">45</w:t>
            </w:r>
          </w:p>
        </w:tc>
      </w:tr>
      <w:tr>
        <w:tc>
          <w:tcPr/>
          <w:p>
            <w:pPr>
              <w:pStyle w:val="Compact"/>
              <w:jc w:val="left"/>
            </w:pPr>
            <w:r>
              <w:t xml:space="preserve">F10S10-0.6</w:t>
            </w:r>
          </w:p>
        </w:tc>
        <w:tc>
          <w:tcPr/>
          <w:p>
            <w:pPr>
              <w:pStyle w:val="Compact"/>
              <w:jc w:val="center"/>
            </w:pPr>
            <w:r>
              <w:t xml:space="preserve">0.6</w:t>
            </w:r>
          </w:p>
        </w:tc>
        <w:tc>
          <w:tcPr/>
          <w:p>
            <w:pPr>
              <w:pStyle w:val="Compact"/>
              <w:jc w:val="center"/>
            </w:pPr>
            <w:r>
              <w:t xml:space="preserve">236</w:t>
            </w:r>
          </w:p>
        </w:tc>
        <w:tc>
          <w:tcPr/>
          <w:p>
            <w:pPr>
              <w:pStyle w:val="Compact"/>
              <w:jc w:val="center"/>
            </w:pPr>
            <w:r>
              <w:t xml:space="preserve">315</w:t>
            </w:r>
          </w:p>
        </w:tc>
        <w:tc>
          <w:tcPr/>
          <w:p>
            <w:pPr>
              <w:pStyle w:val="Compact"/>
              <w:jc w:val="center"/>
            </w:pPr>
            <w:r>
              <w:t xml:space="preserve">39</w:t>
            </w:r>
          </w:p>
        </w:tc>
        <w:tc>
          <w:tcPr/>
          <w:p>
            <w:pPr>
              <w:pStyle w:val="Compact"/>
              <w:jc w:val="center"/>
            </w:pPr>
            <w:r>
              <w:t xml:space="preserve">39</w:t>
            </w:r>
          </w:p>
        </w:tc>
      </w:tr>
      <w:tr>
        <w:tc>
          <w:tcPr/>
          <w:p>
            <w:pPr>
              <w:pStyle w:val="Compact"/>
              <w:jc w:val="left"/>
            </w:pPr>
            <w:r>
              <w:t xml:space="preserve">F20S20-0.3</w:t>
            </w:r>
          </w:p>
        </w:tc>
        <w:tc>
          <w:tcPr/>
          <w:p>
            <w:pPr>
              <w:pStyle w:val="Compact"/>
              <w:jc w:val="center"/>
            </w:pPr>
            <w:r>
              <w:t xml:space="preserve">0.3</w:t>
            </w:r>
          </w:p>
        </w:tc>
        <w:tc>
          <w:tcPr/>
          <w:p>
            <w:pPr>
              <w:pStyle w:val="Compact"/>
              <w:jc w:val="center"/>
            </w:pPr>
            <w:r>
              <w:t xml:space="preserve">170</w:t>
            </w:r>
          </w:p>
        </w:tc>
        <w:tc>
          <w:tcPr/>
          <w:p>
            <w:pPr>
              <w:pStyle w:val="Compact"/>
              <w:jc w:val="center"/>
            </w:pPr>
            <w:r>
              <w:t xml:space="preserve">341</w:t>
            </w:r>
          </w:p>
        </w:tc>
        <w:tc>
          <w:tcPr/>
          <w:p>
            <w:pPr>
              <w:pStyle w:val="Compact"/>
              <w:jc w:val="center"/>
            </w:pPr>
            <w:r>
              <w:t xml:space="preserve">114</w:t>
            </w:r>
          </w:p>
        </w:tc>
        <w:tc>
          <w:tcPr/>
          <w:p>
            <w:pPr>
              <w:pStyle w:val="Compact"/>
              <w:jc w:val="center"/>
            </w:pPr>
            <w:r>
              <w:t xml:space="preserve">114</w:t>
            </w:r>
          </w:p>
        </w:tc>
      </w:tr>
      <w:tr>
        <w:tc>
          <w:tcPr/>
          <w:p>
            <w:pPr>
              <w:pStyle w:val="Compact"/>
              <w:jc w:val="left"/>
            </w:pPr>
            <w:r>
              <w:t xml:space="preserve">F20S20-0.4</w:t>
            </w:r>
          </w:p>
        </w:tc>
        <w:tc>
          <w:tcPr/>
          <w:p>
            <w:pPr>
              <w:pStyle w:val="Compact"/>
              <w:jc w:val="center"/>
            </w:pPr>
            <w:r>
              <w:t xml:space="preserve">0.4</w:t>
            </w:r>
          </w:p>
        </w:tc>
        <w:tc>
          <w:tcPr/>
          <w:p>
            <w:pPr>
              <w:pStyle w:val="Compact"/>
              <w:jc w:val="center"/>
            </w:pPr>
            <w:r>
              <w:t xml:space="preserve">196</w:t>
            </w:r>
          </w:p>
        </w:tc>
        <w:tc>
          <w:tcPr/>
          <w:p>
            <w:pPr>
              <w:pStyle w:val="Compact"/>
              <w:jc w:val="center"/>
            </w:pPr>
            <w:r>
              <w:t xml:space="preserve">295</w:t>
            </w:r>
          </w:p>
        </w:tc>
        <w:tc>
          <w:tcPr/>
          <w:p>
            <w:pPr>
              <w:pStyle w:val="Compact"/>
              <w:jc w:val="center"/>
            </w:pPr>
            <w:r>
              <w:t xml:space="preserve">98</w:t>
            </w:r>
          </w:p>
        </w:tc>
        <w:tc>
          <w:tcPr/>
          <w:p>
            <w:pPr>
              <w:pStyle w:val="Compact"/>
              <w:jc w:val="center"/>
            </w:pPr>
            <w:r>
              <w:t xml:space="preserve">98</w:t>
            </w:r>
          </w:p>
        </w:tc>
      </w:tr>
      <w:tr>
        <w:tc>
          <w:tcPr/>
          <w:p>
            <w:pPr>
              <w:pStyle w:val="Compact"/>
              <w:jc w:val="left"/>
            </w:pPr>
            <w:r>
              <w:t xml:space="preserve">F20S20-0.5</w:t>
            </w:r>
          </w:p>
        </w:tc>
        <w:tc>
          <w:tcPr/>
          <w:p>
            <w:pPr>
              <w:pStyle w:val="Compact"/>
              <w:jc w:val="center"/>
            </w:pPr>
            <w:r>
              <w:t xml:space="preserve">0.5</w:t>
            </w:r>
          </w:p>
        </w:tc>
        <w:tc>
          <w:tcPr/>
          <w:p>
            <w:pPr>
              <w:pStyle w:val="Compact"/>
              <w:jc w:val="center"/>
            </w:pPr>
            <w:r>
              <w:t xml:space="preserve">224</w:t>
            </w:r>
          </w:p>
        </w:tc>
        <w:tc>
          <w:tcPr/>
          <w:p>
            <w:pPr>
              <w:pStyle w:val="Compact"/>
              <w:jc w:val="center"/>
            </w:pPr>
            <w:r>
              <w:t xml:space="preserve">269</w:t>
            </w:r>
          </w:p>
        </w:tc>
        <w:tc>
          <w:tcPr/>
          <w:p>
            <w:pPr>
              <w:pStyle w:val="Compact"/>
              <w:jc w:val="center"/>
            </w:pPr>
            <w:r>
              <w:t xml:space="preserve">90</w:t>
            </w:r>
          </w:p>
        </w:tc>
        <w:tc>
          <w:tcPr/>
          <w:p>
            <w:pPr>
              <w:pStyle w:val="Compact"/>
              <w:jc w:val="center"/>
            </w:pPr>
            <w:r>
              <w:t xml:space="preserve">90</w:t>
            </w:r>
          </w:p>
        </w:tc>
      </w:tr>
      <w:tr>
        <w:tc>
          <w:tcPr/>
          <w:p>
            <w:pPr>
              <w:pStyle w:val="Compact"/>
              <w:jc w:val="left"/>
            </w:pPr>
            <w:r>
              <w:t xml:space="preserve">F20S20-0.6</w:t>
            </w:r>
          </w:p>
        </w:tc>
        <w:tc>
          <w:tcPr/>
          <w:p>
            <w:pPr>
              <w:pStyle w:val="Compact"/>
              <w:jc w:val="center"/>
            </w:pPr>
            <w:r>
              <w:t xml:space="preserve">0.6</w:t>
            </w:r>
          </w:p>
        </w:tc>
        <w:tc>
          <w:tcPr/>
          <w:p>
            <w:pPr>
              <w:pStyle w:val="Compact"/>
              <w:jc w:val="center"/>
            </w:pPr>
            <w:r>
              <w:t xml:space="preserve">241</w:t>
            </w:r>
          </w:p>
        </w:tc>
        <w:tc>
          <w:tcPr/>
          <w:p>
            <w:pPr>
              <w:pStyle w:val="Compact"/>
              <w:jc w:val="center"/>
            </w:pPr>
            <w:r>
              <w:t xml:space="preserve">241</w:t>
            </w:r>
          </w:p>
        </w:tc>
        <w:tc>
          <w:tcPr/>
          <w:p>
            <w:pPr>
              <w:pStyle w:val="Compact"/>
              <w:jc w:val="center"/>
            </w:pPr>
            <w:r>
              <w:t xml:space="preserve">80</w:t>
            </w:r>
          </w:p>
        </w:tc>
        <w:tc>
          <w:tcPr/>
          <w:p>
            <w:pPr>
              <w:pStyle w:val="Compact"/>
              <w:jc w:val="center"/>
            </w:pPr>
            <w:r>
              <w:t xml:space="preserve">80</w:t>
            </w:r>
          </w:p>
        </w:tc>
      </w:tr>
    </w:tbl>
    <w:bookmarkEnd w:id="24"/>
    <w:bookmarkStart w:id="28" w:name="data-cleaning"/>
    <w:p>
      <w:pPr>
        <w:pStyle w:val="Heading2"/>
      </w:pPr>
      <w:r>
        <w:t xml:space="preserve">2.3 Data cleaning</w:t>
      </w:r>
    </w:p>
    <w:p>
      <w:pPr>
        <w:pStyle w:val="FirstParagraph"/>
      </w:pPr>
      <w:r>
        <w:t xml:space="preserve">The raw digitised file contains 1,562 points for 27 mixes (S20-0.5 is missing). For most mixes it holds two digitisations of the same drying curve: a short series with daily points up to 14 days and a long series up to 40–100 days. Matching equal saturation values shows that the long series is shifted in time by +1.05 days (interquartile range 0.97–1.13 days over 18 consistent mixes). The short series is the one consistent with drying from</w:t>
      </w:r>
      <w:r>
        <w:t xml:space="preserve"> </w:t>
      </w:r>
      <m:oMath>
        <m:r>
          <m:t>t</m:t>
        </m:r>
        <m:r>
          <m:rPr>
            <m:sty m:val="p"/>
          </m:rPr>
          <m:t>=</m:t>
        </m:r>
        <m:r>
          <m:t>0</m:t>
        </m:r>
      </m:oMath>
      <w:r>
        <w:t xml:space="preserve">, since</w:t>
      </w:r>
      <w:r>
        <w:t xml:space="preserve"> </w:t>
      </w:r>
      <m:oMath>
        <m:r>
          <m:t>1</m:t>
        </m:r>
        <m:r>
          <m:rPr>
            <m:sty m:val="p"/>
          </m:rPr>
          <m:t>−</m:t>
        </m:r>
        <m:sSub>
          <m:e>
            <m:r>
              <m:t>S</m:t>
            </m:r>
          </m:e>
          <m:sub>
            <m:r>
              <m:rPr>
                <m:nor/>
              </m:rPr>
              <m:t>avg</m:t>
            </m:r>
          </m:sub>
        </m:sSub>
      </m:oMath>
      <w:r>
        <w:t xml:space="preserve"> </w:t>
      </w:r>
      <w:r>
        <w:t xml:space="preserve">grows as</w:t>
      </w:r>
      <w:r>
        <w:t xml:space="preserve"> </w:t>
      </w:r>
      <m:oMath>
        <m:rad>
          <m:radPr>
            <m:degHide m:val="on"/>
          </m:radPr>
          <m:deg/>
          <m:e>
            <m:r>
              <m:t>t</m:t>
            </m:r>
          </m:e>
        </m:rad>
      </m:oMath>
      <w:r>
        <w:t xml:space="preserve"> </w:t>
      </w:r>
      <w:r>
        <w:t xml:space="preserve">at early times. Each curve was therefore rebuilt from the short series up to 14 days and the time-corrected long series beyond, which removes the duplicated points (Fig. 1a,b).</w:t>
      </w:r>
    </w:p>
    <w:p>
      <w:pPr>
        <w:pStyle w:val="BodyText"/>
      </w:pPr>
      <w:r>
        <w:t xml:space="preserve">For w/b = 0.6 the two series are not consistent: the long series of S20-0.6 and S40-0.6 are identical copies, the short series of F20S20-0.6 mixes two curves, and the time shifts are erratic (Fig. 1c). In addition, the remaining w/b = 0.6 curves dry more slowly at early ages than the w/b = 0.5 curves, and their classical fit drives the permeability to the lower bound of its admissible range, which is physically inconsistent. These mixes were therefore excluded until they can be re-digitised. The final database contains 932 points for 20 mixes with w/b = 0.3–0.5. All decisions are scripted and reported in the code repository.</w:t>
      </w:r>
    </w:p>
    <w:p>
      <w:pPr>
        <w:pStyle w:val="CaptionedFigure"/>
      </w:pPr>
      <w:r>
        <w:drawing>
          <wp:inline>
            <wp:extent cx="5334000" cy="2117703"/>
            <wp:effectExtent b="0" l="0" r="0" t="0"/>
            <wp:docPr descr="Fig. 1. Examples of the raw digitised series and of the cleaned curves: (a) C-0.4 and (b) F40-0.4, where the long series is the short series shifted by about one day; (c) S40-0.6, where the two series are inconsistent and the mix is excluded." title="" id="26" name="Picture"/>
            <a:graphic>
              <a:graphicData uri="http://schemas.openxmlformats.org/drawingml/2006/picture">
                <pic:pic>
                  <pic:nvPicPr>
                    <pic:cNvPr descr="fig2/fig_data_cleaning.png" id="27" name="Picture"/>
                    <pic:cNvPicPr>
                      <a:picLocks noChangeArrowheads="1" noChangeAspect="1"/>
                    </pic:cNvPicPr>
                  </pic:nvPicPr>
                  <pic:blipFill>
                    <a:blip r:embed="rId25"/>
                    <a:stretch>
                      <a:fillRect/>
                    </a:stretch>
                  </pic:blipFill>
                  <pic:spPr bwMode="auto">
                    <a:xfrm>
                      <a:off x="0" y="0"/>
                      <a:ext cx="5334000" cy="2117703"/>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Examples of the raw digitised series and of the cleaned curves: (a) C-0.4 and (b) F40-0.4, where the long series is the short series shifted by about one day; (c) S40-0.6, where the two series are inconsistent and the mix is excluded.</w:t>
      </w:r>
    </w:p>
    <w:p>
      <w:pPr>
        <w:pStyle w:val="BodyText"/>
      </w:pPr>
      <w:commentRangeStart w:id="2"/>
      <w:commentRangeEnd w:id="2"/>
      <w:r>
        <w:rPr>
          <w:rStyle w:val="CommentReference"/>
        </w:rPr>
        <w:commentReference w:id="2"/>
      </w:r>
    </w:p>
    <w:bookmarkEnd w:id="28"/>
    <w:bookmarkEnd w:id="29"/>
    <w:bookmarkStart w:id="34" w:name="physical-model"/>
    <w:p>
      <w:pPr>
        <w:pStyle w:val="Heading1"/>
      </w:pPr>
      <w:r>
        <w:t xml:space="preserve">3 Physical model</w:t>
      </w:r>
    </w:p>
    <w:bookmarkStart w:id="30" w:name="governing-equation"/>
    <w:p>
      <w:pPr>
        <w:pStyle w:val="Heading2"/>
      </w:pPr>
      <w:r>
        <w:t xml:space="preserve">3.1 Governing equation</w:t>
      </w:r>
    </w:p>
    <w:p>
      <w:pPr>
        <w:pStyle w:val="FirstParagraph"/>
      </w:pPr>
      <w:r>
        <w:t xml:space="preserve">Neglecting sources and sinks, which is reasonable once hydration has largely ceased [3], moisture conservation in one dimension reads</w:t>
      </w:r>
    </w:p>
    <w:p>
      <w:pPr>
        <w:pStyle w:val="BodyText"/>
      </w:pPr>
      <m:oMathPara>
        <m:oMathParaPr>
          <m:jc m:val="center"/>
        </m:oMathParaPr>
        <m:oMath>
          <m:f>
            <m:fPr>
              <m:type m:val="bar"/>
            </m:fPr>
            <m:num>
              <m:r>
                <m:rPr>
                  <m:sty m:val="p"/>
                </m:rPr>
                <m:t>∂</m:t>
              </m:r>
              <m:r>
                <m:t>S</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r>
                <m:t>D</m:t>
              </m:r>
              <m:d>
                <m:dPr>
                  <m:begChr m:val="("/>
                  <m:sepChr m:val=""/>
                  <m:endChr m:val=")"/>
                  <m:grow/>
                </m:dPr>
                <m:e>
                  <m:r>
                    <m:t>S</m:t>
                  </m:r>
                  <m:r>
                    <m:rPr>
                      <m:sty m:val="p"/>
                    </m:rPr>
                    <m:t>;</m:t>
                  </m:r>
                  <m:r>
                    <m:rPr>
                      <m:sty m:val="b"/>
                    </m:rPr>
                    <m:t>θ</m:t>
                  </m:r>
                </m:e>
              </m:d>
              <m:r>
                <m:t> </m:t>
              </m:r>
              <m:f>
                <m:fPr>
                  <m:type m:val="bar"/>
                </m:fPr>
                <m:num>
                  <m:r>
                    <m:rPr>
                      <m:sty m:val="p"/>
                    </m:rPr>
                    <m:t>∂</m:t>
                  </m:r>
                  <m:r>
                    <m:t>S</m:t>
                  </m:r>
                </m:num>
                <m:den>
                  <m:r>
                    <m:rPr>
                      <m:sty m:val="p"/>
                    </m:rPr>
                    <m:t>∂</m:t>
                  </m:r>
                  <m:r>
                    <m:t>x</m:t>
                  </m:r>
                </m:den>
              </m:f>
            </m:e>
          </m:d>
          <m:r>
            <m:t>  </m:t>
          </m:r>
          <m:r>
            <m:t>  </m:t>
          </m:r>
          <m:d>
            <m:dPr>
              <m:begChr m:val="("/>
              <m:sepChr m:val=""/>
              <m:endChr m:val=")"/>
              <m:grow/>
            </m:dPr>
            <m:e>
              <m:r>
                <m:t>1</m:t>
              </m:r>
            </m:e>
          </m:d>
        </m:oMath>
      </m:oMathPara>
    </w:p>
    <w:p>
      <w:pPr>
        <w:pStyle w:val="FirstParagraph"/>
      </w:pPr>
      <w:r>
        <w:t xml:space="preserve">where</w:t>
      </w:r>
      <w:r>
        <w:t xml:space="preserve"> </w:t>
      </w:r>
      <m:oMath>
        <m:r>
          <m:t>S</m:t>
        </m:r>
        <m:d>
          <m:dPr>
            <m:begChr m:val="("/>
            <m:sepChr m:val=""/>
            <m:endChr m:val=")"/>
            <m:grow/>
          </m:dPr>
          <m:e>
            <m:r>
              <m:t>x</m:t>
            </m:r>
            <m:r>
              <m:rPr>
                <m:sty m:val="p"/>
              </m:rPr>
              <m:t>,</m:t>
            </m:r>
            <m:r>
              <m:t>t</m:t>
            </m:r>
          </m:e>
        </m:d>
        <m:r>
          <m:rPr>
            <m:sty m:val="p"/>
          </m:rPr>
          <m:t>∈</m:t>
        </m:r>
        <m:d>
          <m:dPr>
            <m:begChr m:val="["/>
            <m:sepChr m:val=""/>
            <m:endChr m:val="]"/>
            <m:grow/>
          </m:dPr>
          <m:e>
            <m:r>
              <m:t>0</m:t>
            </m:r>
            <m:r>
              <m:rPr>
                <m:sty m:val="p"/>
              </m:rPr>
              <m:t>,</m:t>
            </m:r>
            <m:r>
              <m:t>1</m:t>
            </m:r>
          </m:e>
        </m:d>
      </m:oMath>
      <w:r>
        <w:t xml:space="preserve"> </w:t>
      </w:r>
      <w:r>
        <w:t xml:space="preserve">is the degree of saturation,</w:t>
      </w:r>
      <w:r>
        <w:t xml:space="preserve"> </w:t>
      </w:r>
      <m:oMath>
        <m:r>
          <m:t>D</m:t>
        </m:r>
      </m:oMath>
      <w:r>
        <w:t xml:space="preserve"> </w:t>
      </w:r>
      <w:r>
        <w:t xml:space="preserve">[m²/s] the effective moisture diffusivity and</w:t>
      </w:r>
      <w:r>
        <w:t xml:space="preserve"> </w:t>
      </w:r>
      <m:oMath>
        <m:r>
          <m:rPr>
            <m:sty m:val="b"/>
          </m:rPr>
          <m:t>θ</m:t>
        </m:r>
      </m:oMath>
      <w:r>
        <w:t xml:space="preserve"> </w:t>
      </w:r>
      <w:r>
        <w:t xml:space="preserve">the vector of material parameters.</w:t>
      </w:r>
    </w:p>
    <w:bookmarkEnd w:id="30"/>
    <w:bookmarkStart w:id="31" w:name="saturation-dependent-diffusivity"/>
    <w:p>
      <w:pPr>
        <w:pStyle w:val="Heading2"/>
      </w:pPr>
      <w:r>
        <w:t xml:space="preserve">3.2 Saturation-dependent diffusivity</w:t>
      </w:r>
    </w:p>
    <w:p>
      <w:pPr>
        <w:pStyle w:val="FirstParagraph"/>
      </w:pPr>
      <w:r>
        <w:t xml:space="preserve">The diffusivity follows the dual-regime formulation of Chen et al. [10], which blends a capillary (liquid) contribution and a vapour contribution:</w:t>
      </w:r>
    </w:p>
    <w:p>
      <w:pPr>
        <w:pStyle w:val="BodyText"/>
      </w:pPr>
      <m:oMathPara>
        <m:oMathParaPr>
          <m:jc m:val="center"/>
        </m:oMathParaPr>
        <m:oMath>
          <m:r>
            <m:t>D</m:t>
          </m:r>
          <m:d>
            <m:dPr>
              <m:begChr m:val="("/>
              <m:sepChr m:val=""/>
              <m:endChr m:val=")"/>
              <m:grow/>
            </m:dPr>
            <m:e>
              <m:r>
                <m:t>S</m:t>
              </m:r>
              <m:r>
                <m:rPr>
                  <m:sty m:val="p"/>
                </m:rPr>
                <m:t>;</m:t>
              </m:r>
              <m:r>
                <m:rPr>
                  <m:sty m:val="b"/>
                </m:rPr>
                <m:t>θ</m:t>
              </m:r>
            </m:e>
          </m:d>
          <m:r>
            <m:rPr>
              <m:sty m:val="p"/>
            </m:rPr>
            <m:t>=</m:t>
          </m:r>
          <m:r>
            <m:t>f</m:t>
          </m:r>
          <m:d>
            <m:dPr>
              <m:begChr m:val="("/>
              <m:sepChr m:val=""/>
              <m:endChr m:val=")"/>
              <m:grow/>
            </m:dPr>
            <m:e>
              <m:r>
                <m:t>S</m:t>
              </m:r>
            </m:e>
          </m:d>
          <m:r>
            <m:t> </m:t>
          </m:r>
          <m:sSub>
            <m:e>
              <m:r>
                <m:t>D</m:t>
              </m:r>
            </m:e>
            <m:sub>
              <m:r>
                <m:rPr>
                  <m:nor/>
                </m:rPr>
                <m:t>cap</m:t>
              </m:r>
            </m:sub>
          </m:sSub>
          <m:d>
            <m:dPr>
              <m:begChr m:val="("/>
              <m:sepChr m:val=""/>
              <m:endChr m:val=")"/>
              <m:grow/>
            </m:dPr>
            <m:e>
              <m:r>
                <m:t>S</m:t>
              </m:r>
            </m:e>
          </m:d>
          <m:r>
            <m:rPr>
              <m:sty m:val="p"/>
            </m:rPr>
            <m:t>+</m:t>
          </m:r>
          <m:d>
            <m:dPr>
              <m:begChr m:val="["/>
              <m:sepChr m:val=""/>
              <m:endChr m:val="]"/>
              <m:grow/>
            </m:dPr>
            <m:e>
              <m:r>
                <m:t>1</m:t>
              </m:r>
              <m:r>
                <m:rPr>
                  <m:sty m:val="p"/>
                </m:rPr>
                <m:t>−</m:t>
              </m:r>
              <m:r>
                <m:t>f</m:t>
              </m:r>
              <m:d>
                <m:dPr>
                  <m:begChr m:val="("/>
                  <m:sepChr m:val=""/>
                  <m:endChr m:val=")"/>
                  <m:grow/>
                </m:dPr>
                <m:e>
                  <m:r>
                    <m:t>S</m:t>
                  </m:r>
                </m:e>
              </m:d>
            </m:e>
          </m:d>
          <m:sSub>
            <m:e>
              <m:r>
                <m:t>D</m:t>
              </m:r>
            </m:e>
            <m:sub>
              <m:r>
                <m:rPr>
                  <m:nor/>
                </m:rPr>
                <m:t>vap</m:t>
              </m:r>
            </m:sub>
          </m:sSub>
          <m:d>
            <m:dPr>
              <m:begChr m:val="("/>
              <m:sepChr m:val=""/>
              <m:endChr m:val=")"/>
              <m:grow/>
            </m:dPr>
            <m:e>
              <m:r>
                <m:t>S</m:t>
              </m:r>
            </m:e>
          </m:d>
          <m:r>
            <m:t>  </m:t>
          </m:r>
          <m:r>
            <m:t>  </m:t>
          </m:r>
          <m:d>
            <m:dPr>
              <m:begChr m:val="("/>
              <m:sepChr m:val=""/>
              <m:endChr m:val=")"/>
              <m:grow/>
            </m:dPr>
            <m:e>
              <m:r>
                <m:t>2</m:t>
              </m:r>
            </m:e>
          </m:d>
        </m:oMath>
      </m:oMathPara>
    </w:p>
    <w:p>
      <w:pPr>
        <w:pStyle w:val="FirstParagraph"/>
      </w:pPr>
      <m:oMathPara>
        <m:oMathParaPr>
          <m:jc m:val="center"/>
        </m:oMathParaPr>
        <m:oMath>
          <m:sSub>
            <m:e>
              <m:r>
                <m:t>D</m:t>
              </m:r>
            </m:e>
            <m:sub>
              <m:r>
                <m:rPr>
                  <m:nor/>
                </m:rPr>
                <m:t>vap</m:t>
              </m:r>
            </m:sub>
          </m:sSub>
          <m:d>
            <m:dPr>
              <m:begChr m:val="("/>
              <m:sepChr m:val=""/>
              <m:endChr m:val=")"/>
              <m:grow/>
            </m:dPr>
            <m:e>
              <m:r>
                <m:t>S</m:t>
              </m:r>
            </m:e>
          </m:d>
          <m:r>
            <m:rPr>
              <m:sty m:val="p"/>
            </m:rPr>
            <m:t>=</m:t>
          </m:r>
          <m:sSub>
            <m:e>
              <m:r>
                <m:t>D</m:t>
              </m:r>
            </m:e>
            <m:sub>
              <m:r>
                <m:t>v</m:t>
              </m:r>
            </m:sub>
          </m:sSub>
          <m:d>
            <m:dPr>
              <m:begChr m:val="["/>
              <m:sepChr m:val=""/>
              <m:endChr m:val="]"/>
              <m:grow/>
            </m:dPr>
            <m:e>
              <m:sSub>
                <m:e>
                  <m:r>
                    <m:t>α</m:t>
                  </m:r>
                </m:e>
                <m:sub>
                  <m:r>
                    <m:t>0</m:t>
                  </m:r>
                </m:sub>
              </m:sSub>
              <m:r>
                <m:rPr>
                  <m:sty m:val="p"/>
                </m:rPr>
                <m:t>+</m:t>
              </m:r>
              <m:f>
                <m:fPr>
                  <m:type m:val="bar"/>
                </m:fPr>
                <m:num>
                  <m:r>
                    <m:t>1</m:t>
                  </m:r>
                  <m:r>
                    <m:rPr>
                      <m:sty m:val="p"/>
                    </m:rPr>
                    <m:t>−</m:t>
                  </m:r>
                  <m:sSub>
                    <m:e>
                      <m:r>
                        <m:t>α</m:t>
                      </m:r>
                    </m:e>
                    <m:sub>
                      <m:r>
                        <m:t>0</m:t>
                      </m:r>
                    </m:sub>
                  </m:sSub>
                </m:num>
                <m:den>
                  <m:r>
                    <m:t>1</m:t>
                  </m:r>
                  <m:r>
                    <m:rPr>
                      <m:sty m:val="p"/>
                    </m:rPr>
                    <m:t>+</m:t>
                  </m:r>
                  <m:sSup>
                    <m:e>
                      <m:d>
                        <m:dPr>
                          <m:begChr m:val="("/>
                          <m:sepChr m:val=""/>
                          <m:endChr m:val=")"/>
                          <m:grow/>
                        </m:dPr>
                        <m:e>
                          <m:f>
                            <m:fPr>
                              <m:type m:val="bar"/>
                            </m:fPr>
                            <m:num>
                              <m:r>
                                <m:t>1</m:t>
                              </m:r>
                              <m:r>
                                <m:rPr>
                                  <m:sty m:val="p"/>
                                </m:rPr>
                                <m:t>−</m:t>
                              </m:r>
                              <m:r>
                                <m:t>S</m:t>
                              </m:r>
                            </m:num>
                            <m:den>
                              <m:r>
                                <m:t>1</m:t>
                              </m:r>
                              <m:r>
                                <m:rPr>
                                  <m:sty m:val="p"/>
                                </m:rPr>
                                <m:t>−</m:t>
                              </m:r>
                              <m:sSub>
                                <m:e>
                                  <m:r>
                                    <m:t>S</m:t>
                                  </m:r>
                                </m:e>
                                <m:sub>
                                  <m:r>
                                    <m:t>c</m:t>
                                  </m:r>
                                </m:sub>
                              </m:sSub>
                            </m:den>
                          </m:f>
                        </m:e>
                      </m:d>
                    </m:e>
                    <m:sup>
                      <m:r>
                        <m:t>n</m:t>
                      </m:r>
                    </m:sup>
                  </m:sSup>
                </m:den>
              </m:f>
            </m:e>
          </m:d>
          <m:r>
            <m:t>  </m:t>
          </m:r>
          <m:r>
            <m:t>  </m:t>
          </m:r>
          <m:d>
            <m:dPr>
              <m:begChr m:val="("/>
              <m:sepChr m:val=""/>
              <m:endChr m:val=")"/>
              <m:grow/>
            </m:dPr>
            <m:e>
              <m:r>
                <m:t>3</m:t>
              </m:r>
            </m:e>
          </m:d>
        </m:oMath>
      </m:oMathPara>
    </w:p>
    <w:p>
      <w:pPr>
        <w:pStyle w:val="FirstParagraph"/>
      </w:pPr>
      <m:oMathPara>
        <m:oMathParaPr>
          <m:jc m:val="center"/>
        </m:oMathParaPr>
        <m:oMath>
          <m:sSub>
            <m:e>
              <m:r>
                <m:t>D</m:t>
              </m:r>
            </m:e>
            <m:sub>
              <m:r>
                <m:rPr>
                  <m:nor/>
                </m:rPr>
                <m:t>cap</m:t>
              </m:r>
            </m:sub>
          </m:sSub>
          <m:d>
            <m:dPr>
              <m:begChr m:val="("/>
              <m:sepChr m:val=""/>
              <m:endChr m:val=")"/>
              <m:grow/>
            </m:dPr>
            <m:e>
              <m:r>
                <m:t>S</m:t>
              </m:r>
            </m:e>
          </m:d>
          <m:r>
            <m:rPr>
              <m:sty m:val="p"/>
            </m:rPr>
            <m:t>=</m:t>
          </m:r>
          <m:f>
            <m:fPr>
              <m:type m:val="bar"/>
            </m:fPr>
            <m:num>
              <m:sSub>
                <m:e>
                  <m:r>
                    <m:t>K</m:t>
                  </m:r>
                </m:e>
                <m:sub>
                  <m:r>
                    <m:rPr>
                      <m:nor/>
                    </m:rPr>
                    <m:t>int</m:t>
                  </m:r>
                </m:sub>
              </m:sSub>
            </m:num>
            <m:den>
              <m:sSub>
                <m:e>
                  <m:r>
                    <m:t>η</m:t>
                  </m:r>
                </m:e>
                <m:sub>
                  <m:r>
                    <m:t>l</m:t>
                  </m:r>
                </m:sub>
              </m:sSub>
            </m:den>
          </m:f>
          <m:d>
            <m:dPr>
              <m:begChr m:val="|"/>
              <m:sepChr m:val=""/>
              <m:endChr m:val="|"/>
              <m:grow/>
            </m:dPr>
            <m:e>
              <m:f>
                <m:fPr>
                  <m:type m:val="bar"/>
                </m:fPr>
                <m:num>
                  <m:r>
                    <m:rPr>
                      <m:sty m:val="p"/>
                    </m:rPr>
                    <m:t>∂</m:t>
                  </m:r>
                  <m:sSub>
                    <m:e>
                      <m:r>
                        <m:t>P</m:t>
                      </m:r>
                    </m:e>
                    <m:sub>
                      <m:r>
                        <m:t>c</m:t>
                      </m:r>
                    </m:sub>
                  </m:sSub>
                </m:num>
                <m:den>
                  <m:r>
                    <m:rPr>
                      <m:sty m:val="p"/>
                    </m:rPr>
                    <m:t>∂</m:t>
                  </m:r>
                  <m:r>
                    <m:t>S</m:t>
                  </m:r>
                </m:den>
              </m:f>
            </m:e>
          </m:d>
          <m:r>
            <m:rPr>
              <m:sty m:val="p"/>
            </m:rPr>
            <m:t>,</m:t>
          </m:r>
          <m:r>
            <m:t>  </m:t>
          </m:r>
          <m:f>
            <m:fPr>
              <m:type m:val="bar"/>
            </m:fPr>
            <m:num>
              <m:r>
                <m:rPr>
                  <m:sty m:val="p"/>
                </m:rPr>
                <m:t>∂</m:t>
              </m:r>
              <m:sSub>
                <m:e>
                  <m:r>
                    <m:t>P</m:t>
                  </m:r>
                </m:e>
                <m:sub>
                  <m:r>
                    <m:t>c</m:t>
                  </m:r>
                </m:sub>
              </m:sSub>
            </m:num>
            <m:den>
              <m:r>
                <m:rPr>
                  <m:sty m:val="p"/>
                </m:rPr>
                <m:t>∂</m:t>
              </m:r>
              <m:r>
                <m:t>S</m:t>
              </m:r>
            </m:den>
          </m:f>
          <m:r>
            <m:rPr>
              <m:sty m:val="p"/>
            </m:rPr>
            <m:t>=</m:t>
          </m:r>
          <m:r>
            <m:rPr>
              <m:sty m:val="p"/>
            </m:rPr>
            <m:t>−</m:t>
          </m:r>
          <m:r>
            <m:t>β</m:t>
          </m:r>
          <m:r>
            <m:t> </m:t>
          </m:r>
          <m:sSub>
            <m:e>
              <m:r>
                <m:t>P</m:t>
              </m:r>
            </m:e>
            <m:sub>
              <m:r>
                <m:t>c</m:t>
              </m:r>
              <m:r>
                <m:t>0</m:t>
              </m:r>
            </m:sub>
          </m:sSub>
          <m:r>
            <m:t> </m:t>
          </m:r>
          <m:sSup>
            <m:e>
              <m:r>
                <m:t>S</m:t>
              </m:r>
            </m:e>
            <m:sup>
              <m:r>
                <m:rPr>
                  <m:sty m:val="p"/>
                </m:rPr>
                <m:t>−</m:t>
              </m:r>
              <m:r>
                <m:t>β</m:t>
              </m:r>
              <m:r>
                <m:rPr>
                  <m:sty m:val="p"/>
                </m:rPr>
                <m:t>−</m:t>
              </m:r>
              <m:r>
                <m:t>1</m:t>
              </m:r>
            </m:sup>
          </m:sSup>
          <m:r>
            <m:t>  </m:t>
          </m:r>
          <m:r>
            <m:t>  </m:t>
          </m:r>
          <m:d>
            <m:dPr>
              <m:begChr m:val="("/>
              <m:sepChr m:val=""/>
              <m:endChr m:val=")"/>
              <m:grow/>
            </m:dPr>
            <m:e>
              <m:r>
                <m:t>4</m:t>
              </m:r>
            </m:e>
          </m:d>
        </m:oMath>
      </m:oMathPara>
    </w:p>
    <w:p>
      <w:pPr>
        <w:pStyle w:val="FirstParagraph"/>
      </w:pPr>
      <m:oMathPara>
        <m:oMathParaPr>
          <m:jc m:val="center"/>
        </m:oMathParaPr>
        <m:oMath>
          <m:r>
            <m:t>f</m:t>
          </m:r>
          <m:d>
            <m:dPr>
              <m:begChr m:val="("/>
              <m:sepChr m:val=""/>
              <m:endChr m:val=")"/>
              <m:grow/>
            </m:dPr>
            <m:e>
              <m:r>
                <m:t>S</m:t>
              </m:r>
            </m:e>
          </m:d>
          <m:r>
            <m:rPr>
              <m:sty m:val="p"/>
            </m:rPr>
            <m:t>=</m:t>
          </m:r>
          <m:f>
            <m:fPr>
              <m:type m:val="bar"/>
            </m:fPr>
            <m:num>
              <m:r>
                <m:t>1</m:t>
              </m:r>
            </m:num>
            <m:den>
              <m:r>
                <m:t>1</m:t>
              </m:r>
              <m:r>
                <m:rPr>
                  <m:sty m:val="p"/>
                </m:rPr>
                <m:t>+</m:t>
              </m:r>
              <m:r>
                <m:rPr>
                  <m:sty m:val="p"/>
                </m:rPr>
                <m:t>exp</m:t>
              </m:r>
              <m:d>
                <m:dPr>
                  <m:begChr m:val="["/>
                  <m:sepChr m:val=""/>
                  <m:endChr m:val="]"/>
                  <m:grow/>
                </m:dPr>
                <m:e>
                  <m:r>
                    <m:rPr>
                      <m:sty m:val="p"/>
                    </m:rPr>
                    <m:t>−</m:t>
                  </m:r>
                  <m:r>
                    <m:t>k</m:t>
                  </m:r>
                  <m:r>
                    <m:t> </m:t>
                  </m:r>
                  <m:d>
                    <m:dPr>
                      <m:begChr m:val="("/>
                      <m:sepChr m:val=""/>
                      <m:endChr m:val=")"/>
                      <m:grow/>
                    </m:dPr>
                    <m:e>
                      <m:r>
                        <m:t>S</m:t>
                      </m:r>
                      <m:r>
                        <m:rPr>
                          <m:sty m:val="p"/>
                        </m:rPr>
                        <m:t>−</m:t>
                      </m:r>
                      <m:sSub>
                        <m:e>
                          <m:r>
                            <m:t>S</m:t>
                          </m:r>
                        </m:e>
                        <m:sub>
                          <m:r>
                            <m:rPr>
                              <m:nor/>
                            </m:rPr>
                            <m:t>cap</m:t>
                          </m:r>
                        </m:sub>
                      </m:sSub>
                    </m:e>
                  </m:d>
                </m:e>
              </m:d>
            </m:den>
          </m:f>
          <m:r>
            <m:t>  </m:t>
          </m:r>
          <m:r>
            <m:t>  </m:t>
          </m:r>
          <m:d>
            <m:dPr>
              <m:begChr m:val="("/>
              <m:sepChr m:val=""/>
              <m:endChr m:val=")"/>
              <m:grow/>
            </m:dPr>
            <m:e>
              <m:r>
                <m:t>5</m:t>
              </m:r>
            </m:e>
          </m:d>
        </m:oMath>
      </m:oMathPara>
    </w:p>
    <w:p>
      <w:pPr>
        <w:pStyle w:val="FirstParagraph"/>
      </w:pPr>
      <w:r>
        <w:t xml:space="preserve">Equation (3) has the sigmoidal form of Bažant and Najjar [8], with</w:t>
      </w:r>
      <w:r>
        <w:t xml:space="preserve"> </w:t>
      </w:r>
      <m:oMath>
        <m:sSub>
          <m:e>
            <m:r>
              <m:t>D</m:t>
            </m:r>
          </m:e>
          <m:sub>
            <m:r>
              <m:t>v</m:t>
            </m:r>
          </m:sub>
        </m:sSub>
      </m:oMath>
      <w:r>
        <w:t xml:space="preserve"> </w:t>
      </w:r>
      <w:r>
        <w:t xml:space="preserve">the reference diffusivity,</w:t>
      </w:r>
      <w:r>
        <w:t xml:space="preserve"> </w:t>
      </w:r>
      <m:oMath>
        <m:sSub>
          <m:e>
            <m:r>
              <m:t>α</m:t>
            </m:r>
          </m:e>
          <m:sub>
            <m:r>
              <m:t>0</m:t>
            </m:r>
          </m:sub>
        </m:sSub>
      </m:oMath>
      <w:r>
        <w:t xml:space="preserve"> </w:t>
      </w:r>
      <w:r>
        <w:t xml:space="preserve">the ratio of minimum to maximum diffusivity,</w:t>
      </w:r>
      <w:r>
        <w:t xml:space="preserve"> </w:t>
      </w:r>
      <m:oMath>
        <m:r>
          <m:t>n</m:t>
        </m:r>
      </m:oMath>
      <w:r>
        <w:t xml:space="preserve"> </w:t>
      </w:r>
      <w:r>
        <w:t xml:space="preserve">a shape exponent and</w:t>
      </w:r>
      <w:r>
        <w:t xml:space="preserve"> </w:t>
      </w:r>
      <m:oMath>
        <m:sSub>
          <m:e>
            <m:r>
              <m:t>S</m:t>
            </m:r>
          </m:e>
          <m:sub>
            <m:r>
              <m:t>c</m:t>
            </m:r>
          </m:sub>
        </m:sSub>
      </m:oMath>
      <w:r>
        <w:t xml:space="preserve"> </w:t>
      </w:r>
      <w:r>
        <w:t xml:space="preserve">the transition saturation. In Eq. (4),</w:t>
      </w:r>
      <w:r>
        <w:t xml:space="preserve"> </w:t>
      </w:r>
      <m:oMath>
        <m:sSub>
          <m:e>
            <m:r>
              <m:t>K</m:t>
            </m:r>
          </m:e>
          <m:sub>
            <m:r>
              <m:rPr>
                <m:nor/>
              </m:rPr>
              <m:t>int</m:t>
            </m:r>
          </m:sub>
        </m:sSub>
      </m:oMath>
      <w:r>
        <w:t xml:space="preserve"> </w:t>
      </w:r>
      <w:r>
        <w:t xml:space="preserve">is the intrinsic permeability,</w:t>
      </w:r>
      <w:r>
        <w:t xml:space="preserve"> </w:t>
      </w:r>
      <m:oMath>
        <m:sSub>
          <m:e>
            <m:r>
              <m:t>η</m:t>
            </m:r>
          </m:e>
          <m:sub>
            <m:r>
              <m:t>l</m:t>
            </m:r>
          </m:sub>
        </m:sSub>
      </m:oMath>
      <w:r>
        <w:t xml:space="preserve"> </w:t>
      </w:r>
      <w:r>
        <w:t xml:space="preserve">the dynamic viscosity of water,</w:t>
      </w:r>
      <w:r>
        <w:t xml:space="preserve"> </w:t>
      </w:r>
      <m:oMath>
        <m:sSub>
          <m:e>
            <m:r>
              <m:t>P</m:t>
            </m:r>
          </m:e>
          <m:sub>
            <m:r>
              <m:t>c</m:t>
            </m:r>
            <m:r>
              <m:t>0</m:t>
            </m:r>
          </m:sub>
        </m:sSub>
      </m:oMath>
      <w:r>
        <w:t xml:space="preserve"> </w:t>
      </w:r>
      <w:r>
        <w:t xml:space="preserve">a reference capillary pressure and</w:t>
      </w:r>
      <w:r>
        <w:t xml:space="preserve"> </w:t>
      </w:r>
      <m:oMath>
        <m:r>
          <m:t>β</m:t>
        </m:r>
      </m:oMath>
      <w:r>
        <w:t xml:space="preserve"> </w:t>
      </w:r>
      <w:r>
        <w:t xml:space="preserve">the capillary pressure exponent. The switching function (5) gives vapour-dominated transport at low saturation (</w:t>
      </w:r>
      <m:oMath>
        <m:r>
          <m:t>f</m:t>
        </m:r>
        <m:r>
          <m:rPr>
            <m:sty m:val="p"/>
          </m:rPr>
          <m:t>→</m:t>
        </m:r>
        <m:r>
          <m:t>0</m:t>
        </m:r>
      </m:oMath>
      <w:r>
        <w:t xml:space="preserve">) and capillary-dominated transport at high saturation (</w:t>
      </w:r>
      <m:oMath>
        <m:r>
          <m:t>f</m:t>
        </m:r>
        <m:r>
          <m:rPr>
            <m:sty m:val="p"/>
          </m:rPr>
          <m:t>→</m:t>
        </m:r>
        <m:r>
          <m:t>1</m:t>
        </m:r>
      </m:oMath>
      <w:r>
        <w:t xml:space="preserve">). The fixed constants are listed in Table 2; Section 3.4 explains which parameters are identified.</w:t>
      </w:r>
    </w:p>
    <w:p>
      <w:pPr>
        <w:pStyle w:val="TableCaption"/>
      </w:pPr>
      <w:r>
        <w:rPr>
          <w:bCs/>
          <w:b/>
        </w:rPr>
        <w:t xml:space="preserve">Table 2.</w:t>
      </w:r>
      <w:r>
        <w:t xml:space="preserve"> </w:t>
      </w:r>
      <w:r>
        <w:t xml:space="preserve">Fixed constants of the physical model.</w:t>
      </w:r>
    </w:p>
    <w:tbl>
      <w:tblPr>
        <w:tblStyle w:val="Table"/>
        <w:tblW w:type="pct" w:w="5000"/>
        <w:jc w:val="center"/>
        <w:tblLook w:firstRow="1" w:lastRow="0" w:firstColumn="0" w:lastColumn="0" w:noHBand="0" w:noVBand="0" w:val="0020"/>
        <w:tblCaption w:val="Table 2. Fixed constants of the physical model."/>
      </w:tblPr>
      <w:tblGrid>
        <w:gridCol w:w="990"/>
        <w:gridCol w:w="4101"/>
        <w:gridCol w:w="1697"/>
        <w:gridCol w:w="1131"/>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center"/>
            </w:pPr>
            <w:r>
              <w:t xml:space="preserve">Value</w:t>
            </w:r>
          </w:p>
        </w:tc>
        <w:tc>
          <w:tcPr/>
          <w:p>
            <w:pPr>
              <w:pStyle w:val="Compact"/>
              <w:jc w:val="center"/>
            </w:pPr>
            <w:r>
              <w:t xml:space="preserve">Source</w:t>
            </w:r>
          </w:p>
        </w:tc>
      </w:tr>
      <w:tr>
        <w:tc>
          <w:tcPr/>
          <w:p>
            <w:pPr>
              <w:pStyle w:val="Compact"/>
              <w:jc w:val="left"/>
            </w:pPr>
            <m:oMath>
              <m:r>
                <m:t>L</m:t>
              </m:r>
            </m:oMath>
          </w:p>
        </w:tc>
        <w:tc>
          <w:tcPr/>
          <w:p>
            <w:pPr>
              <w:pStyle w:val="Compact"/>
              <w:jc w:val="left"/>
            </w:pPr>
            <w:r>
              <w:t xml:space="preserve">Equivalent half-thickness (</w:t>
            </w:r>
            <m:oMath>
              <m:r>
                <m:t>V</m:t>
              </m:r>
              <m:r>
                <m:rPr>
                  <m:sty m:val="p"/>
                </m:rPr>
                <m:t>/</m:t>
              </m:r>
              <m:r>
                <m:t>A</m:t>
              </m:r>
            </m:oMath>
            <w:r>
              <w:t xml:space="preserve"> </w:t>
            </w:r>
            <w:r>
              <w:t xml:space="preserve">of the disc)</w:t>
            </w:r>
          </w:p>
        </w:tc>
        <w:tc>
          <w:tcPr/>
          <w:p>
            <w:pPr>
              <w:pStyle w:val="Compact"/>
              <w:jc w:val="center"/>
            </w:pPr>
            <w:r>
              <w:t xml:space="preserve">12.5 mm</w:t>
            </w:r>
          </w:p>
        </w:tc>
        <w:tc>
          <w:tcPr/>
          <w:p>
            <w:pPr>
              <w:pStyle w:val="Compact"/>
              <w:jc w:val="center"/>
            </w:pPr>
            <w:r>
              <w:t xml:space="preserve">[7]</w:t>
            </w:r>
          </w:p>
        </w:tc>
      </w:tr>
      <w:tr>
        <w:tc>
          <w:tcPr/>
          <w:p>
            <w:pPr>
              <w:pStyle w:val="Compact"/>
              <w:jc w:val="left"/>
            </w:pPr>
            <m:oMath>
              <m:r>
                <m:t>T</m:t>
              </m:r>
            </m:oMath>
          </w:p>
        </w:tc>
        <w:tc>
          <w:tcPr/>
          <w:p>
            <w:pPr>
              <w:pStyle w:val="Compact"/>
              <w:jc w:val="left"/>
            </w:pPr>
            <w:r>
              <w:t xml:space="preserve">Drying temperature</w:t>
            </w:r>
          </w:p>
        </w:tc>
        <w:tc>
          <w:tcPr/>
          <w:p>
            <w:pPr>
              <w:pStyle w:val="Compact"/>
              <w:jc w:val="center"/>
            </w:pPr>
            <w:r>
              <w:t xml:space="preserve">50 °C</w:t>
            </w:r>
          </w:p>
        </w:tc>
        <w:tc>
          <w:tcPr/>
          <w:p>
            <w:pPr>
              <w:pStyle w:val="Compact"/>
              <w:jc w:val="center"/>
            </w:pPr>
            <w:r>
              <w:t xml:space="preserve">[7]</w:t>
            </w:r>
          </w:p>
        </w:tc>
      </w:tr>
      <w:tr>
        <w:tc>
          <w:tcPr/>
          <w:p>
            <w:pPr>
              <w:pStyle w:val="Compact"/>
              <w:jc w:val="left"/>
            </w:pPr>
            <m:oMath>
              <m:sSub>
                <m:e>
                  <m:r>
                    <m:t>η</m:t>
                  </m:r>
                </m:e>
                <m:sub>
                  <m:r>
                    <m:t>l</m:t>
                  </m:r>
                </m:sub>
              </m:sSub>
            </m:oMath>
          </w:p>
        </w:tc>
        <w:tc>
          <w:tcPr/>
          <w:p>
            <w:pPr>
              <w:pStyle w:val="Compact"/>
              <w:jc w:val="left"/>
            </w:pPr>
            <w:r>
              <w:t xml:space="preserve">Viscosity of water at 50 °C</w:t>
            </w:r>
          </w:p>
        </w:tc>
        <w:tc>
          <w:tcPr/>
          <w:p>
            <w:pPr>
              <w:pStyle w:val="Compact"/>
              <w:jc w:val="center"/>
            </w:pPr>
            <w:r>
              <w:t xml:space="preserve">5.47 × 10⁻⁴ Pa·s</w:t>
            </w:r>
          </w:p>
        </w:tc>
        <w:tc>
          <w:tcPr/>
          <w:p>
            <w:pPr>
              <w:pStyle w:val="Compact"/>
              <w:jc w:val="center"/>
            </w:pPr>
            <w:r>
              <w:t xml:space="preserve">–</w:t>
            </w:r>
          </w:p>
        </w:tc>
      </w:tr>
      <w:tr>
        <w:tc>
          <w:tcPr/>
          <w:p>
            <w:pPr>
              <w:pStyle w:val="Compact"/>
              <w:jc w:val="left"/>
            </w:pPr>
            <m:oMath>
              <m:sSub>
                <m:e>
                  <m:r>
                    <m:t>P</m:t>
                  </m:r>
                </m:e>
                <m:sub>
                  <m:r>
                    <m:t>c</m:t>
                  </m:r>
                  <m:r>
                    <m:t>0</m:t>
                  </m:r>
                </m:sub>
              </m:sSub>
            </m:oMath>
          </w:p>
        </w:tc>
        <w:tc>
          <w:tcPr/>
          <w:p>
            <w:pPr>
              <w:pStyle w:val="Compact"/>
              <w:jc w:val="left"/>
            </w:pPr>
            <w:r>
              <w:t xml:space="preserve">Reference capillary pressure</w:t>
            </w:r>
          </w:p>
        </w:tc>
        <w:tc>
          <w:tcPr/>
          <w:p>
            <w:pPr>
              <w:pStyle w:val="Compact"/>
              <w:jc w:val="center"/>
            </w:pPr>
            <w:r>
              <w:t xml:space="preserve">5 MPa</w:t>
            </w:r>
          </w:p>
        </w:tc>
        <w:tc>
          <w:tcPr/>
          <w:p>
            <w:pPr>
              <w:pStyle w:val="Compact"/>
              <w:jc w:val="center"/>
            </w:pPr>
            <w:r>
              <w:t xml:space="preserve">[10]</w:t>
            </w:r>
          </w:p>
        </w:tc>
      </w:tr>
      <w:tr>
        <w:tc>
          <w:tcPr/>
          <w:p>
            <w:pPr>
              <w:pStyle w:val="Compact"/>
              <w:jc w:val="left"/>
            </w:pPr>
            <m:oMath>
              <m:r>
                <m:t>β</m:t>
              </m:r>
            </m:oMath>
          </w:p>
        </w:tc>
        <w:tc>
          <w:tcPr/>
          <w:p>
            <w:pPr>
              <w:pStyle w:val="Compact"/>
              <w:jc w:val="left"/>
            </w:pPr>
            <w:r>
              <w:t xml:space="preserve">Capillary pressure exponent</w:t>
            </w:r>
          </w:p>
        </w:tc>
        <w:tc>
          <w:tcPr/>
          <w:p>
            <w:pPr>
              <w:pStyle w:val="Compact"/>
              <w:jc w:val="center"/>
            </w:pPr>
            <w:r>
              <w:t xml:space="preserve">2.5</w:t>
            </w:r>
          </w:p>
        </w:tc>
        <w:tc>
          <w:tcPr/>
          <w:p>
            <w:pPr>
              <w:pStyle w:val="Compact"/>
              <w:jc w:val="center"/>
            </w:pPr>
            <w:r>
              <w:t xml:space="preserve">[10]</w:t>
            </w:r>
          </w:p>
        </w:tc>
      </w:tr>
      <w:tr>
        <w:tc>
          <w:tcPr/>
          <w:p>
            <w:pPr>
              <w:pStyle w:val="Compact"/>
              <w:jc w:val="left"/>
            </w:pPr>
            <m:oMath>
              <m:sSub>
                <m:e>
                  <m:r>
                    <m:t>S</m:t>
                  </m:r>
                </m:e>
                <m:sub>
                  <m:r>
                    <m:t>c</m:t>
                  </m:r>
                </m:sub>
              </m:sSub>
            </m:oMath>
          </w:p>
        </w:tc>
        <w:tc>
          <w:tcPr/>
          <w:p>
            <w:pPr>
              <w:pStyle w:val="Compact"/>
              <w:jc w:val="left"/>
            </w:pPr>
            <w:r>
              <w:t xml:space="preserve">Transition saturation in Eq. (3)</w:t>
            </w:r>
          </w:p>
        </w:tc>
        <w:tc>
          <w:tcPr/>
          <w:p>
            <w:pPr>
              <w:pStyle w:val="Compact"/>
              <w:jc w:val="center"/>
            </w:pPr>
            <w:r>
              <w:t xml:space="preserve">0.80</w:t>
            </w:r>
          </w:p>
        </w:tc>
        <w:tc>
          <w:tcPr/>
          <w:p>
            <w:pPr>
              <w:pStyle w:val="Compact"/>
              <w:jc w:val="center"/>
            </w:pPr>
            <w:r>
              <w:t xml:space="preserve">[10]</w:t>
            </w:r>
          </w:p>
        </w:tc>
      </w:tr>
      <w:tr>
        <w:tc>
          <w:tcPr/>
          <w:p>
            <w:pPr>
              <w:pStyle w:val="Compact"/>
              <w:jc w:val="left"/>
            </w:pPr>
            <m:oMath>
              <m:sSub>
                <m:e>
                  <m:r>
                    <m:t>S</m:t>
                  </m:r>
                </m:e>
                <m:sub>
                  <m:r>
                    <m:rPr>
                      <m:nor/>
                    </m:rPr>
                    <m:t>cap</m:t>
                  </m:r>
                </m:sub>
              </m:sSub>
            </m:oMath>
            <w:r>
              <w:t xml:space="preserve">,</w:t>
            </w:r>
            <w:r>
              <w:t xml:space="preserve"> </w:t>
            </w:r>
            <m:oMath>
              <m:r>
                <m:t>k</m:t>
              </m:r>
            </m:oMath>
          </w:p>
        </w:tc>
        <w:tc>
          <w:tcPr/>
          <w:p>
            <w:pPr>
              <w:pStyle w:val="Compact"/>
              <w:jc w:val="left"/>
            </w:pPr>
            <w:r>
              <w:t xml:space="preserve">Switching saturation and steepness</w:t>
            </w:r>
          </w:p>
        </w:tc>
        <w:tc>
          <w:tcPr/>
          <w:p>
            <w:pPr>
              <w:pStyle w:val="Compact"/>
              <w:jc w:val="center"/>
            </w:pPr>
            <w:r>
              <w:t xml:space="preserve">0.75, 50</w:t>
            </w:r>
          </w:p>
        </w:tc>
        <w:tc>
          <w:tcPr/>
          <w:p>
            <w:pPr>
              <w:pStyle w:val="Compact"/>
              <w:jc w:val="center"/>
            </w:pPr>
            <w:r>
              <w:t xml:space="preserve">[10]</w:t>
            </w:r>
          </w:p>
        </w:tc>
      </w:tr>
      <w:tr>
        <w:tc>
          <w:tcPr/>
          <w:p>
            <w:pPr>
              <w:pStyle w:val="Compact"/>
              <w:jc w:val="left"/>
            </w:pPr>
            <m:oMath>
              <m:sSub>
                <m:e>
                  <m:r>
                    <m:t>α</m:t>
                  </m:r>
                </m:e>
                <m:sub>
                  <m:r>
                    <m:t>0</m:t>
                  </m:r>
                </m:sub>
              </m:sSub>
            </m:oMath>
          </w:p>
        </w:tc>
        <w:tc>
          <w:tcPr/>
          <w:p>
            <w:pPr>
              <w:pStyle w:val="Compact"/>
              <w:jc w:val="left"/>
            </w:pPr>
            <w:r>
              <w:t xml:space="preserve">Minimum-to-maximum diffusivity ratio</w:t>
            </w:r>
          </w:p>
        </w:tc>
        <w:tc>
          <w:tcPr/>
          <w:p>
            <w:pPr>
              <w:pStyle w:val="Compact"/>
              <w:jc w:val="center"/>
            </w:pPr>
            <w:r>
              <w:t xml:space="preserve">0.05</w:t>
            </w:r>
          </w:p>
        </w:tc>
        <w:tc>
          <w:tcPr/>
          <w:p>
            <w:pPr>
              <w:pStyle w:val="Compact"/>
              <w:jc w:val="center"/>
            </w:pPr>
            <w:r>
              <w:t xml:space="preserve">Section 3.4</w:t>
            </w:r>
          </w:p>
        </w:tc>
      </w:tr>
      <w:tr>
        <w:tc>
          <w:tcPr/>
          <w:p>
            <w:pPr>
              <w:pStyle w:val="Compact"/>
              <w:jc w:val="left"/>
            </w:pPr>
            <m:oMath>
              <m:r>
                <m:t>n</m:t>
              </m:r>
            </m:oMath>
          </w:p>
        </w:tc>
        <w:tc>
          <w:tcPr/>
          <w:p>
            <w:pPr>
              <w:pStyle w:val="Compact"/>
              <w:jc w:val="left"/>
            </w:pPr>
            <w:r>
              <w:t xml:space="preserve">Shape exponent (shared by all mixes)</w:t>
            </w:r>
          </w:p>
        </w:tc>
        <w:tc>
          <w:tcPr/>
          <w:p>
            <w:pPr>
              <w:pStyle w:val="Compact"/>
              <w:jc w:val="center"/>
            </w:pPr>
            <w:r>
              <w:t xml:space="preserve">2</w:t>
            </w:r>
          </w:p>
        </w:tc>
        <w:tc>
          <w:tcPr/>
          <w:p>
            <w:pPr>
              <w:pStyle w:val="Compact"/>
              <w:jc w:val="center"/>
            </w:pPr>
            <w:r>
              <w:t xml:space="preserve">Section 3.4</w:t>
            </w:r>
          </w:p>
        </w:tc>
      </w:tr>
      <w:tr>
        <w:tc>
          <w:tcPr/>
          <w:p>
            <w:pPr>
              <w:pStyle w:val="Compact"/>
              <w:jc w:val="left"/>
            </w:pPr>
            <m:oMath>
              <m:sSub>
                <m:e>
                  <m:r>
                    <m:t>S</m:t>
                  </m:r>
                </m:e>
                <m:sub>
                  <m:r>
                    <m:t>0</m:t>
                  </m:r>
                </m:sub>
              </m:sSub>
            </m:oMath>
            <w:r>
              <w:t xml:space="preserve">,</w:t>
            </w:r>
            <w:r>
              <w:t xml:space="preserve"> </w:t>
            </w:r>
            <m:oMath>
              <m:sSub>
                <m:e>
                  <m:r>
                    <m:t>S</m:t>
                  </m:r>
                </m:e>
                <m:sub>
                  <m:r>
                    <m:rPr>
                      <m:nor/>
                    </m:rPr>
                    <m:t>init</m:t>
                  </m:r>
                </m:sub>
              </m:sSub>
            </m:oMath>
          </w:p>
        </w:tc>
        <w:tc>
          <w:tcPr/>
          <w:p>
            <w:pPr>
              <w:pStyle w:val="Compact"/>
              <w:jc w:val="left"/>
            </w:pPr>
            <w:r>
              <w:t xml:space="preserve">Surface and initial saturation</w:t>
            </w:r>
          </w:p>
        </w:tc>
        <w:tc>
          <w:tcPr/>
          <w:p>
            <w:pPr>
              <w:pStyle w:val="Compact"/>
              <w:jc w:val="center"/>
            </w:pPr>
            <w:r>
              <w:t xml:space="preserve">0, 1</w:t>
            </w:r>
          </w:p>
        </w:tc>
        <w:tc>
          <w:tcPr/>
          <w:p>
            <w:pPr>
              <w:pStyle w:val="Compact"/>
              <w:jc w:val="center"/>
            </w:pPr>
            <w:r>
              <w:t xml:space="preserve">Section 3.3</w:t>
            </w:r>
          </w:p>
        </w:tc>
      </w:tr>
    </w:tbl>
    <w:bookmarkEnd w:id="31"/>
    <w:bookmarkStart w:id="32" w:name="geometry-initial-and-boundary-conditions"/>
    <w:p>
      <w:pPr>
        <w:pStyle w:val="Heading2"/>
      </w:pPr>
      <w:r>
        <w:t xml:space="preserve">3.3 Geometry, initial and boundary conditions</w:t>
      </w:r>
    </w:p>
    <w:p>
      <w:pPr>
        <w:pStyle w:val="FirstParagraph"/>
      </w:pPr>
      <w:r>
        <w:t xml:space="preserve">The discs dry through all their faces. Their volume-to-exposed-surface ratio is</w:t>
      </w:r>
      <w:r>
        <w:t xml:space="preserve"> </w:t>
      </w:r>
      <m:oMath>
        <m:r>
          <m:t>V</m:t>
        </m:r>
        <m:r>
          <m:rPr>
            <m:sty m:val="p"/>
          </m:rPr>
          <m:t>/</m:t>
        </m:r>
        <m:r>
          <m:t>A</m:t>
        </m:r>
        <m:r>
          <m:rPr>
            <m:sty m:val="p"/>
          </m:rPr>
          <m:t>=</m:t>
        </m:r>
        <m:r>
          <m:t>12.5</m:t>
        </m:r>
      </m:oMath>
      <w:r>
        <w:t xml:space="preserve"> </w:t>
      </w:r>
      <w:r>
        <w:t xml:space="preserve">mm, which is used as the half-thickness</w:t>
      </w:r>
      <w:r>
        <w:t xml:space="preserve"> </w:t>
      </w:r>
      <m:oMath>
        <m:r>
          <m:t>L</m:t>
        </m:r>
      </m:oMath>
      <w:r>
        <w:t xml:space="preserve"> </w:t>
      </w:r>
      <w:r>
        <w:t xml:space="preserve">of an equivalent slab dried from both faces; the same ratio governs the early-time drying rate. The domain is</w:t>
      </w:r>
      <w:r>
        <w:t xml:space="preserve"> </w:t>
      </w:r>
      <m:oMath>
        <m:r>
          <m:t>x</m:t>
        </m:r>
        <m:r>
          <m:rPr>
            <m:sty m:val="p"/>
          </m:rPr>
          <m:t>∈</m:t>
        </m:r>
        <m:d>
          <m:dPr>
            <m:begChr m:val="["/>
            <m:sepChr m:val=""/>
            <m:endChr m:val="]"/>
            <m:grow/>
          </m:dPr>
          <m:e>
            <m:r>
              <m:t>0</m:t>
            </m:r>
            <m:r>
              <m:rPr>
                <m:sty m:val="p"/>
              </m:rPr>
              <m:t>,</m:t>
            </m:r>
            <m:r>
              <m:t>L</m:t>
            </m:r>
          </m:e>
        </m:d>
      </m:oMath>
      <w:r>
        <w:t xml:space="preserve">, with</w:t>
      </w:r>
      <w:r>
        <w:t xml:space="preserve"> </w:t>
      </w:r>
      <m:oMath>
        <m:r>
          <m:t>x</m:t>
        </m:r>
        <m:r>
          <m:rPr>
            <m:sty m:val="p"/>
          </m:rPr>
          <m:t>=</m:t>
        </m:r>
        <m:r>
          <m:t>0</m:t>
        </m:r>
      </m:oMath>
      <w:r>
        <w:t xml:space="preserve"> </w:t>
      </w:r>
      <w:r>
        <w:t xml:space="preserve">the drying face and</w:t>
      </w:r>
      <w:r>
        <w:t xml:space="preserve"> </w:t>
      </w:r>
      <m:oMath>
        <m:r>
          <m:t>x</m:t>
        </m:r>
        <m:r>
          <m:rPr>
            <m:sty m:val="p"/>
          </m:rPr>
          <m:t>=</m:t>
        </m:r>
        <m:r>
          <m:t>L</m:t>
        </m:r>
      </m:oMath>
      <w:r>
        <w:t xml:space="preserve"> </w:t>
      </w:r>
      <w:r>
        <w:t xml:space="preserve">the plane of symmetry. The specimens are vacuum-saturated at the start of drying, and the drying face is assumed to equilibrate instantly with the oven atmosphere, whose saturation defines the oven-dry reference (</w:t>
      </w:r>
      <m:oMath>
        <m:r>
          <m:t>S</m:t>
        </m:r>
        <m:r>
          <m:rPr>
            <m:sty m:val="p"/>
          </m:rPr>
          <m:t>=</m:t>
        </m:r>
        <m:r>
          <m:t>0</m:t>
        </m:r>
      </m:oMath>
      <w:r>
        <w:t xml:space="preserve">):</w:t>
      </w:r>
    </w:p>
    <w:p>
      <w:pPr>
        <w:pStyle w:val="BodyText"/>
      </w:pPr>
      <m:oMathPara>
        <m:oMathParaPr>
          <m:jc m:val="center"/>
        </m:oMathParaPr>
        <m:oMath>
          <m:r>
            <m:t>S</m:t>
          </m:r>
          <m:d>
            <m:dPr>
              <m:begChr m:val="("/>
              <m:sepChr m:val=""/>
              <m:endChr m:val=")"/>
              <m:grow/>
            </m:dPr>
            <m:e>
              <m:r>
                <m:t>x</m:t>
              </m:r>
              <m:r>
                <m:rPr>
                  <m:sty m:val="p"/>
                </m:rPr>
                <m:t>,</m:t>
              </m:r>
              <m:r>
                <m:t>0</m:t>
              </m:r>
            </m:e>
          </m:d>
          <m:r>
            <m:rPr>
              <m:sty m:val="p"/>
            </m:rPr>
            <m:t>=</m:t>
          </m:r>
          <m:r>
            <m:t>1</m:t>
          </m:r>
          <m:r>
            <m:rPr>
              <m:sty m:val="p"/>
            </m:rPr>
            <m:t>,</m:t>
          </m:r>
          <m:r>
            <m:t>  </m:t>
          </m:r>
          <m:r>
            <m:t>S</m:t>
          </m:r>
          <m:d>
            <m:dPr>
              <m:begChr m:val="("/>
              <m:sepChr m:val=""/>
              <m:endChr m:val=")"/>
              <m:grow/>
            </m:dPr>
            <m:e>
              <m:r>
                <m:t>0</m:t>
              </m:r>
              <m:r>
                <m:rPr>
                  <m:sty m:val="p"/>
                </m:rPr>
                <m:t>,</m:t>
              </m:r>
              <m:r>
                <m:t>t</m:t>
              </m:r>
            </m:e>
          </m:d>
          <m:r>
            <m:rPr>
              <m:sty m:val="p"/>
            </m:rPr>
            <m:t>=</m:t>
          </m:r>
          <m:r>
            <m:t>0</m:t>
          </m:r>
          <m:r>
            <m:rPr>
              <m:sty m:val="p"/>
            </m:rPr>
            <m:t>,</m:t>
          </m:r>
          <m:r>
            <m:t>  </m:t>
          </m:r>
          <m:f>
            <m:fPr>
              <m:type m:val="bar"/>
            </m:fPr>
            <m:num>
              <m:r>
                <m:rPr>
                  <m:sty m:val="p"/>
                </m:rPr>
                <m:t>∂</m:t>
              </m:r>
              <m:r>
                <m:t>S</m:t>
              </m:r>
            </m:num>
            <m:den>
              <m:r>
                <m:rPr>
                  <m:sty m:val="p"/>
                </m:rPr>
                <m:t>∂</m:t>
              </m:r>
              <m:r>
                <m:t>x</m:t>
              </m:r>
            </m:den>
          </m:f>
          <m:d>
            <m:dPr>
              <m:begChr m:val="("/>
              <m:sepChr m:val=""/>
              <m:endChr m:val=")"/>
              <m:grow/>
            </m:dPr>
            <m:e>
              <m:r>
                <m:t>L</m:t>
              </m:r>
              <m:r>
                <m:rPr>
                  <m:sty m:val="p"/>
                </m:rPr>
                <m:t>,</m:t>
              </m:r>
              <m:r>
                <m:t>t</m:t>
              </m:r>
            </m:e>
          </m:d>
          <m:r>
            <m:rPr>
              <m:sty m:val="p"/>
            </m:rPr>
            <m:t>=</m:t>
          </m:r>
          <m:r>
            <m:t>0</m:t>
          </m:r>
          <m:r>
            <m:t>  </m:t>
          </m:r>
          <m:r>
            <m:t>  </m:t>
          </m:r>
          <m:d>
            <m:dPr>
              <m:begChr m:val="("/>
              <m:sepChr m:val=""/>
              <m:endChr m:val=")"/>
              <m:grow/>
            </m:dPr>
            <m:e>
              <m:r>
                <m:t>6</m:t>
              </m:r>
            </m:e>
          </m:d>
        </m:oMath>
      </m:oMathPara>
    </w:p>
    <w:p>
      <w:pPr>
        <w:pStyle w:val="FirstParagraph"/>
      </w:pPr>
      <w:r>
        <w:t xml:space="preserve">The average saturation compared with the measurements is</w:t>
      </w:r>
    </w:p>
    <w:p>
      <w:pPr>
        <w:pStyle w:val="BodyText"/>
      </w:pPr>
      <m:oMathPara>
        <m:oMathParaPr>
          <m:jc m:val="center"/>
        </m:oMathParaPr>
        <m:oMath>
          <m:sSub>
            <m:e>
              <m:r>
                <m:t>S</m:t>
              </m:r>
            </m:e>
            <m:sub>
              <m:r>
                <m:rPr>
                  <m:nor/>
                </m:rPr>
                <m:t>avg</m:t>
              </m:r>
            </m:sub>
          </m:sSub>
          <m:d>
            <m:dPr>
              <m:begChr m:val="("/>
              <m:sepChr m:val=""/>
              <m:endChr m:val=")"/>
              <m:grow/>
            </m:dPr>
            <m:e>
              <m:r>
                <m:t>t</m:t>
              </m:r>
            </m:e>
          </m:d>
          <m:r>
            <m:rPr>
              <m:sty m:val="p"/>
            </m:rPr>
            <m:t>=</m:t>
          </m:r>
          <m:f>
            <m:fPr>
              <m:type m:val="bar"/>
            </m:fPr>
            <m:num>
              <m:r>
                <m:t>1</m:t>
              </m:r>
            </m:num>
            <m:den>
              <m:r>
                <m:t>L</m:t>
              </m:r>
            </m:den>
          </m:f>
          <m:nary>
            <m:naryPr>
              <m:chr m:val="∫"/>
              <m:limLoc m:val="subSup"/>
              <m:subHide m:val="off"/>
              <m:supHide m:val="off"/>
            </m:naryPr>
            <m:sub>
              <m:r>
                <m:t>0</m:t>
              </m:r>
            </m:sub>
            <m:sup>
              <m:r>
                <m:t>L</m:t>
              </m:r>
            </m:sup>
            <m:e>
              <m:r>
                <m:t>S</m:t>
              </m:r>
            </m:e>
          </m:nary>
          <m:d>
            <m:dPr>
              <m:begChr m:val="("/>
              <m:sepChr m:val=""/>
              <m:endChr m:val=")"/>
              <m:grow/>
            </m:dPr>
            <m:e>
              <m:r>
                <m:t>x</m:t>
              </m:r>
              <m:r>
                <m:rPr>
                  <m:sty m:val="p"/>
                </m:rPr>
                <m:t>,</m:t>
              </m:r>
              <m:r>
                <m:t>t</m:t>
              </m:r>
            </m:e>
          </m:d>
          <m:r>
            <m:t> </m:t>
          </m:r>
          <m:r>
            <m:rPr>
              <m:sty m:val="p"/>
            </m:rPr>
            <m:t>d</m:t>
          </m:r>
          <m:r>
            <m:t>x</m:t>
          </m:r>
          <m:r>
            <m:t>  </m:t>
          </m:r>
          <m:r>
            <m:t>  </m:t>
          </m:r>
          <m:d>
            <m:dPr>
              <m:begChr m:val="("/>
              <m:sepChr m:val=""/>
              <m:endChr m:val=")"/>
              <m:grow/>
            </m:dPr>
            <m:e>
              <m:r>
                <m:t>7</m:t>
              </m:r>
            </m:e>
          </m:d>
        </m:oMath>
      </m:oMathPara>
    </w:p>
    <w:bookmarkEnd w:id="32"/>
    <w:bookmarkStart w:id="33" w:name="identifiability"/>
    <w:p>
      <w:pPr>
        <w:pStyle w:val="Heading2"/>
      </w:pPr>
      <w:r>
        <w:t xml:space="preserve">3.4 Identifiability</w:t>
      </w:r>
    </w:p>
    <w:p>
      <w:pPr>
        <w:pStyle w:val="FirstParagraph"/>
      </w:pPr>
      <w:r>
        <w:t xml:space="preserve">A single average-saturation curve cannot determine many parameters independently. Identifiability was assessed by fitting Eqs. (1)–(7) to four representative mixes with three parameter sets, using the classical solver of Section 4.1 (Table 3). When</w:t>
      </w:r>
      <w:r>
        <w:t xml:space="preserve"> </w:t>
      </w:r>
      <m:oMath>
        <m:sSub>
          <m:e>
            <m:r>
              <m:t>D</m:t>
            </m:r>
          </m:e>
          <m:sub>
            <m:r>
              <m:t>v</m:t>
            </m:r>
          </m:sub>
        </m:sSub>
      </m:oMath>
      <w:r>
        <w:t xml:space="preserve">,</w:t>
      </w:r>
      <w:r>
        <w:t xml:space="preserve"> </w:t>
      </w:r>
      <m:oMath>
        <m:sSub>
          <m:e>
            <m:r>
              <m:t>α</m:t>
            </m:r>
          </m:e>
          <m:sub>
            <m:r>
              <m:t>0</m:t>
            </m:r>
          </m:sub>
        </m:sSub>
      </m:oMath>
      <w:r>
        <w:t xml:space="preserve"> </w:t>
      </w:r>
      <w:r>
        <w:t xml:space="preserve">and</w:t>
      </w:r>
      <w:r>
        <w:t xml:space="preserve"> </w:t>
      </w:r>
      <m:oMath>
        <m:sSub>
          <m:e>
            <m:r>
              <m:t>K</m:t>
            </m:r>
          </m:e>
          <m:sub>
            <m:r>
              <m:rPr>
                <m:nor/>
              </m:rPr>
              <m:t>int</m:t>
            </m:r>
          </m:sub>
        </m:sSub>
      </m:oMath>
      <w:r>
        <w:t xml:space="preserve"> </w:t>
      </w:r>
      <w:r>
        <w:t xml:space="preserve">are identified together,</w:t>
      </w:r>
      <w:r>
        <w:t xml:space="preserve"> </w:t>
      </w:r>
      <m:oMath>
        <m:sSub>
          <m:e>
            <m:r>
              <m:t>D</m:t>
            </m:r>
          </m:e>
          <m:sub>
            <m:r>
              <m:t>v</m:t>
            </m:r>
          </m:sub>
        </m:sSub>
      </m:oMath>
      <w:r>
        <w:t xml:space="preserve"> </w:t>
      </w:r>
      <w:r>
        <w:t xml:space="preserve">and</w:t>
      </w:r>
      <w:r>
        <w:t xml:space="preserve"> </w:t>
      </w:r>
      <m:oMath>
        <m:sSub>
          <m:e>
            <m:r>
              <m:t>α</m:t>
            </m:r>
          </m:e>
          <m:sub>
            <m:r>
              <m:t>0</m:t>
            </m:r>
          </m:sub>
        </m:sSub>
      </m:oMath>
      <w:r>
        <w:t xml:space="preserve"> </w:t>
      </w:r>
      <w:r>
        <w:t xml:space="preserve">are perfectly correlated (</w:t>
      </w:r>
      <m:oMath>
        <m:d>
          <m:dPr>
            <m:begChr m:val="|"/>
            <m:sepChr m:val=""/>
            <m:endChr m:val="|"/>
            <m:grow/>
          </m:dPr>
          <m:e>
            <m:r>
              <m:t>ρ</m:t>
            </m:r>
          </m:e>
        </m:d>
        <m:r>
          <m:rPr>
            <m:sty m:val="p"/>
          </m:rPr>
          <m:t>=</m:t>
        </m:r>
        <m:r>
          <m:t>1.00</m:t>
        </m:r>
      </m:oMath>
      <w:r>
        <w:t xml:space="preserve">) and the Jacobian is ill-conditioned (condition number ≈ 10³–10⁴). Adding</w:t>
      </w:r>
      <w:r>
        <w:t xml:space="preserve"> </w:t>
      </w:r>
      <m:oMath>
        <m:r>
          <m:t>n</m:t>
        </m:r>
      </m:oMath>
      <w:r>
        <w:t xml:space="preserve"> </w:t>
      </w:r>
      <w:r>
        <w:t xml:space="preserve">improves the fit but every pair of parameters is correlated above 0.98. With</w:t>
      </w:r>
      <w:r>
        <w:t xml:space="preserve"> </w:t>
      </w:r>
      <m:oMath>
        <m:sSub>
          <m:e>
            <m:r>
              <m:t>α</m:t>
            </m:r>
          </m:e>
          <m:sub>
            <m:r>
              <m:t>0</m:t>
            </m:r>
          </m:sub>
        </m:sSub>
      </m:oMath>
      <w:r>
        <w:t xml:space="preserve"> </w:t>
      </w:r>
      <w:r>
        <w:t xml:space="preserve">fixed,</w:t>
      </w:r>
      <w:r>
        <w:t xml:space="preserve"> </w:t>
      </w:r>
      <m:oMath>
        <m:sSub>
          <m:e>
            <m:r>
              <m:t>D</m:t>
            </m:r>
          </m:e>
          <m:sub>
            <m:r>
              <m:t>v</m:t>
            </m:r>
          </m:sub>
        </m:sSub>
      </m:oMath>
      <w:r>
        <w:t xml:space="preserve"> </w:t>
      </w:r>
      <w:r>
        <w:t xml:space="preserve">and</w:t>
      </w:r>
      <w:r>
        <w:t xml:space="preserve"> </w:t>
      </w:r>
      <m:oMath>
        <m:sSub>
          <m:e>
            <m:r>
              <m:t>K</m:t>
            </m:r>
          </m:e>
          <m:sub>
            <m:r>
              <m:rPr>
                <m:nor/>
              </m:rPr>
              <m:t>int</m:t>
            </m:r>
          </m:sub>
        </m:sSub>
      </m:oMath>
      <w:r>
        <w:t xml:space="preserve"> </w:t>
      </w:r>
      <w:r>
        <w:t xml:space="preserve">are well determined: their correlation is about 0.65, the condition number 10–17 and the relative standard errors below 1%. The exponent</w:t>
      </w:r>
      <w:r>
        <w:t xml:space="preserve"> </w:t>
      </w:r>
      <m:oMath>
        <m:r>
          <m:t>n</m:t>
        </m:r>
      </m:oMath>
      <w:r>
        <w:t xml:space="preserve"> </w:t>
      </w:r>
      <w:r>
        <w:t xml:space="preserve">was then profiled over six mixes; the total misfit is minimal for</w:t>
      </w:r>
      <w:r>
        <w:t xml:space="preserve"> </w:t>
      </w:r>
      <m:oMath>
        <m:r>
          <m:t>n</m:t>
        </m:r>
        <m:r>
          <m:rPr>
            <m:sty m:val="p"/>
          </m:rPr>
          <m:t>=</m:t>
        </m:r>
        <m:r>
          <m:t>2</m:t>
        </m:r>
      </m:oMath>
      <w:r>
        <w:t xml:space="preserve"> </w:t>
      </w:r>
      <w:r>
        <w:t xml:space="preserve">(mean</w:t>
      </w:r>
      <w:r>
        <w:t xml:space="preserve"> </w:t>
      </w:r>
      <m:oMath>
        <m:sSup>
          <m:e>
            <m:r>
              <m:t>R</m:t>
            </m:r>
          </m:e>
          <m:sup>
            <m:r>
              <m:t>2</m:t>
            </m:r>
          </m:sup>
        </m:sSup>
      </m:oMath>
      <w:r>
        <w:t xml:space="preserve"> </w:t>
      </w:r>
      <w:r>
        <w:t xml:space="preserve">= 0.9979), which is used for all mixes. The identified parameters are therefore</w:t>
      </w:r>
      <w:r>
        <w:t xml:space="preserve"> </w:t>
      </w:r>
      <m:oMath>
        <m:r>
          <m:rPr>
            <m:sty m:val="b"/>
          </m:rPr>
          <m:t>θ</m:t>
        </m:r>
        <m:r>
          <m:rPr>
            <m:sty m:val="p"/>
          </m:rPr>
          <m:t>=</m:t>
        </m:r>
        <m:d>
          <m:dPr>
            <m:begChr m:val="["/>
            <m:sepChr m:val=""/>
            <m:endChr m:val="]"/>
            <m:grow/>
          </m:dPr>
          <m:e>
            <m:sSub>
              <m:e>
                <m:r>
                  <m:rPr>
                    <m:sty m:val="p"/>
                  </m:rPr>
                  <m:t>log</m:t>
                </m:r>
              </m:e>
              <m:sub>
                <m:r>
                  <m:t>10</m:t>
                </m:r>
              </m:sub>
            </m:sSub>
            <m:sSub>
              <m:e>
                <m:r>
                  <m:t>D</m:t>
                </m:r>
              </m:e>
              <m:sub>
                <m:r>
                  <m:t>v</m:t>
                </m:r>
              </m:sub>
            </m:sSub>
            <m:r>
              <m:rPr>
                <m:sty m:val="p"/>
              </m:rPr>
              <m:t>,</m:t>
            </m:r>
            <m:sSub>
              <m:e>
                <m:r>
                  <m:rPr>
                    <m:sty m:val="p"/>
                  </m:rPr>
                  <m:t>log</m:t>
                </m:r>
              </m:e>
              <m:sub>
                <m:r>
                  <m:t>10</m:t>
                </m:r>
              </m:sub>
            </m:sSub>
            <m:sSub>
              <m:e>
                <m:r>
                  <m:t>K</m:t>
                </m:r>
              </m:e>
              <m:sub>
                <m:r>
                  <m:rPr>
                    <m:nor/>
                  </m:rPr>
                  <m:t>int</m:t>
                </m:r>
              </m:sub>
            </m:sSub>
          </m:e>
        </m:d>
      </m:oMath>
      <w:r>
        <w:t xml:space="preserve">.</w:t>
      </w:r>
    </w:p>
    <w:p>
      <w:pPr>
        <w:pStyle w:val="TableCaption"/>
      </w:pPr>
      <w:r>
        <w:rPr>
          <w:bCs/>
          <w:b/>
        </w:rPr>
        <w:t xml:space="preserve">Table 3.</w:t>
      </w:r>
      <w:r>
        <w:t xml:space="preserve"> </w:t>
      </w:r>
      <w:r>
        <w:t xml:space="preserve">Identifiability study (classical solver,</w:t>
      </w:r>
      <w:r>
        <w:t xml:space="preserve"> </w:t>
      </w:r>
      <m:oMath>
        <m:r>
          <m:t>n</m:t>
        </m:r>
        <m:r>
          <m:rPr>
            <m:sty m:val="p"/>
          </m:rPr>
          <m:t>=</m:t>
        </m:r>
        <m:r>
          <m:t>6</m:t>
        </m:r>
      </m:oMath>
      <w:r>
        <w:t xml:space="preserve"> </w:t>
      </w:r>
      <w:r>
        <w:t xml:space="preserve">when not identified): fit quality, largest parameter correlation and condition number of the Jacobian.</w:t>
      </w:r>
    </w:p>
    <w:tbl>
      <w:tblPr>
        <w:tblStyle w:val="Table"/>
        <w:tblW w:type="pct" w:w="5000"/>
        <w:jc w:val="center"/>
        <w:tblLook w:firstRow="1" w:lastRow="0" w:firstColumn="0" w:lastColumn="0" w:noHBand="0" w:noVBand="0" w:val="0020"/>
        <w:tblCaption w:val="Table 3. Identifiability study (classical solver, n = 6 when not identified): fit quality, largest parameter correlation and condition number of the Jacobian."/>
      </w:tblPr>
      <w:tblGrid>
        <w:gridCol w:w="1458"/>
        <w:gridCol w:w="1458"/>
        <w:gridCol w:w="1250"/>
        <w:gridCol w:w="1250"/>
        <w:gridCol w:w="1250"/>
        <w:gridCol w:w="1250"/>
      </w:tblGrid>
      <w:tr>
        <w:trPr>
          <w:tblHeader w:val="true"/>
        </w:trPr>
        <w:tc>
          <w:tcPr/>
          <w:p>
            <w:pPr>
              <w:pStyle w:val="Compact"/>
              <w:jc w:val="left"/>
            </w:pPr>
            <w:r>
              <w:t xml:space="preserve">Mix</w:t>
            </w:r>
          </w:p>
        </w:tc>
        <w:tc>
          <w:tcPr/>
          <w:p>
            <w:pPr>
              <w:pStyle w:val="Compact"/>
              <w:jc w:val="left"/>
            </w:pPr>
            <w:r>
              <w:t xml:space="preserve">Identified</w:t>
            </w:r>
          </w:p>
        </w:tc>
        <w:tc>
          <w:tcPr/>
          <w:p>
            <w:pPr>
              <w:pStyle w:val="Compact"/>
              <w:jc w:val="center"/>
            </w:pPr>
            <m:oMath>
              <m:sSup>
                <m:e>
                  <m:r>
                    <m:t>R</m:t>
                  </m:r>
                </m:e>
                <m:sup>
                  <m:r>
                    <m:t>2</m:t>
                  </m:r>
                </m:sup>
              </m:sSup>
            </m:oMath>
          </w:p>
        </w:tc>
        <w:tc>
          <w:tcPr/>
          <w:p>
            <w:pPr>
              <w:pStyle w:val="Compact"/>
              <w:jc w:val="center"/>
            </w:pPr>
            <w:r>
              <w:t xml:space="preserve">RMSE</w:t>
            </w:r>
          </w:p>
        </w:tc>
        <w:tc>
          <w:tcPr/>
          <w:p>
            <w:pPr>
              <w:pStyle w:val="Compact"/>
              <w:jc w:val="center"/>
            </w:pPr>
            <w:r>
              <w:t xml:space="preserve">max</w:t>
            </w:r>
            <w:r>
              <w:t xml:space="preserve"> </w:t>
            </w:r>
            <m:oMath>
              <m:r>
                <m:rPr>
                  <m:sty m:val="p"/>
                </m:rPr>
                <m:t>|</m:t>
              </m:r>
              <m:r>
                <m:t>ρ</m:t>
              </m:r>
              <m:r>
                <m:rPr>
                  <m:sty m:val="p"/>
                </m:rPr>
                <m:t>|</m:t>
              </m:r>
            </m:oMath>
          </w:p>
        </w:tc>
        <w:tc>
          <w:tcPr/>
          <w:p>
            <w:pPr>
              <w:pStyle w:val="Compact"/>
              <w:jc w:val="center"/>
            </w:pPr>
            <w:r>
              <w:t xml:space="preserve">cond(</w:t>
            </w:r>
            <m:oMath>
              <m:r>
                <m:rPr>
                  <m:sty m:val="b"/>
                </m:rPr>
                <m:t>J</m:t>
              </m:r>
            </m:oMath>
            <w:r>
              <w:t xml:space="preserve">)</w:t>
            </w:r>
          </w:p>
        </w:tc>
      </w:tr>
      <w:tr>
        <w:tc>
          <w:tcPr/>
          <w:p>
            <w:pPr>
              <w:pStyle w:val="Compact"/>
              <w:jc w:val="left"/>
            </w:pPr>
            <w:r>
              <w:t xml:space="preserve">C-0.4</w:t>
            </w:r>
          </w:p>
        </w:tc>
        <w:tc>
          <w:tcPr/>
          <w:p>
            <w:pPr>
              <w:pStyle w:val="Compact"/>
              <w:jc w:val="left"/>
            </w:pPr>
            <m:oMath>
              <m:sSub>
                <m:e>
                  <m:r>
                    <m:t>D</m:t>
                  </m:r>
                </m:e>
                <m:sub>
                  <m:r>
                    <m:t>v</m:t>
                  </m:r>
                </m:sub>
              </m:sSub>
              <m:r>
                <m:rPr>
                  <m:sty m:val="p"/>
                </m:rPr>
                <m:t>,</m:t>
              </m:r>
              <m:sSub>
                <m:e>
                  <m:r>
                    <m:t>α</m:t>
                  </m:r>
                </m:e>
                <m:sub>
                  <m:r>
                    <m:t>0</m:t>
                  </m:r>
                </m:sub>
              </m:sSub>
              <m:r>
                <m:rPr>
                  <m:sty m:val="p"/>
                </m:rPr>
                <m:t>,</m:t>
              </m:r>
              <m:sSub>
                <m:e>
                  <m:r>
                    <m:t>K</m:t>
                  </m:r>
                </m:e>
                <m:sub>
                  <m:r>
                    <m:rPr>
                      <m:nor/>
                    </m:rPr>
                    <m:t>int</m:t>
                  </m:r>
                </m:sub>
              </m:sSub>
            </m:oMath>
          </w:p>
        </w:tc>
        <w:tc>
          <w:tcPr/>
          <w:p>
            <w:pPr>
              <w:pStyle w:val="Compact"/>
              <w:jc w:val="center"/>
            </w:pPr>
            <w:r>
              <w:t xml:space="preserve">0.9908</w:t>
            </w:r>
          </w:p>
        </w:tc>
        <w:tc>
          <w:tcPr/>
          <w:p>
            <w:pPr>
              <w:pStyle w:val="Compact"/>
              <w:jc w:val="center"/>
            </w:pPr>
            <w:r>
              <w:t xml:space="preserve">0.0139</w:t>
            </w:r>
          </w:p>
        </w:tc>
        <w:tc>
          <w:tcPr/>
          <w:p>
            <w:pPr>
              <w:pStyle w:val="Compact"/>
              <w:jc w:val="center"/>
            </w:pPr>
            <w:r>
              <w:t xml:space="preserve">1.00</w:t>
            </w:r>
          </w:p>
        </w:tc>
        <w:tc>
          <w:tcPr/>
          <w:p>
            <w:pPr>
              <w:pStyle w:val="Compact"/>
              <w:jc w:val="center"/>
            </w:pPr>
            <w:r>
              <w:t xml:space="preserve">1.7 × 10³</w:t>
            </w:r>
          </w:p>
        </w:tc>
      </w:tr>
      <w:tr>
        <w:tc>
          <w:tcPr/>
          <w:p>
            <w:pPr>
              <w:pStyle w:val="Compact"/>
              <w:jc w:val="left"/>
            </w:pPr>
            <w:r>
              <w:t xml:space="preserve">C-0.4</w:t>
            </w:r>
          </w:p>
        </w:tc>
        <w:tc>
          <w:tcPr/>
          <w:p>
            <w:pPr>
              <w:pStyle w:val="Compact"/>
              <w:jc w:val="left"/>
            </w:pPr>
            <m:oMath>
              <m:sSub>
                <m:e>
                  <m:r>
                    <m:t>D</m:t>
                  </m:r>
                </m:e>
                <m:sub>
                  <m:r>
                    <m:t>v</m:t>
                  </m:r>
                </m:sub>
              </m:sSub>
              <m:r>
                <m:rPr>
                  <m:sty m:val="p"/>
                </m:rPr>
                <m:t>,</m:t>
              </m:r>
              <m:sSub>
                <m:e>
                  <m:r>
                    <m:t>α</m:t>
                  </m:r>
                </m:e>
                <m:sub>
                  <m:r>
                    <m:t>0</m:t>
                  </m:r>
                </m:sub>
              </m:sSub>
              <m:r>
                <m:rPr>
                  <m:sty m:val="p"/>
                </m:rPr>
                <m:t>,</m:t>
              </m:r>
              <m:r>
                <m:t>n</m:t>
              </m:r>
              <m:r>
                <m:rPr>
                  <m:sty m:val="p"/>
                </m:rPr>
                <m:t>,</m:t>
              </m:r>
              <m:sSub>
                <m:e>
                  <m:r>
                    <m:t>K</m:t>
                  </m:r>
                </m:e>
                <m:sub>
                  <m:r>
                    <m:rPr>
                      <m:nor/>
                    </m:rPr>
                    <m:t>int</m:t>
                  </m:r>
                </m:sub>
              </m:sSub>
            </m:oMath>
          </w:p>
        </w:tc>
        <w:tc>
          <w:tcPr/>
          <w:p>
            <w:pPr>
              <w:pStyle w:val="Compact"/>
              <w:jc w:val="center"/>
            </w:pPr>
            <w:r>
              <w:t xml:space="preserve">0.9985</w:t>
            </w:r>
          </w:p>
        </w:tc>
        <w:tc>
          <w:tcPr/>
          <w:p>
            <w:pPr>
              <w:pStyle w:val="Compact"/>
              <w:jc w:val="center"/>
            </w:pPr>
            <w:r>
              <w:t xml:space="preserve">0.0055</w:t>
            </w:r>
          </w:p>
        </w:tc>
        <w:tc>
          <w:tcPr/>
          <w:p>
            <w:pPr>
              <w:pStyle w:val="Compact"/>
              <w:jc w:val="center"/>
            </w:pPr>
            <w:r>
              <w:t xml:space="preserve">0.99</w:t>
            </w:r>
          </w:p>
        </w:tc>
        <w:tc>
          <w:tcPr/>
          <w:p>
            <w:pPr>
              <w:pStyle w:val="Compact"/>
              <w:jc w:val="center"/>
            </w:pPr>
            <w:r>
              <w:t xml:space="preserve">1.7 × 10³</w:t>
            </w:r>
          </w:p>
        </w:tc>
      </w:tr>
      <w:tr>
        <w:tc>
          <w:tcPr/>
          <w:p>
            <w:pPr>
              <w:pStyle w:val="Compact"/>
              <w:jc w:val="left"/>
            </w:pPr>
            <w:r>
              <w:t xml:space="preserve">C-0.4</w:t>
            </w:r>
          </w:p>
        </w:tc>
        <w:tc>
          <w:tcPr/>
          <w:p>
            <w:pPr>
              <w:pStyle w:val="Compact"/>
              <w:jc w:val="left"/>
            </w:pPr>
            <m:oMath>
              <m:sSub>
                <m:e>
                  <m:r>
                    <m:t>D</m:t>
                  </m:r>
                </m:e>
                <m:sub>
                  <m:r>
                    <m:t>v</m:t>
                  </m:r>
                </m:sub>
              </m:sSub>
              <m:r>
                <m:rPr>
                  <m:sty m:val="p"/>
                </m:rPr>
                <m:t>,</m:t>
              </m:r>
              <m:sSub>
                <m:e>
                  <m:r>
                    <m:t>K</m:t>
                  </m:r>
                </m:e>
                <m:sub>
                  <m:r>
                    <m:rPr>
                      <m:nor/>
                    </m:rPr>
                    <m:t>int</m:t>
                  </m:r>
                </m:sub>
              </m:sSub>
            </m:oMath>
          </w:p>
        </w:tc>
        <w:tc>
          <w:tcPr/>
          <w:p>
            <w:pPr>
              <w:pStyle w:val="Compact"/>
              <w:jc w:val="center"/>
            </w:pPr>
            <w:r>
              <w:t xml:space="preserve">0.9910</w:t>
            </w:r>
          </w:p>
        </w:tc>
        <w:tc>
          <w:tcPr/>
          <w:p>
            <w:pPr>
              <w:pStyle w:val="Compact"/>
              <w:jc w:val="center"/>
            </w:pPr>
            <w:r>
              <w:t xml:space="preserve">0.0137</w:t>
            </w:r>
          </w:p>
        </w:tc>
        <w:tc>
          <w:tcPr/>
          <w:p>
            <w:pPr>
              <w:pStyle w:val="Compact"/>
              <w:jc w:val="center"/>
            </w:pPr>
            <w:r>
              <w:t xml:space="preserve">0.64</w:t>
            </w:r>
          </w:p>
        </w:tc>
        <w:tc>
          <w:tcPr/>
          <w:p>
            <w:pPr>
              <w:pStyle w:val="Compact"/>
              <w:jc w:val="center"/>
            </w:pPr>
            <w:r>
              <w:t xml:space="preserve">14</w:t>
            </w:r>
          </w:p>
        </w:tc>
      </w:tr>
      <w:tr>
        <w:tc>
          <w:tcPr/>
          <w:p>
            <w:pPr>
              <w:pStyle w:val="Compact"/>
              <w:jc w:val="left"/>
            </w:pPr>
            <w:r>
              <w:t xml:space="preserve">F20-0.3</w:t>
            </w:r>
          </w:p>
        </w:tc>
        <w:tc>
          <w:tcPr/>
          <w:p>
            <w:pPr>
              <w:pStyle w:val="Compact"/>
              <w:jc w:val="left"/>
            </w:pPr>
            <m:oMath>
              <m:sSub>
                <m:e>
                  <m:r>
                    <m:t>D</m:t>
                  </m:r>
                </m:e>
                <m:sub>
                  <m:r>
                    <m:t>v</m:t>
                  </m:r>
                </m:sub>
              </m:sSub>
              <m:r>
                <m:rPr>
                  <m:sty m:val="p"/>
                </m:rPr>
                <m:t>,</m:t>
              </m:r>
              <m:sSub>
                <m:e>
                  <m:r>
                    <m:t>α</m:t>
                  </m:r>
                </m:e>
                <m:sub>
                  <m:r>
                    <m:t>0</m:t>
                  </m:r>
                </m:sub>
              </m:sSub>
              <m:r>
                <m:rPr>
                  <m:sty m:val="p"/>
                </m:rPr>
                <m:t>,</m:t>
              </m:r>
              <m:sSub>
                <m:e>
                  <m:r>
                    <m:t>K</m:t>
                  </m:r>
                </m:e>
                <m:sub>
                  <m:r>
                    <m:rPr>
                      <m:nor/>
                    </m:rPr>
                    <m:t>int</m:t>
                  </m:r>
                </m:sub>
              </m:sSub>
            </m:oMath>
          </w:p>
        </w:tc>
        <w:tc>
          <w:tcPr/>
          <w:p>
            <w:pPr>
              <w:pStyle w:val="Compact"/>
              <w:jc w:val="center"/>
            </w:pPr>
            <w:r>
              <w:t xml:space="preserve">0.9989</w:t>
            </w:r>
          </w:p>
        </w:tc>
        <w:tc>
          <w:tcPr/>
          <w:p>
            <w:pPr>
              <w:pStyle w:val="Compact"/>
              <w:jc w:val="center"/>
            </w:pPr>
            <w:r>
              <w:t xml:space="preserve">0.0052</w:t>
            </w:r>
          </w:p>
        </w:tc>
        <w:tc>
          <w:tcPr/>
          <w:p>
            <w:pPr>
              <w:pStyle w:val="Compact"/>
              <w:jc w:val="center"/>
            </w:pPr>
            <w:r>
              <w:t xml:space="preserve">1.00</w:t>
            </w:r>
          </w:p>
        </w:tc>
        <w:tc>
          <w:tcPr/>
          <w:p>
            <w:pPr>
              <w:pStyle w:val="Compact"/>
              <w:jc w:val="center"/>
            </w:pPr>
            <w:r>
              <w:t xml:space="preserve">1.6 × 10³</w:t>
            </w:r>
          </w:p>
        </w:tc>
      </w:tr>
      <w:tr>
        <w:tc>
          <w:tcPr/>
          <w:p>
            <w:pPr>
              <w:pStyle w:val="Compact"/>
              <w:jc w:val="left"/>
            </w:pPr>
            <w:r>
              <w:t xml:space="preserve">F20-0.3</w:t>
            </w:r>
          </w:p>
        </w:tc>
        <w:tc>
          <w:tcPr/>
          <w:p>
            <w:pPr>
              <w:pStyle w:val="Compact"/>
              <w:jc w:val="left"/>
            </w:pPr>
            <m:oMath>
              <m:sSub>
                <m:e>
                  <m:r>
                    <m:t>D</m:t>
                  </m:r>
                </m:e>
                <m:sub>
                  <m:r>
                    <m:t>v</m:t>
                  </m:r>
                </m:sub>
              </m:sSub>
              <m:r>
                <m:rPr>
                  <m:sty m:val="p"/>
                </m:rPr>
                <m:t>,</m:t>
              </m:r>
              <m:sSub>
                <m:e>
                  <m:r>
                    <m:t>α</m:t>
                  </m:r>
                </m:e>
                <m:sub>
                  <m:r>
                    <m:t>0</m:t>
                  </m:r>
                </m:sub>
              </m:sSub>
              <m:r>
                <m:rPr>
                  <m:sty m:val="p"/>
                </m:rPr>
                <m:t>,</m:t>
              </m:r>
              <m:r>
                <m:t>n</m:t>
              </m:r>
              <m:r>
                <m:rPr>
                  <m:sty m:val="p"/>
                </m:rPr>
                <m:t>,</m:t>
              </m:r>
              <m:sSub>
                <m:e>
                  <m:r>
                    <m:t>K</m:t>
                  </m:r>
                </m:e>
                <m:sub>
                  <m:r>
                    <m:rPr>
                      <m:nor/>
                    </m:rPr>
                    <m:t>int</m:t>
                  </m:r>
                </m:sub>
              </m:sSub>
            </m:oMath>
          </w:p>
        </w:tc>
        <w:tc>
          <w:tcPr/>
          <w:p>
            <w:pPr>
              <w:pStyle w:val="Compact"/>
              <w:jc w:val="center"/>
            </w:pPr>
            <w:r>
              <w:t xml:space="preserve">0.9990</w:t>
            </w:r>
          </w:p>
        </w:tc>
        <w:tc>
          <w:tcPr/>
          <w:p>
            <w:pPr>
              <w:pStyle w:val="Compact"/>
              <w:jc w:val="center"/>
            </w:pPr>
            <w:r>
              <w:t xml:space="preserve">0.0049</w:t>
            </w:r>
          </w:p>
        </w:tc>
        <w:tc>
          <w:tcPr/>
          <w:p>
            <w:pPr>
              <w:pStyle w:val="Compact"/>
              <w:jc w:val="center"/>
            </w:pPr>
            <w:r>
              <w:t xml:space="preserve">1.00</w:t>
            </w:r>
          </w:p>
        </w:tc>
        <w:tc>
          <w:tcPr/>
          <w:p>
            <w:pPr>
              <w:pStyle w:val="Compact"/>
              <w:jc w:val="center"/>
            </w:pPr>
            <w:r>
              <w:t xml:space="preserve">4.8 × 10³</w:t>
            </w:r>
          </w:p>
        </w:tc>
      </w:tr>
      <w:tr>
        <w:tc>
          <w:tcPr/>
          <w:p>
            <w:pPr>
              <w:pStyle w:val="Compact"/>
              <w:jc w:val="left"/>
            </w:pPr>
            <w:r>
              <w:t xml:space="preserve">F20-0.3</w:t>
            </w:r>
          </w:p>
        </w:tc>
        <w:tc>
          <w:tcPr/>
          <w:p>
            <w:pPr>
              <w:pStyle w:val="Compact"/>
              <w:jc w:val="left"/>
            </w:pPr>
            <m:oMath>
              <m:sSub>
                <m:e>
                  <m:r>
                    <m:t>D</m:t>
                  </m:r>
                </m:e>
                <m:sub>
                  <m:r>
                    <m:t>v</m:t>
                  </m:r>
                </m:sub>
              </m:sSub>
              <m:r>
                <m:rPr>
                  <m:sty m:val="p"/>
                </m:rPr>
                <m:t>,</m:t>
              </m:r>
              <m:sSub>
                <m:e>
                  <m:r>
                    <m:t>K</m:t>
                  </m:r>
                </m:e>
                <m:sub>
                  <m:r>
                    <m:rPr>
                      <m:nor/>
                    </m:rPr>
                    <m:t>int</m:t>
                  </m:r>
                </m:sub>
              </m:sSub>
            </m:oMath>
          </w:p>
        </w:tc>
        <w:tc>
          <w:tcPr/>
          <w:p>
            <w:pPr>
              <w:pStyle w:val="Compact"/>
              <w:jc w:val="center"/>
            </w:pPr>
            <w:r>
              <w:t xml:space="preserve">0.9980</w:t>
            </w:r>
          </w:p>
        </w:tc>
        <w:tc>
          <w:tcPr/>
          <w:p>
            <w:pPr>
              <w:pStyle w:val="Compact"/>
              <w:jc w:val="center"/>
            </w:pPr>
            <w:r>
              <w:t xml:space="preserve">0.0069</w:t>
            </w:r>
          </w:p>
        </w:tc>
        <w:tc>
          <w:tcPr/>
          <w:p>
            <w:pPr>
              <w:pStyle w:val="Compact"/>
              <w:jc w:val="center"/>
            </w:pPr>
            <w:r>
              <w:t xml:space="preserve">0.64</w:t>
            </w:r>
          </w:p>
        </w:tc>
        <w:tc>
          <w:tcPr/>
          <w:p>
            <w:pPr>
              <w:pStyle w:val="Compact"/>
              <w:jc w:val="center"/>
            </w:pPr>
            <w:r>
              <w:t xml:space="preserve">10</w:t>
            </w:r>
          </w:p>
        </w:tc>
      </w:tr>
      <w:tr>
        <w:tc>
          <w:tcPr/>
          <w:p>
            <w:pPr>
              <w:pStyle w:val="Compact"/>
              <w:jc w:val="left"/>
            </w:pPr>
            <w:r>
              <w:t xml:space="preserve">S40-0.5</w:t>
            </w:r>
          </w:p>
        </w:tc>
        <w:tc>
          <w:tcPr/>
          <w:p>
            <w:pPr>
              <w:pStyle w:val="Compact"/>
              <w:jc w:val="left"/>
            </w:pPr>
            <m:oMath>
              <m:sSub>
                <m:e>
                  <m:r>
                    <m:t>D</m:t>
                  </m:r>
                </m:e>
                <m:sub>
                  <m:r>
                    <m:t>v</m:t>
                  </m:r>
                </m:sub>
              </m:sSub>
              <m:r>
                <m:rPr>
                  <m:sty m:val="p"/>
                </m:rPr>
                <m:t>,</m:t>
              </m:r>
              <m:sSub>
                <m:e>
                  <m:r>
                    <m:t>α</m:t>
                  </m:r>
                </m:e>
                <m:sub>
                  <m:r>
                    <m:t>0</m:t>
                  </m:r>
                </m:sub>
              </m:sSub>
              <m:r>
                <m:rPr>
                  <m:sty m:val="p"/>
                </m:rPr>
                <m:t>,</m:t>
              </m:r>
              <m:sSub>
                <m:e>
                  <m:r>
                    <m:t>K</m:t>
                  </m:r>
                </m:e>
                <m:sub>
                  <m:r>
                    <m:rPr>
                      <m:nor/>
                    </m:rPr>
                    <m:t>int</m:t>
                  </m:r>
                </m:sub>
              </m:sSub>
            </m:oMath>
          </w:p>
        </w:tc>
        <w:tc>
          <w:tcPr/>
          <w:p>
            <w:pPr>
              <w:pStyle w:val="Compact"/>
              <w:jc w:val="center"/>
            </w:pPr>
            <w:r>
              <w:t xml:space="preserve">0.9948</w:t>
            </w:r>
          </w:p>
        </w:tc>
        <w:tc>
          <w:tcPr/>
          <w:p>
            <w:pPr>
              <w:pStyle w:val="Compact"/>
              <w:jc w:val="center"/>
            </w:pPr>
            <w:r>
              <w:t xml:space="preserve">0.0109</w:t>
            </w:r>
          </w:p>
        </w:tc>
        <w:tc>
          <w:tcPr/>
          <w:p>
            <w:pPr>
              <w:pStyle w:val="Compact"/>
              <w:jc w:val="center"/>
            </w:pPr>
            <w:r>
              <w:t xml:space="preserve">1.00</w:t>
            </w:r>
          </w:p>
        </w:tc>
        <w:tc>
          <w:tcPr/>
          <w:p>
            <w:pPr>
              <w:pStyle w:val="Compact"/>
              <w:jc w:val="center"/>
            </w:pPr>
            <w:r>
              <w:t xml:space="preserve">1.7 × 10³</w:t>
            </w:r>
          </w:p>
        </w:tc>
      </w:tr>
      <w:tr>
        <w:tc>
          <w:tcPr/>
          <w:p>
            <w:pPr>
              <w:pStyle w:val="Compact"/>
              <w:jc w:val="left"/>
            </w:pPr>
            <w:r>
              <w:t xml:space="preserve">S40-0.5</w:t>
            </w:r>
          </w:p>
        </w:tc>
        <w:tc>
          <w:tcPr/>
          <w:p>
            <w:pPr>
              <w:pStyle w:val="Compact"/>
              <w:jc w:val="left"/>
            </w:pPr>
            <m:oMath>
              <m:sSub>
                <m:e>
                  <m:r>
                    <m:t>D</m:t>
                  </m:r>
                </m:e>
                <m:sub>
                  <m:r>
                    <m:t>v</m:t>
                  </m:r>
                </m:sub>
              </m:sSub>
              <m:r>
                <m:rPr>
                  <m:sty m:val="p"/>
                </m:rPr>
                <m:t>,</m:t>
              </m:r>
              <m:sSub>
                <m:e>
                  <m:r>
                    <m:t>α</m:t>
                  </m:r>
                </m:e>
                <m:sub>
                  <m:r>
                    <m:t>0</m:t>
                  </m:r>
                </m:sub>
              </m:sSub>
              <m:r>
                <m:rPr>
                  <m:sty m:val="p"/>
                </m:rPr>
                <m:t>,</m:t>
              </m:r>
              <m:r>
                <m:t>n</m:t>
              </m:r>
              <m:r>
                <m:rPr>
                  <m:sty m:val="p"/>
                </m:rPr>
                <m:t>,</m:t>
              </m:r>
              <m:sSub>
                <m:e>
                  <m:r>
                    <m:t>K</m:t>
                  </m:r>
                </m:e>
                <m:sub>
                  <m:r>
                    <m:rPr>
                      <m:nor/>
                    </m:rPr>
                    <m:t>int</m:t>
                  </m:r>
                </m:sub>
              </m:sSub>
            </m:oMath>
          </w:p>
        </w:tc>
        <w:tc>
          <w:tcPr/>
          <w:p>
            <w:pPr>
              <w:pStyle w:val="Compact"/>
              <w:jc w:val="center"/>
            </w:pPr>
            <w:r>
              <w:t xml:space="preserve">0.9993</w:t>
            </w:r>
          </w:p>
        </w:tc>
        <w:tc>
          <w:tcPr/>
          <w:p>
            <w:pPr>
              <w:pStyle w:val="Compact"/>
              <w:jc w:val="center"/>
            </w:pPr>
            <w:r>
              <w:t xml:space="preserve">0.0041</w:t>
            </w:r>
          </w:p>
        </w:tc>
        <w:tc>
          <w:tcPr/>
          <w:p>
            <w:pPr>
              <w:pStyle w:val="Compact"/>
              <w:jc w:val="center"/>
            </w:pPr>
            <w:r>
              <w:t xml:space="preserve">0.99</w:t>
            </w:r>
          </w:p>
        </w:tc>
        <w:tc>
          <w:tcPr/>
          <w:p>
            <w:pPr>
              <w:pStyle w:val="Compact"/>
              <w:jc w:val="center"/>
            </w:pPr>
            <w:r>
              <w:t xml:space="preserve">1.5 × 10³</w:t>
            </w:r>
          </w:p>
        </w:tc>
      </w:tr>
      <w:tr>
        <w:tc>
          <w:tcPr/>
          <w:p>
            <w:pPr>
              <w:pStyle w:val="Compact"/>
              <w:jc w:val="left"/>
            </w:pPr>
            <w:r>
              <w:t xml:space="preserve">S40-0.5</w:t>
            </w:r>
          </w:p>
        </w:tc>
        <w:tc>
          <w:tcPr/>
          <w:p>
            <w:pPr>
              <w:pStyle w:val="Compact"/>
              <w:jc w:val="left"/>
            </w:pPr>
            <m:oMath>
              <m:sSub>
                <m:e>
                  <m:r>
                    <m:t>D</m:t>
                  </m:r>
                </m:e>
                <m:sub>
                  <m:r>
                    <m:t>v</m:t>
                  </m:r>
                </m:sub>
              </m:sSub>
              <m:r>
                <m:rPr>
                  <m:sty m:val="p"/>
                </m:rPr>
                <m:t>,</m:t>
              </m:r>
              <m:sSub>
                <m:e>
                  <m:r>
                    <m:t>K</m:t>
                  </m:r>
                </m:e>
                <m:sub>
                  <m:r>
                    <m:rPr>
                      <m:nor/>
                    </m:rPr>
                    <m:t>int</m:t>
                  </m:r>
                </m:sub>
              </m:sSub>
            </m:oMath>
          </w:p>
        </w:tc>
        <w:tc>
          <w:tcPr/>
          <w:p>
            <w:pPr>
              <w:pStyle w:val="Compact"/>
              <w:jc w:val="center"/>
            </w:pPr>
            <w:r>
              <w:t xml:space="preserve">0.9950</w:t>
            </w:r>
          </w:p>
        </w:tc>
        <w:tc>
          <w:tcPr/>
          <w:p>
            <w:pPr>
              <w:pStyle w:val="Compact"/>
              <w:jc w:val="center"/>
            </w:pPr>
            <w:r>
              <w:t xml:space="preserve">0.0107</w:t>
            </w:r>
          </w:p>
        </w:tc>
        <w:tc>
          <w:tcPr/>
          <w:p>
            <w:pPr>
              <w:pStyle w:val="Compact"/>
              <w:jc w:val="center"/>
            </w:pPr>
            <w:r>
              <w:t xml:space="preserve">0.66</w:t>
            </w:r>
          </w:p>
        </w:tc>
        <w:tc>
          <w:tcPr/>
          <w:p>
            <w:pPr>
              <w:pStyle w:val="Compact"/>
              <w:jc w:val="center"/>
            </w:pPr>
            <w:r>
              <w:t xml:space="preserve">13</w:t>
            </w:r>
          </w:p>
        </w:tc>
      </w:tr>
      <w:tr>
        <w:tc>
          <w:tcPr/>
          <w:p>
            <w:pPr>
              <w:pStyle w:val="Compact"/>
              <w:jc w:val="left"/>
            </w:pPr>
            <w:r>
              <w:t xml:space="preserve">F20S20-0.5</w:t>
            </w:r>
          </w:p>
        </w:tc>
        <w:tc>
          <w:tcPr/>
          <w:p>
            <w:pPr>
              <w:pStyle w:val="Compact"/>
              <w:jc w:val="left"/>
            </w:pPr>
            <m:oMath>
              <m:sSub>
                <m:e>
                  <m:r>
                    <m:t>D</m:t>
                  </m:r>
                </m:e>
                <m:sub>
                  <m:r>
                    <m:t>v</m:t>
                  </m:r>
                </m:sub>
              </m:sSub>
              <m:r>
                <m:rPr>
                  <m:sty m:val="p"/>
                </m:rPr>
                <m:t>,</m:t>
              </m:r>
              <m:sSub>
                <m:e>
                  <m:r>
                    <m:t>α</m:t>
                  </m:r>
                </m:e>
                <m:sub>
                  <m:r>
                    <m:t>0</m:t>
                  </m:r>
                </m:sub>
              </m:sSub>
              <m:r>
                <m:rPr>
                  <m:sty m:val="p"/>
                </m:rPr>
                <m:t>,</m:t>
              </m:r>
              <m:sSub>
                <m:e>
                  <m:r>
                    <m:t>K</m:t>
                  </m:r>
                </m:e>
                <m:sub>
                  <m:r>
                    <m:rPr>
                      <m:nor/>
                    </m:rPr>
                    <m:t>int</m:t>
                  </m:r>
                </m:sub>
              </m:sSub>
            </m:oMath>
          </w:p>
        </w:tc>
        <w:tc>
          <w:tcPr/>
          <w:p>
            <w:pPr>
              <w:pStyle w:val="Compact"/>
              <w:jc w:val="center"/>
            </w:pPr>
            <w:r>
              <w:t xml:space="preserve">0.9988</w:t>
            </w:r>
          </w:p>
        </w:tc>
        <w:tc>
          <w:tcPr/>
          <w:p>
            <w:pPr>
              <w:pStyle w:val="Compact"/>
              <w:jc w:val="center"/>
            </w:pPr>
            <w:r>
              <w:t xml:space="preserve">0.0050</w:t>
            </w:r>
          </w:p>
        </w:tc>
        <w:tc>
          <w:tcPr/>
          <w:p>
            <w:pPr>
              <w:pStyle w:val="Compact"/>
              <w:jc w:val="center"/>
            </w:pPr>
            <w:r>
              <w:t xml:space="preserve">1.00</w:t>
            </w:r>
          </w:p>
        </w:tc>
        <w:tc>
          <w:tcPr/>
          <w:p>
            <w:pPr>
              <w:pStyle w:val="Compact"/>
              <w:jc w:val="center"/>
            </w:pPr>
            <w:r>
              <w:t xml:space="preserve">1.0 × 10⁴</w:t>
            </w:r>
          </w:p>
        </w:tc>
      </w:tr>
      <w:tr>
        <w:tc>
          <w:tcPr/>
          <w:p>
            <w:pPr>
              <w:pStyle w:val="Compact"/>
              <w:jc w:val="left"/>
            </w:pPr>
            <w:r>
              <w:t xml:space="preserve">F20S20-0.5</w:t>
            </w:r>
          </w:p>
        </w:tc>
        <w:tc>
          <w:tcPr/>
          <w:p>
            <w:pPr>
              <w:pStyle w:val="Compact"/>
              <w:jc w:val="left"/>
            </w:pPr>
            <m:oMath>
              <m:sSub>
                <m:e>
                  <m:r>
                    <m:t>D</m:t>
                  </m:r>
                </m:e>
                <m:sub>
                  <m:r>
                    <m:t>v</m:t>
                  </m:r>
                </m:sub>
              </m:sSub>
              <m:r>
                <m:rPr>
                  <m:sty m:val="p"/>
                </m:rPr>
                <m:t>,</m:t>
              </m:r>
              <m:sSub>
                <m:e>
                  <m:r>
                    <m:t>α</m:t>
                  </m:r>
                </m:e>
                <m:sub>
                  <m:r>
                    <m:t>0</m:t>
                  </m:r>
                </m:sub>
              </m:sSub>
              <m:r>
                <m:rPr>
                  <m:sty m:val="p"/>
                </m:rPr>
                <m:t>,</m:t>
              </m:r>
              <m:r>
                <m:t>n</m:t>
              </m:r>
              <m:r>
                <m:rPr>
                  <m:sty m:val="p"/>
                </m:rPr>
                <m:t>,</m:t>
              </m:r>
              <m:sSub>
                <m:e>
                  <m:r>
                    <m:t>K</m:t>
                  </m:r>
                </m:e>
                <m:sub>
                  <m:r>
                    <m:rPr>
                      <m:nor/>
                    </m:rPr>
                    <m:t>int</m:t>
                  </m:r>
                </m:sub>
              </m:sSub>
            </m:oMath>
          </w:p>
        </w:tc>
        <w:tc>
          <w:tcPr/>
          <w:p>
            <w:pPr>
              <w:pStyle w:val="Compact"/>
              <w:jc w:val="center"/>
            </w:pPr>
            <w:r>
              <w:t xml:space="preserve">0.9994</w:t>
            </w:r>
          </w:p>
        </w:tc>
        <w:tc>
          <w:tcPr/>
          <w:p>
            <w:pPr>
              <w:pStyle w:val="Compact"/>
              <w:jc w:val="center"/>
            </w:pPr>
            <w:r>
              <w:t xml:space="preserve">0.0035</w:t>
            </w:r>
          </w:p>
        </w:tc>
        <w:tc>
          <w:tcPr/>
          <w:p>
            <w:pPr>
              <w:pStyle w:val="Compact"/>
              <w:jc w:val="center"/>
            </w:pPr>
            <w:r>
              <w:t xml:space="preserve">0.99</w:t>
            </w:r>
          </w:p>
        </w:tc>
        <w:tc>
          <w:tcPr/>
          <w:p>
            <w:pPr>
              <w:pStyle w:val="Compact"/>
              <w:jc w:val="center"/>
            </w:pPr>
            <w:r>
              <w:t xml:space="preserve">2.0 × 10³</w:t>
            </w:r>
          </w:p>
        </w:tc>
      </w:tr>
      <w:tr>
        <w:tc>
          <w:tcPr/>
          <w:p>
            <w:pPr>
              <w:pStyle w:val="Compact"/>
              <w:jc w:val="left"/>
            </w:pPr>
            <w:r>
              <w:t xml:space="preserve">F20S20-0.5</w:t>
            </w:r>
          </w:p>
        </w:tc>
        <w:tc>
          <w:tcPr/>
          <w:p>
            <w:pPr>
              <w:pStyle w:val="Compact"/>
              <w:jc w:val="left"/>
            </w:pPr>
            <m:oMath>
              <m:sSub>
                <m:e>
                  <m:r>
                    <m:t>D</m:t>
                  </m:r>
                </m:e>
                <m:sub>
                  <m:r>
                    <m:t>v</m:t>
                  </m:r>
                </m:sub>
              </m:sSub>
              <m:r>
                <m:rPr>
                  <m:sty m:val="p"/>
                </m:rPr>
                <m:t>,</m:t>
              </m:r>
              <m:sSub>
                <m:e>
                  <m:r>
                    <m:t>K</m:t>
                  </m:r>
                </m:e>
                <m:sub>
                  <m:r>
                    <m:rPr>
                      <m:nor/>
                    </m:rPr>
                    <m:t>int</m:t>
                  </m:r>
                </m:sub>
              </m:sSub>
            </m:oMath>
          </w:p>
        </w:tc>
        <w:tc>
          <w:tcPr/>
          <w:p>
            <w:pPr>
              <w:pStyle w:val="Compact"/>
              <w:jc w:val="center"/>
            </w:pPr>
            <w:r>
              <w:t xml:space="preserve">0.9948</w:t>
            </w:r>
          </w:p>
        </w:tc>
        <w:tc>
          <w:tcPr/>
          <w:p>
            <w:pPr>
              <w:pStyle w:val="Compact"/>
              <w:jc w:val="center"/>
            </w:pPr>
            <w:r>
              <w:t xml:space="preserve">0.0105</w:t>
            </w:r>
          </w:p>
        </w:tc>
        <w:tc>
          <w:tcPr/>
          <w:p>
            <w:pPr>
              <w:pStyle w:val="Compact"/>
              <w:jc w:val="center"/>
            </w:pPr>
            <w:r>
              <w:t xml:space="preserve">0.65</w:t>
            </w:r>
          </w:p>
        </w:tc>
        <w:tc>
          <w:tcPr/>
          <w:p>
            <w:pPr>
              <w:pStyle w:val="Compact"/>
              <w:jc w:val="center"/>
            </w:pPr>
            <w:r>
              <w:t xml:space="preserve">17</w:t>
            </w:r>
          </w:p>
        </w:tc>
      </w:tr>
    </w:tbl>
    <w:bookmarkEnd w:id="33"/>
    <w:bookmarkEnd w:id="34"/>
    <w:bookmarkStart w:id="42" w:name="methods"/>
    <w:p>
      <w:pPr>
        <w:pStyle w:val="Heading1"/>
      </w:pPr>
      <w:r>
        <w:t xml:space="preserve">4 Methods</w:t>
      </w:r>
    </w:p>
    <w:bookmarkStart w:id="35" w:name="Xf7fbdf6ce24d125d681de44601921abcd85076f"/>
    <w:p>
      <w:pPr>
        <w:pStyle w:val="Heading2"/>
      </w:pPr>
      <w:r>
        <w:t xml:space="preserve">4.1 Finite-volume solver and classical identification</w:t>
      </w:r>
    </w:p>
    <w:p>
      <w:pPr>
        <w:pStyle w:val="FirstParagraph"/>
      </w:pPr>
      <w:r>
        <w:t xml:space="preserve">Equations (1)–(6) are discretised with a cell-centred finite-volume scheme on 60–80 cells refined geometrically towards the drying face (growth ratio 1.06), with arithmetic averaging of</w:t>
      </w:r>
      <w:r>
        <w:t xml:space="preserve"> </w:t>
      </w:r>
      <m:oMath>
        <m:r>
          <m:t>D</m:t>
        </m:r>
      </m:oMath>
      <w:r>
        <w:t xml:space="preserve"> </w:t>
      </w:r>
      <w:r>
        <w:t xml:space="preserve">at the faces. The resulting system of ordinary differential equations is integrated with an implicit BDF scheme [29] (relative tolerance 10⁻⁶). For a constant diffusivity, the solver reproduces the analytical series solution of slab drying to within 2 × 10⁻³ in</w:t>
      </w:r>
      <w:r>
        <w:t xml:space="preserve"> </w:t>
      </w:r>
      <m:oMath>
        <m:sSub>
          <m:e>
            <m:r>
              <m:t>S</m:t>
            </m:r>
          </m:e>
          <m:sub>
            <m:r>
              <m:rPr>
                <m:nor/>
              </m:rPr>
              <m:t>avg</m:t>
            </m:r>
          </m:sub>
        </m:sSub>
      </m:oMath>
      <w:r>
        <w:t xml:space="preserve">.</w:t>
      </w:r>
    </w:p>
    <w:p>
      <w:pPr>
        <w:pStyle w:val="BodyText"/>
      </w:pPr>
      <w:r>
        <w:t xml:space="preserve">For the classical identification,</w:t>
      </w:r>
      <w:r>
        <w:t xml:space="preserve"> </w:t>
      </w:r>
      <m:oMath>
        <m:r>
          <m:rPr>
            <m:sty m:val="b"/>
          </m:rPr>
          <m:t>θ</m:t>
        </m:r>
      </m:oMath>
      <w:r>
        <w:t xml:space="preserve"> </w:t>
      </w:r>
      <w:r>
        <w:t xml:space="preserve">is fitted to each mix separately by nonlinear least squares (trust-region reflective algorithm, three starting points). Standard errors and correlations are obtained from the Jacobian at the optimum. To predict a mix that is not in the training set, the classical route regresses the identified parameters linearly on the composition of the training mixes and runs the solver with the regressed parameters (</w:t>
      </w:r>
      <w:r>
        <w:rPr>
          <w:iCs/>
          <w:i/>
        </w:rPr>
        <w:t xml:space="preserve">FD + regression</w:t>
      </w:r>
      <w:r>
        <w:t xml:space="preserve">).</w:t>
      </w:r>
    </w:p>
    <w:bookmarkEnd w:id="35"/>
    <w:bookmarkStart w:id="39" w:name="physics-embedded-neural-network"/>
    <w:p>
      <w:pPr>
        <w:pStyle w:val="Heading2"/>
      </w:pPr>
      <w:r>
        <w:t xml:space="preserve">4.2 Physics-embedded neural network</w:t>
      </w:r>
    </w:p>
    <w:p>
      <w:pPr>
        <w:pStyle w:val="FirstParagraph"/>
      </w:pPr>
      <w:r>
        <w:t xml:space="preserve">The proposed model is shown in Fig. 2. A multilayer perceptron</w:t>
      </w:r>
      <w:r>
        <w:t xml:space="preserve"> </w:t>
      </w:r>
      <m:oMath>
        <m:sSub>
          <m:e>
            <m:r>
              <m:t>g</m:t>
            </m:r>
          </m:e>
          <m:sub>
            <m:r>
              <m:rPr>
                <m:sty m:val="b"/>
              </m:rPr>
              <m:t>w</m:t>
            </m:r>
          </m:sub>
        </m:sSub>
      </m:oMath>
      <w:r>
        <w:t xml:space="preserve"> </w:t>
      </w:r>
      <w:r>
        <w:t xml:space="preserve">with two hidden layers of 16 tanh neurons maps the composition vector</w:t>
      </w:r>
      <w:r>
        <w:t xml:space="preserve"> </w:t>
      </w:r>
      <m:oMath>
        <m:r>
          <m:rPr>
            <m:sty m:val="b"/>
          </m:rPr>
          <m:t>c</m:t>
        </m:r>
        <m:r>
          <m:rPr>
            <m:sty m:val="p"/>
          </m:rPr>
          <m:t>=</m:t>
        </m:r>
        <m:d>
          <m:dPr>
            <m:begChr m:val="["/>
            <m:sepChr m:val=""/>
            <m:endChr m:val="]"/>
            <m:grow/>
          </m:dPr>
          <m:e>
            <m:d>
              <m:dPr>
                <m:begChr m:val="("/>
                <m:sepChr m:val=""/>
                <m:endChr m:val=")"/>
                <m:grow/>
              </m:dPr>
              <m:e>
                <m:r>
                  <m:rPr>
                    <m:nor/>
                  </m:rPr>
                  <m:t>w/b</m:t>
                </m:r>
                <m:r>
                  <m:rPr>
                    <m:sty m:val="p"/>
                  </m:rPr>
                  <m:t>−</m:t>
                </m:r>
                <m:r>
                  <m:t>0.3</m:t>
                </m:r>
              </m:e>
            </m:d>
            <m:r>
              <m:rPr>
                <m:sty m:val="p"/>
              </m:rPr>
              <m:t>/</m:t>
            </m:r>
            <m:r>
              <m:t>0.3</m:t>
            </m:r>
            <m:r>
              <m:rPr>
                <m:sty m:val="p"/>
              </m:rPr>
              <m:t>,</m:t>
            </m:r>
            <m:r>
              <m:t> </m:t>
            </m:r>
            <m:r>
              <m:rPr>
                <m:nor/>
              </m:rPr>
              <m:t>FA</m:t>
            </m:r>
            <m:r>
              <m:rPr>
                <m:sty m:val="p"/>
              </m:rPr>
              <m:t>/</m:t>
            </m:r>
            <m:r>
              <m:t>0.4</m:t>
            </m:r>
            <m:r>
              <m:rPr>
                <m:sty m:val="p"/>
              </m:rPr>
              <m:t>,</m:t>
            </m:r>
            <m:r>
              <m:t> </m:t>
            </m:r>
            <m:r>
              <m:rPr>
                <m:nor/>
              </m:rPr>
              <m:t>SL</m:t>
            </m:r>
            <m:r>
              <m:rPr>
                <m:sty m:val="p"/>
              </m:rPr>
              <m:t>/</m:t>
            </m:r>
            <m:r>
              <m:t>0.4</m:t>
            </m:r>
          </m:e>
        </m:d>
      </m:oMath>
      <w:r>
        <w:t xml:space="preserve"> </w:t>
      </w:r>
      <w:r>
        <w:t xml:space="preserve">— FA and SL being the fly ash and slag mass fractions of the binder — to the parameters</w:t>
      </w:r>
    </w:p>
    <w:p>
      <w:pPr>
        <w:pStyle w:val="BodyText"/>
      </w:pPr>
      <m:oMathPara>
        <m:oMathParaPr>
          <m:jc m:val="center"/>
        </m:oMathParaPr>
        <m:oMath>
          <m:r>
            <m:rPr>
              <m:sty m:val="b"/>
            </m:rPr>
            <m:t>θ</m:t>
          </m:r>
          <m:d>
            <m:dPr>
              <m:begChr m:val="("/>
              <m:sepChr m:val=""/>
              <m:endChr m:val=")"/>
              <m:grow/>
            </m:dPr>
            <m:e>
              <m:r>
                <m:rPr>
                  <m:sty m:val="b"/>
                </m:rPr>
                <m:t>c</m:t>
              </m:r>
            </m:e>
          </m:d>
          <m:r>
            <m:rPr>
              <m:sty m:val="p"/>
            </m:rPr>
            <m:t>=</m:t>
          </m:r>
          <m:sSub>
            <m:e>
              <m:r>
                <m:rPr>
                  <m:sty m:val="b"/>
                </m:rPr>
                <m:t>θ</m:t>
              </m:r>
            </m:e>
            <m:sub>
              <m:r>
                <m:rPr>
                  <m:sty m:val="p"/>
                </m:rPr>
                <m:t>min</m:t>
              </m:r>
            </m:sub>
          </m:sSub>
          <m:r>
            <m:rPr>
              <m:sty m:val="p"/>
            </m:rPr>
            <m:t>+</m:t>
          </m:r>
          <m:d>
            <m:dPr>
              <m:begChr m:val="("/>
              <m:sepChr m:val=""/>
              <m:endChr m:val=")"/>
              <m:grow/>
            </m:dPr>
            <m:e>
              <m:sSub>
                <m:e>
                  <m:r>
                    <m:rPr>
                      <m:sty m:val="b"/>
                    </m:rPr>
                    <m:t>θ</m:t>
                  </m:r>
                </m:e>
                <m:sub>
                  <m:r>
                    <m:rPr>
                      <m:sty m:val="p"/>
                    </m:rPr>
                    <m:t>max</m:t>
                  </m:r>
                </m:sub>
              </m:sSub>
              <m:r>
                <m:rPr>
                  <m:sty m:val="p"/>
                </m:rPr>
                <m:t>−</m:t>
              </m:r>
              <m:sSub>
                <m:e>
                  <m:r>
                    <m:rPr>
                      <m:sty m:val="b"/>
                    </m:rPr>
                    <m:t>θ</m:t>
                  </m:r>
                </m:e>
                <m:sub>
                  <m:r>
                    <m:rPr>
                      <m:sty m:val="p"/>
                    </m:rPr>
                    <m:t>min</m:t>
                  </m:r>
                </m:sub>
              </m:sSub>
            </m:e>
          </m:d>
          <m:r>
            <m:rPr>
              <m:sty m:val="p"/>
            </m:rPr>
            <m:t>⊙</m:t>
          </m:r>
          <m:r>
            <m:t>σ</m:t>
          </m:r>
          <m:r>
            <m:t>​</m:t>
          </m:r>
          <m:d>
            <m:dPr>
              <m:begChr m:val="("/>
              <m:sepChr m:val=""/>
              <m:endChr m:val=")"/>
              <m:grow/>
            </m:dPr>
            <m:e>
              <m:sSub>
                <m:e>
                  <m:r>
                    <m:t>g</m:t>
                  </m:r>
                </m:e>
                <m:sub>
                  <m:r>
                    <m:rPr>
                      <m:sty m:val="b"/>
                    </m:rPr>
                    <m:t>w</m:t>
                  </m:r>
                </m:sub>
              </m:sSub>
              <m:d>
                <m:dPr>
                  <m:begChr m:val="("/>
                  <m:sepChr m:val=""/>
                  <m:endChr m:val=")"/>
                  <m:grow/>
                </m:dPr>
                <m:e>
                  <m:r>
                    <m:rPr>
                      <m:sty m:val="b"/>
                    </m:rPr>
                    <m:t>c</m:t>
                  </m:r>
                </m:e>
              </m:d>
            </m:e>
          </m:d>
          <m:r>
            <m:t>  </m:t>
          </m:r>
          <m:r>
            <m:t>  </m:t>
          </m:r>
          <m:d>
            <m:dPr>
              <m:begChr m:val="("/>
              <m:sepChr m:val=""/>
              <m:endChr m:val=")"/>
              <m:grow/>
            </m:dPr>
            <m:e>
              <m:r>
                <m:t>8</m:t>
              </m:r>
            </m:e>
          </m:d>
        </m:oMath>
      </m:oMathPara>
    </w:p>
    <w:p>
      <w:pPr>
        <w:pStyle w:val="FirstParagraph"/>
      </w:pPr>
      <w:r>
        <w:t xml:space="preserve">where</w:t>
      </w:r>
      <w:r>
        <w:t xml:space="preserve"> </w:t>
      </w:r>
      <m:oMath>
        <m:r>
          <m:t>σ</m:t>
        </m:r>
      </m:oMath>
      <w:r>
        <w:t xml:space="preserve"> </w:t>
      </w:r>
      <w:r>
        <w:t xml:space="preserve">is the logistic function and the bounds are</w:t>
      </w:r>
      <w:r>
        <w:t xml:space="preserve"> </w:t>
      </w:r>
      <m:oMath>
        <m:sSub>
          <m:e>
            <m:r>
              <m:rPr>
                <m:sty m:val="p"/>
              </m:rPr>
              <m:t>log</m:t>
            </m:r>
          </m:e>
          <m:sub>
            <m:r>
              <m:t>10</m:t>
            </m:r>
          </m:sub>
        </m:sSub>
        <m:sSub>
          <m:e>
            <m:r>
              <m:t>D</m:t>
            </m:r>
          </m:e>
          <m:sub>
            <m:r>
              <m:t>v</m:t>
            </m:r>
          </m:sub>
        </m:sSub>
        <m:r>
          <m:rPr>
            <m:sty m:val="p"/>
          </m:rPr>
          <m:t>∈</m:t>
        </m:r>
        <m:d>
          <m:dPr>
            <m:begChr m:val="["/>
            <m:sepChr m:val=""/>
            <m:endChr m:val="]"/>
            <m:grow/>
          </m:dPr>
          <m:e>
            <m:r>
              <m:rPr>
                <m:sty m:val="p"/>
              </m:rPr>
              <m:t>−</m:t>
            </m:r>
            <m:r>
              <m:t>12</m:t>
            </m:r>
            <m:r>
              <m:rPr>
                <m:sty m:val="p"/>
              </m:rPr>
              <m:t>,</m:t>
            </m:r>
            <m:r>
              <m:rPr>
                <m:sty m:val="p"/>
              </m:rPr>
              <m:t>−</m:t>
            </m:r>
            <m:r>
              <m:t>6</m:t>
            </m:r>
          </m:e>
        </m:d>
      </m:oMath>
      <w:r>
        <w:t xml:space="preserve"> </w:t>
      </w:r>
      <w:r>
        <w:t xml:space="preserve">and</w:t>
      </w:r>
      <w:r>
        <w:t xml:space="preserve"> </w:t>
      </w:r>
      <m:oMath>
        <m:sSub>
          <m:e>
            <m:r>
              <m:rPr>
                <m:sty m:val="p"/>
              </m:rPr>
              <m:t>log</m:t>
            </m:r>
          </m:e>
          <m:sub>
            <m:r>
              <m:t>10</m:t>
            </m:r>
          </m:sub>
        </m:sSub>
        <m:sSub>
          <m:e>
            <m:r>
              <m:t>K</m:t>
            </m:r>
          </m:e>
          <m:sub>
            <m:r>
              <m:rPr>
                <m:nor/>
              </m:rPr>
              <m:t>int</m:t>
            </m:r>
          </m:sub>
        </m:sSub>
        <m:r>
          <m:rPr>
            <m:sty m:val="p"/>
          </m:rPr>
          <m:t>∈</m:t>
        </m:r>
        <m:d>
          <m:dPr>
            <m:begChr m:val="["/>
            <m:sepChr m:val=""/>
            <m:endChr m:val="]"/>
            <m:grow/>
          </m:dPr>
          <m:e>
            <m:r>
              <m:rPr>
                <m:sty m:val="p"/>
              </m:rPr>
              <m:t>−</m:t>
            </m:r>
            <m:r>
              <m:t>23</m:t>
            </m:r>
            <m:r>
              <m:rPr>
                <m:sty m:val="p"/>
              </m:rPr>
              <m:t>,</m:t>
            </m:r>
            <m:r>
              <m:rPr>
                <m:sty m:val="p"/>
              </m:rPr>
              <m:t>−</m:t>
            </m:r>
            <m:r>
              <m:t>18</m:t>
            </m:r>
          </m:e>
        </m:d>
      </m:oMath>
      <w:r>
        <w:t xml:space="preserve">. The parameters feed a differentiable version of the finite-volume solver of Section 4.1, written with tensor operations and integrated by a linearly implicit Euler scheme on 240 logarithmically spaced time steps from 10⁻⁴ to 100 days. At each step the diffusivity is evaluated at the previous state and a linear system is solved, so that every operation is differentiable. The predicted average saturation is interpolated at the measurement times, and the network weights are obtained by minimising</w:t>
      </w:r>
    </w:p>
    <w:p>
      <w:pPr>
        <w:pStyle w:val="BodyText"/>
      </w:pPr>
      <m:oMathPara>
        <m:oMathParaPr>
          <m:jc m:val="center"/>
        </m:oMathParaPr>
        <m:oMath>
          <m:r>
            <m:rPr>
              <m:scr m:val="script"/>
              <m:sty m:val="p"/>
            </m:rPr>
            <m:t>L</m:t>
          </m:r>
          <m:d>
            <m:dPr>
              <m:begChr m:val="("/>
              <m:sepChr m:val=""/>
              <m:endChr m:val=")"/>
              <m:grow/>
            </m:dPr>
            <m:e>
              <m:r>
                <m:rPr>
                  <m:sty m:val="b"/>
                </m:rPr>
                <m:t>w</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sSub>
                        <m:e>
                          <m:r>
                            <m:t>S</m:t>
                          </m:r>
                        </m:e>
                        <m:sub>
                          <m:r>
                            <m:rPr>
                              <m:nor/>
                            </m:rPr>
                            <m:t>avg</m:t>
                          </m:r>
                        </m:sub>
                      </m:sSub>
                      <m:r>
                        <m:t>​</m:t>
                      </m:r>
                      <m:d>
                        <m:dPr>
                          <m:begChr m:val="("/>
                          <m:sepChr m:val=""/>
                          <m:endChr m:val=")"/>
                          <m:grow/>
                        </m:dPr>
                        <m:e>
                          <m:sSub>
                            <m:e>
                              <m:r>
                                <m:t>t</m:t>
                              </m:r>
                            </m:e>
                            <m:sub>
                              <m:r>
                                <m:t>j</m:t>
                              </m:r>
                            </m:sub>
                          </m:sSub>
                          <m:r>
                            <m:rPr>
                              <m:sty m:val="p"/>
                            </m:rPr>
                            <m:t>;</m:t>
                          </m:r>
                          <m:r>
                            <m:rPr>
                              <m:sty m:val="b"/>
                            </m:rPr>
                            <m:t>θ</m:t>
                          </m:r>
                          <m:d>
                            <m:dPr>
                              <m:begChr m:val="("/>
                              <m:sepChr m:val=""/>
                              <m:endChr m:val=")"/>
                              <m:grow/>
                            </m:dPr>
                            <m:e>
                              <m:sSub>
                                <m:e>
                                  <m:r>
                                    <m:rPr>
                                      <m:sty m:val="b"/>
                                    </m:rPr>
                                    <m:t>c</m:t>
                                  </m:r>
                                </m:e>
                                <m:sub>
                                  <m:r>
                                    <m:t>j</m:t>
                                  </m:r>
                                </m:sub>
                              </m:sSub>
                            </m:e>
                          </m:d>
                        </m:e>
                      </m:d>
                      <m:r>
                        <m:rPr>
                          <m:sty m:val="p"/>
                        </m:rPr>
                        <m:t>−</m:t>
                      </m:r>
                      <m:sSub>
                        <m:e>
                          <m:r>
                            <m:t>S</m:t>
                          </m:r>
                        </m:e>
                        <m:sub>
                          <m:r>
                            <m:rPr>
                              <m:nor/>
                            </m:rPr>
                            <m:t>avg</m:t>
                          </m:r>
                          <m:r>
                            <m:rPr>
                              <m:sty m:val="p"/>
                            </m:rPr>
                            <m:t>,</m:t>
                          </m:r>
                          <m:r>
                            <m:rPr>
                              <m:sty m:val="p"/>
                            </m:rPr>
                            <m:t>exp</m:t>
                          </m:r>
                        </m:sub>
                      </m:sSub>
                      <m:d>
                        <m:dPr>
                          <m:begChr m:val="("/>
                          <m:sepChr m:val=""/>
                          <m:endChr m:val=")"/>
                          <m:grow/>
                        </m:dPr>
                        <m:e>
                          <m:sSub>
                            <m:e>
                              <m:r>
                                <m:t>t</m:t>
                              </m:r>
                            </m:e>
                            <m:sub>
                              <m:r>
                                <m:t>j</m:t>
                              </m:r>
                            </m:sub>
                          </m:sSub>
                        </m:e>
                      </m:d>
                    </m:e>
                  </m:d>
                </m:e>
                <m:sup>
                  <m:r>
                    <m:t>2</m:t>
                  </m:r>
                </m:sup>
              </m:sSup>
            </m:e>
          </m:nary>
          <m:r>
            <m:t>  </m:t>
          </m:r>
          <m:r>
            <m:t>  </m:t>
          </m:r>
          <m:d>
            <m:dPr>
              <m:begChr m:val="("/>
              <m:sepChr m:val=""/>
              <m:endChr m:val=")"/>
              <m:grow/>
            </m:dPr>
            <m:e>
              <m:r>
                <m:t>9</m:t>
              </m:r>
            </m:e>
          </m:d>
        </m:oMath>
      </m:oMathPara>
    </w:p>
    <w:p>
      <w:pPr>
        <w:pStyle w:val="FirstParagraph"/>
      </w:pPr>
      <w:r>
        <w:t xml:space="preserve">over all training points, with gradients computed by automatic differentiation through the solver [26, 27]. The differentiable solver agrees with the BDF solver to about 3 × 10⁻³ in</w:t>
      </w:r>
      <w:r>
        <w:t xml:space="preserve"> </w:t>
      </w:r>
      <m:oMath>
        <m:sSub>
          <m:e>
            <m:r>
              <m:t>S</m:t>
            </m:r>
          </m:e>
          <m:sub>
            <m:r>
              <m:rPr>
                <m:nor/>
              </m:rPr>
              <m:t>avg</m:t>
            </m:r>
          </m:sub>
        </m:sSub>
      </m:oMath>
      <w:r>
        <w:t xml:space="preserve">. Training uses Adam [30] (learning rate 0.02, decay 0.995 per iteration, weight decay 10⁻⁴) for 400 full-batch iterations. Since the governing equation is solved rather than penalised, it holds to discretisation accuracy for any network weights, and the internal field</w:t>
      </w:r>
      <w:r>
        <w:t xml:space="preserve"> </w:t>
      </w:r>
      <m:oMath>
        <m:r>
          <m:t>S</m:t>
        </m:r>
        <m:d>
          <m:dPr>
            <m:begChr m:val="("/>
            <m:sepChr m:val=""/>
            <m:endChr m:val=")"/>
            <m:grow/>
          </m:dPr>
          <m:e>
            <m:r>
              <m:t>x</m:t>
            </m:r>
            <m:r>
              <m:rPr>
                <m:sty m:val="p"/>
              </m:rPr>
              <m:t>,</m:t>
            </m:r>
            <m:r>
              <m:t>t</m:t>
            </m:r>
          </m:e>
        </m:d>
      </m:oMath>
      <w:r>
        <w:t xml:space="preserve"> </w:t>
      </w:r>
      <w:r>
        <w:t xml:space="preserve">is a direct output of the solver.</w:t>
      </w:r>
    </w:p>
    <w:p>
      <w:pPr>
        <w:pStyle w:val="CaptionedFigure"/>
      </w:pPr>
      <w:r>
        <w:drawing>
          <wp:inline>
            <wp:extent cx="5334000" cy="2242494"/>
            <wp:effectExtent b="0" l="0" r="0" t="0"/>
            <wp:docPr descr="Fig. 2. Physics-embedded neural network. The parameter network predicts the transport parameters from the mix composition; the differentiable finite-volume solver returns the saturation field and its average; the data misfit is back-propagated through the solver to the network weights." title="" id="37" name="Picture"/>
            <a:graphic>
              <a:graphicData uri="http://schemas.openxmlformats.org/drawingml/2006/picture">
                <pic:pic>
                  <pic:nvPicPr>
                    <pic:cNvPr descr="fig2/fig_workflow.png" id="38" name="Picture"/>
                    <pic:cNvPicPr>
                      <a:picLocks noChangeArrowheads="1" noChangeAspect="1"/>
                    </pic:cNvPicPr>
                  </pic:nvPicPr>
                  <pic:blipFill>
                    <a:blip r:embed="rId36"/>
                    <a:stretch>
                      <a:fillRect/>
                    </a:stretch>
                  </pic:blipFill>
                  <pic:spPr bwMode="auto">
                    <a:xfrm>
                      <a:off x="0" y="0"/>
                      <a:ext cx="5334000" cy="2242494"/>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Physics-embedded neural network. The parameter network predicts the transport parameters from the mix composition; the differentiable finite-volume solver returns the saturation field and its average; the data misfit is back-propagated through the solver to the network weights.</w:t>
      </w:r>
    </w:p>
    <w:bookmarkEnd w:id="39"/>
    <w:bookmarkStart w:id="40" w:name="physics-informed-neural-network"/>
    <w:p>
      <w:pPr>
        <w:pStyle w:val="Heading2"/>
      </w:pPr>
      <w:r>
        <w:t xml:space="preserve">4.3 Physics-informed neural network</w:t>
      </w:r>
    </w:p>
    <w:p>
      <w:pPr>
        <w:pStyle w:val="FirstParagraph"/>
      </w:pPr>
      <w:r>
        <w:t xml:space="preserve">For comparison, a composition-aware PINN was trained on the same data with the same parameter network (8). A field network</w:t>
      </w:r>
      <w:r>
        <w:t xml:space="preserve"> </w:t>
      </w:r>
      <m:oMath>
        <m:r>
          <m:t>N</m:t>
        </m:r>
      </m:oMath>
      <w:r>
        <w:t xml:space="preserve"> </w:t>
      </w:r>
      <w:r>
        <w:t xml:space="preserve">with four hidden layers of 48 tanh neurons takes</w:t>
      </w:r>
      <w:r>
        <w:t xml:space="preserve"> </w:t>
      </w:r>
      <m:oMath>
        <m:d>
          <m:dPr>
            <m:begChr m:val="("/>
            <m:sepChr m:val=""/>
            <m:endChr m:val=")"/>
            <m:grow/>
          </m:dPr>
          <m:e>
            <m:r>
              <m:t>x</m:t>
            </m:r>
            <m:r>
              <m:rPr>
                <m:sty m:val="p"/>
              </m:rPr>
              <m:t>/</m:t>
            </m:r>
            <m:r>
              <m:t>L</m:t>
            </m:r>
            <m:r>
              <m:rPr>
                <m:sty m:val="p"/>
              </m:rPr>
              <m:t>,</m:t>
            </m:r>
            <m:rad>
              <m:radPr>
                <m:degHide m:val="on"/>
              </m:radPr>
              <m:deg/>
              <m:e>
                <m:r>
                  <m:t>t</m:t>
                </m:r>
                <m:r>
                  <m:rPr>
                    <m:sty m:val="p"/>
                  </m:rPr>
                  <m:t>/</m:t>
                </m:r>
                <m:sSub>
                  <m:e>
                    <m:r>
                      <m:t>t</m:t>
                    </m:r>
                  </m:e>
                  <m:sub>
                    <m:r>
                      <m:rPr>
                        <m:nor/>
                      </m:rPr>
                      <m:t>ref</m:t>
                    </m:r>
                  </m:sub>
                </m:sSub>
              </m:e>
            </m:rad>
            <m:r>
              <m:rPr>
                <m:sty m:val="p"/>
              </m:rPr>
              <m:t>,</m:t>
            </m:r>
            <m:r>
              <m:rPr>
                <m:sty m:val="b"/>
              </m:rPr>
              <m:t>c</m:t>
            </m:r>
          </m:e>
        </m:d>
      </m:oMath>
      <w:r>
        <w:t xml:space="preserve"> </w:t>
      </w:r>
      <w:r>
        <w:t xml:space="preserve">as inputs, with</w:t>
      </w:r>
      <w:r>
        <w:t xml:space="preserve"> </w:t>
      </w:r>
      <m:oMath>
        <m:sSub>
          <m:e>
            <m:r>
              <m:t>t</m:t>
            </m:r>
          </m:e>
          <m:sub>
            <m:r>
              <m:rPr>
                <m:nor/>
              </m:rPr>
              <m:t>ref</m:t>
            </m:r>
          </m:sub>
        </m:sSub>
        <m:r>
          <m:rPr>
            <m:sty m:val="p"/>
          </m:rPr>
          <m:t>=</m:t>
        </m:r>
        <m:r>
          <m:t>100</m:t>
        </m:r>
      </m:oMath>
      <w:r>
        <w:t xml:space="preserve"> </w:t>
      </w:r>
      <w:r>
        <w:t xml:space="preserve">days. The initial and boundary conditions are imposed exactly through the ansatz</w:t>
      </w:r>
    </w:p>
    <w:p>
      <w:pPr>
        <w:pStyle w:val="BodyText"/>
      </w:pPr>
      <m:oMathPara>
        <m:oMathParaPr>
          <m:jc m:val="center"/>
        </m:oMathParaPr>
        <m:oMath>
          <m:r>
            <m:t>S</m:t>
          </m:r>
          <m:r>
            <m:rPr>
              <m:sty m:val="p"/>
            </m:rPr>
            <m:t>=</m:t>
          </m:r>
          <m:r>
            <m:t>1</m:t>
          </m:r>
          <m:r>
            <m:rPr>
              <m:sty m:val="p"/>
            </m:rPr>
            <m:t>−</m:t>
          </m:r>
          <m:r>
            <m:rPr>
              <m:sty m:val="p"/>
            </m:rPr>
            <m:t>exp</m:t>
          </m:r>
          <m:d>
            <m:dPr>
              <m:begChr m:val="("/>
              <m:sepChr m:val=""/>
              <m:endChr m:val=")"/>
              <m:grow/>
            </m:dPr>
            <m:e>
              <m:r>
                <m:rPr>
                  <m:sty m:val="p"/>
                </m:rPr>
                <m:t>−</m:t>
              </m:r>
              <m:f>
                <m:fPr>
                  <m:type m:val="bar"/>
                </m:fPr>
                <m:num>
                  <m:r>
                    <m:t>ξ</m:t>
                  </m:r>
                </m:num>
                <m:den>
                  <m:r>
                    <m:t>s</m:t>
                  </m:r>
                </m:den>
              </m:f>
              <m:r>
                <m:t>A</m:t>
              </m:r>
            </m:e>
          </m:d>
          <m:r>
            <m:rPr>
              <m:sty m:val="p"/>
            </m:rPr>
            <m:t>,</m:t>
          </m:r>
          <m:r>
            <m:t>  </m:t>
          </m:r>
          <m:r>
            <m:t>A</m:t>
          </m:r>
          <m:r>
            <m:rPr>
              <m:sty m:val="p"/>
            </m:rPr>
            <m:t>=</m:t>
          </m:r>
          <m:r>
            <m:t>a</m:t>
          </m:r>
          <m:d>
            <m:dPr>
              <m:begChr m:val="("/>
              <m:sepChr m:val=""/>
              <m:endChr m:val=")"/>
              <m:grow/>
            </m:dPr>
            <m:e>
              <m:r>
                <m:t>s</m:t>
              </m:r>
            </m:e>
          </m:d>
          <m:r>
            <m:rPr>
              <m:sty m:val="p"/>
            </m:rPr>
            <m:t>+</m:t>
          </m:r>
          <m:r>
            <m:rPr>
              <m:nor/>
            </m:rPr>
            <m:t>softplus</m:t>
          </m:r>
          <m:d>
            <m:dPr>
              <m:begChr m:val="("/>
              <m:sepChr m:val=""/>
              <m:endChr m:val=")"/>
              <m:grow/>
            </m:dPr>
            <m:e>
              <m:r>
                <m:t>N</m:t>
              </m:r>
            </m:e>
          </m:d>
          <m:r>
            <m:rPr>
              <m:sty m:val="p"/>
            </m:rPr>
            <m:t>,</m:t>
          </m:r>
          <m:r>
            <m:t>  </m:t>
          </m:r>
          <m:r>
            <m:t>ξ</m:t>
          </m:r>
          <m:r>
            <m:rPr>
              <m:sty m:val="p"/>
            </m:rPr>
            <m:t>=</m:t>
          </m:r>
          <m:r>
            <m:t>x</m:t>
          </m:r>
          <m:r>
            <m:rPr>
              <m:sty m:val="p"/>
            </m:rPr>
            <m:t>/</m:t>
          </m:r>
          <m:r>
            <m:t>L</m:t>
          </m:r>
          <m:r>
            <m:rPr>
              <m:sty m:val="p"/>
            </m:rPr>
            <m:t>,</m:t>
          </m:r>
          <m:r>
            <m:t> </m:t>
          </m:r>
          <m:r>
            <m:t>s</m:t>
          </m:r>
          <m:r>
            <m:rPr>
              <m:sty m:val="p"/>
            </m:rPr>
            <m:t>=</m:t>
          </m:r>
          <m:rad>
            <m:radPr>
              <m:degHide m:val="on"/>
            </m:radPr>
            <m:deg/>
            <m:e>
              <m:r>
                <m:t>t</m:t>
              </m:r>
              <m:r>
                <m:rPr>
                  <m:sty m:val="p"/>
                </m:rPr>
                <m:t>/</m:t>
              </m:r>
              <m:sSub>
                <m:e>
                  <m:r>
                    <m:t>t</m:t>
                  </m:r>
                </m:e>
                <m:sub>
                  <m:r>
                    <m:rPr>
                      <m:nor/>
                    </m:rPr>
                    <m:t>ref</m:t>
                  </m:r>
                </m:sub>
              </m:sSub>
            </m:e>
          </m:rad>
          <m:r>
            <m:t>  </m:t>
          </m:r>
          <m:r>
            <m:t>  </m:t>
          </m:r>
          <m:d>
            <m:dPr>
              <m:begChr m:val="("/>
              <m:sepChr m:val=""/>
              <m:endChr m:val=")"/>
              <m:grow/>
            </m:dPr>
            <m:e>
              <m:r>
                <m:t>10</m:t>
              </m:r>
            </m:e>
          </m:d>
        </m:oMath>
      </m:oMathPara>
    </w:p>
    <w:p>
      <w:pPr>
        <w:pStyle w:val="FirstParagraph"/>
      </w:pPr>
      <w:r>
        <w:t xml:space="preserve">where</w:t>
      </w:r>
      <w:r>
        <w:t xml:space="preserve"> </w:t>
      </w:r>
      <m:oMath>
        <m:r>
          <m:t>a</m:t>
        </m:r>
        <m:d>
          <m:dPr>
            <m:begChr m:val="("/>
            <m:sepChr m:val=""/>
            <m:endChr m:val=")"/>
            <m:grow/>
          </m:dPr>
          <m:e>
            <m:r>
              <m:t>s</m:t>
            </m:r>
          </m:e>
        </m:d>
      </m:oMath>
      <w:r>
        <w:t xml:space="preserve"> </w:t>
      </w:r>
      <w:r>
        <w:t xml:space="preserve">is a lower bound described below. The loss combines the integral data misfit, the PDE residual written in the dimensionless variables (and weighted by</w:t>
      </w:r>
      <w:r>
        <w:t xml:space="preserve"> </w:t>
      </w:r>
      <m:oMath>
        <m:r>
          <m:t>t</m:t>
        </m:r>
        <m:r>
          <m:rPr>
            <m:sty m:val="p"/>
          </m:rPr>
          <m:t>/</m:t>
        </m:r>
        <m:sSub>
          <m:e>
            <m:r>
              <m:t>t</m:t>
            </m:r>
          </m:e>
          <m:sub>
            <m:r>
              <m:rPr>
                <m:nor/>
              </m:rPr>
              <m:t>ref</m:t>
            </m:r>
          </m:sub>
        </m:sSub>
      </m:oMath>
      <w:r>
        <w:t xml:space="preserve"> </w:t>
      </w:r>
      <w:r>
        <w:t xml:space="preserve">so that it remains bounded at early times), and the symmetry condition at</w:t>
      </w:r>
      <w:r>
        <w:t xml:space="preserve"> </w:t>
      </w:r>
      <m:oMath>
        <m:r>
          <m:t>ξ</m:t>
        </m:r>
        <m:r>
          <m:rPr>
            <m:sty m:val="p"/>
          </m:rPr>
          <m:t>=</m:t>
        </m:r>
        <m:r>
          <m:t>1</m:t>
        </m:r>
      </m:oMath>
      <w:r>
        <w:t xml:space="preserve">:</w:t>
      </w:r>
    </w:p>
    <w:p>
      <w:pPr>
        <w:pStyle w:val="BodyText"/>
      </w:pPr>
      <m:oMathPara>
        <m:oMathParaPr>
          <m:jc m:val="center"/>
        </m:oMathParaPr>
        <m:oMath>
          <m:r>
            <m:rPr>
              <m:scr m:val="script"/>
              <m:sty m:val="p"/>
            </m:rPr>
            <m:t>L</m:t>
          </m:r>
          <m:r>
            <m:rPr>
              <m:sty m:val="p"/>
            </m:rPr>
            <m:t>=</m:t>
          </m:r>
          <m:f>
            <m:fPr>
              <m:type m:val="bar"/>
            </m:fPr>
            <m:num>
              <m:r>
                <m:t>1</m:t>
              </m:r>
            </m:num>
            <m:den>
              <m:sSubSup>
                <m:e>
                  <m:r>
                    <m:t>σ</m:t>
                  </m:r>
                </m:e>
                <m:sub>
                  <m:r>
                    <m:t>d</m:t>
                  </m:r>
                </m:sub>
                <m:sup>
                  <m:r>
                    <m:t>2</m:t>
                  </m:r>
                </m:sup>
              </m:sSubSup>
            </m:den>
          </m:f>
          <m:r>
            <m:t> </m:t>
          </m:r>
          <m:sSub>
            <m:e>
              <m:r>
                <m:rPr>
                  <m:scr m:val="script"/>
                  <m:sty m:val="p"/>
                </m:rPr>
                <m:t>L</m:t>
              </m:r>
            </m:e>
            <m:sub>
              <m:r>
                <m:rPr>
                  <m:nor/>
                </m:rPr>
                <m:t>data</m:t>
              </m:r>
            </m:sub>
          </m:sSub>
          <m:r>
            <m:rPr>
              <m:sty m:val="p"/>
            </m:rPr>
            <m:t>+</m:t>
          </m:r>
          <m:sSub>
            <m:e>
              <m:r>
                <m:t>λ</m:t>
              </m:r>
            </m:e>
            <m:sub>
              <m:r>
                <m:rPr>
                  <m:nor/>
                </m:rPr>
                <m:t>PDE</m:t>
              </m:r>
            </m:sub>
          </m:sSub>
          <m:r>
            <m:t> </m:t>
          </m:r>
          <m:sSub>
            <m:e>
              <m:r>
                <m:rPr>
                  <m:scr m:val="script"/>
                  <m:sty m:val="p"/>
                </m:rPr>
                <m:t>L</m:t>
              </m:r>
            </m:e>
            <m:sub>
              <m:r>
                <m:rPr>
                  <m:nor/>
                </m:rPr>
                <m:t>PDE</m:t>
              </m:r>
            </m:sub>
          </m:sSub>
          <m:r>
            <m:rPr>
              <m:sty m:val="p"/>
            </m:rPr>
            <m:t>+</m:t>
          </m:r>
          <m:sSub>
            <m:e>
              <m:r>
                <m:t>λ</m:t>
              </m:r>
            </m:e>
            <m:sub>
              <m:r>
                <m:rPr>
                  <m:nor/>
                </m:rPr>
                <m:t>sym</m:t>
              </m:r>
            </m:sub>
          </m:sSub>
          <m:r>
            <m:t> </m:t>
          </m:r>
          <m:sSub>
            <m:e>
              <m:r>
                <m:rPr>
                  <m:scr m:val="script"/>
                  <m:sty m:val="p"/>
                </m:rPr>
                <m:t>L</m:t>
              </m:r>
            </m:e>
            <m:sub>
              <m:r>
                <m:rPr>
                  <m:nor/>
                </m:rPr>
                <m:t>sym</m:t>
              </m:r>
            </m:sub>
          </m:sSub>
          <m:r>
            <m:t>  </m:t>
          </m:r>
          <m:r>
            <m:t>  </m:t>
          </m:r>
          <m:d>
            <m:dPr>
              <m:begChr m:val="("/>
              <m:sepChr m:val=""/>
              <m:endChr m:val=")"/>
              <m:grow/>
            </m:dPr>
            <m:e>
              <m:r>
                <m:t>11</m:t>
              </m:r>
            </m:e>
          </m:d>
        </m:oMath>
      </m:oMathPara>
    </w:p>
    <w:p>
      <w:pPr>
        <w:pStyle w:val="FirstParagraph"/>
      </w:pPr>
      <w:r>
        <w:t xml:space="preserve">with</w:t>
      </w:r>
      <w:r>
        <w:t xml:space="preserve"> </w:t>
      </w:r>
      <m:oMath>
        <m:sSub>
          <m:e>
            <m:r>
              <m:t>σ</m:t>
            </m:r>
          </m:e>
          <m:sub>
            <m:r>
              <m:t>d</m:t>
            </m:r>
          </m:sub>
        </m:sSub>
        <m:r>
          <m:rPr>
            <m:sty m:val="p"/>
          </m:rPr>
          <m:t>=</m:t>
        </m:r>
        <m:r>
          <m:t>0.01</m:t>
        </m:r>
      </m:oMath>
      <w:r>
        <w:t xml:space="preserve">,</w:t>
      </w:r>
      <w:r>
        <w:t xml:space="preserve"> </w:t>
      </w:r>
      <m:oMath>
        <m:sSub>
          <m:e>
            <m:r>
              <m:t>λ</m:t>
            </m:r>
          </m:e>
          <m:sub>
            <m:r>
              <m:rPr>
                <m:nor/>
              </m:rPr>
              <m:t>PDE</m:t>
            </m:r>
          </m:sub>
        </m:sSub>
        <m:r>
          <m:rPr>
            <m:sty m:val="p"/>
          </m:rPr>
          <m:t>=</m:t>
        </m:r>
        <m:r>
          <m:t>10</m:t>
        </m:r>
      </m:oMath>
      <w:r>
        <w:t xml:space="preserve"> </w:t>
      </w:r>
      <w:r>
        <w:t xml:space="preserve">and</w:t>
      </w:r>
      <w:r>
        <w:t xml:space="preserve"> </w:t>
      </w:r>
      <m:oMath>
        <m:sSub>
          <m:e>
            <m:r>
              <m:t>λ</m:t>
            </m:r>
          </m:e>
          <m:sub>
            <m:r>
              <m:rPr>
                <m:nor/>
              </m:rPr>
              <m:t>sym</m:t>
            </m:r>
          </m:sub>
        </m:sSub>
        <m:r>
          <m:rPr>
            <m:sty m:val="p"/>
          </m:rPr>
          <m:t>=</m:t>
        </m:r>
        <m:r>
          <m:t>1</m:t>
        </m:r>
      </m:oMath>
      <w:r>
        <w:t xml:space="preserve">. Half of the 3,000 collocation points per iteration are sampled in the similarity variable</w:t>
      </w:r>
      <w:r>
        <w:t xml:space="preserve"> </w:t>
      </w:r>
      <m:oMath>
        <m:r>
          <m:t>ξ</m:t>
        </m:r>
        <m:r>
          <m:rPr>
            <m:sty m:val="p"/>
          </m:rPr>
          <m:t>/</m:t>
        </m:r>
        <m:r>
          <m:t>s</m:t>
        </m:r>
      </m:oMath>
      <w:r>
        <w:t xml:space="preserve"> </w:t>
      </w:r>
      <w:r>
        <w:t xml:space="preserve">so that the drying front is resolved at all times. Training uses 3,000 Adam iterations followed by 1,000 L-BFGS iterations.</w:t>
      </w:r>
    </w:p>
    <w:p>
      <w:pPr>
        <w:pStyle w:val="BodyText"/>
      </w:pPr>
      <w:r>
        <w:t xml:space="preserve">Without the lower bound</w:t>
      </w:r>
      <w:r>
        <w:t xml:space="preserve"> </w:t>
      </w:r>
      <m:oMath>
        <m:r>
          <m:t>a</m:t>
        </m:r>
        <m:d>
          <m:dPr>
            <m:begChr m:val="("/>
            <m:sepChr m:val=""/>
            <m:endChr m:val=")"/>
            <m:grow/>
          </m:dPr>
          <m:e>
            <m:r>
              <m:t>s</m:t>
            </m:r>
          </m:e>
        </m:d>
      </m:oMath>
      <w:r>
        <w:t xml:space="preserve">, the PINN systematically converged to a trivial solution in which the specimen dries almost instantly after</w:t>
      </w:r>
      <w:r>
        <w:t xml:space="preserve"> </w:t>
      </w:r>
      <m:oMath>
        <m:r>
          <m:t>t</m:t>
        </m:r>
        <m:r>
          <m:rPr>
            <m:sty m:val="p"/>
          </m:rPr>
          <m:t>=</m:t>
        </m:r>
        <m:r>
          <m:t>0</m:t>
        </m:r>
      </m:oMath>
      <w:r>
        <w:t xml:space="preserve">. This solution satisfies the residual almost everywhere and is a known failure mode of PINNs for stiff transport problems [23, 25]; causal weighting of the residual [25] did not remove it. The bound</w:t>
      </w:r>
      <w:r>
        <w:t xml:space="preserve"> </w:t>
      </w:r>
      <m:oMath>
        <m:r>
          <m:t>a</m:t>
        </m:r>
        <m:d>
          <m:dPr>
            <m:begChr m:val="("/>
            <m:sepChr m:val=""/>
            <m:endChr m:val=")"/>
            <m:grow/>
          </m:dPr>
          <m:e>
            <m:r>
              <m:t>s</m:t>
            </m:r>
          </m:e>
        </m:d>
        <m:r>
          <m:rPr>
            <m:sty m:val="p"/>
          </m:rPr>
          <m:t>=</m:t>
        </m:r>
        <m:r>
          <m:t>0.1</m:t>
        </m:r>
        <m:r>
          <m:rPr>
            <m:sty m:val="p"/>
          </m:rPr>
          <m:t>exp</m:t>
        </m:r>
        <m:d>
          <m:dPr>
            <m:begChr m:val="["/>
            <m:sepChr m:val=""/>
            <m:endChr m:val="]"/>
            <m:grow/>
          </m:dPr>
          <m:e>
            <m:r>
              <m:rPr>
                <m:sty m:val="p"/>
              </m:rPr>
              <m:t>−</m:t>
            </m:r>
            <m:sSup>
              <m:e>
                <m:d>
                  <m:dPr>
                    <m:begChr m:val="("/>
                    <m:sepChr m:val=""/>
                    <m:endChr m:val=")"/>
                    <m:grow/>
                  </m:dPr>
                  <m:e>
                    <m:r>
                      <m:t>s</m:t>
                    </m:r>
                    <m:r>
                      <m:rPr>
                        <m:sty m:val="p"/>
                      </m:rPr>
                      <m:t>/</m:t>
                    </m:r>
                    <m:r>
                      <m:t>0.2</m:t>
                    </m:r>
                  </m:e>
                </m:d>
              </m:e>
              <m:sup>
                <m:r>
                  <m:t>2</m:t>
                </m:r>
              </m:sup>
            </m:sSup>
          </m:e>
        </m:d>
      </m:oMath>
      <w:r>
        <w:t xml:space="preserve">, which limits the speed of the drying front at early times, prevents the collapse and is used for all reported PINN results.</w:t>
      </w:r>
    </w:p>
    <w:bookmarkEnd w:id="40"/>
    <w:bookmarkStart w:id="41" w:name="Xd2d8876ae49a1f38deaaf0c689db35f48a30ce3"/>
    <w:p>
      <w:pPr>
        <w:pStyle w:val="Heading2"/>
      </w:pPr>
      <w:r>
        <w:t xml:space="preserve">4.4 Data-driven baseline and validation protocol</w:t>
      </w:r>
    </w:p>
    <w:p>
      <w:pPr>
        <w:pStyle w:val="FirstParagraph"/>
      </w:pPr>
      <w:r>
        <w:t xml:space="preserve">The purely data-driven baseline is a network with four hidden layers of 48 tanh neurons mapping</w:t>
      </w:r>
      <w:r>
        <w:t xml:space="preserve"> </w:t>
      </w:r>
      <m:oMath>
        <m:d>
          <m:dPr>
            <m:begChr m:val="("/>
            <m:sepChr m:val=""/>
            <m:endChr m:val=")"/>
            <m:grow/>
          </m:dPr>
          <m:e>
            <m:rad>
              <m:radPr>
                <m:degHide m:val="on"/>
              </m:radPr>
              <m:deg/>
              <m:e>
                <m:r>
                  <m:t>t</m:t>
                </m:r>
                <m:r>
                  <m:rPr>
                    <m:sty m:val="p"/>
                  </m:rPr>
                  <m:t>/</m:t>
                </m:r>
                <m:sSub>
                  <m:e>
                    <m:r>
                      <m:t>t</m:t>
                    </m:r>
                  </m:e>
                  <m:sub>
                    <m:r>
                      <m:rPr>
                        <m:nor/>
                      </m:rPr>
                      <m:t>ref</m:t>
                    </m:r>
                  </m:sub>
                </m:sSub>
              </m:e>
            </m:rad>
            <m:r>
              <m:rPr>
                <m:sty m:val="p"/>
              </m:rPr>
              <m:t>,</m:t>
            </m:r>
            <m:r>
              <m:rPr>
                <m:sty m:val="b"/>
              </m:rPr>
              <m:t>c</m:t>
            </m:r>
          </m:e>
        </m:d>
      </m:oMath>
      <w:r>
        <w:t xml:space="preserve"> </w:t>
      </w:r>
      <w:r>
        <w:t xml:space="preserve">directly to</w:t>
      </w:r>
      <w:r>
        <w:t xml:space="preserve"> </w:t>
      </w:r>
      <m:oMath>
        <m:sSub>
          <m:e>
            <m:r>
              <m:t>S</m:t>
            </m:r>
          </m:e>
          <m:sub>
            <m:r>
              <m:rPr>
                <m:nor/>
              </m:rPr>
              <m:t>avg</m:t>
            </m:r>
          </m:sub>
        </m:sSub>
      </m:oMath>
      <w:r>
        <w:t xml:space="preserve">, trained with Adam for 4,000 iterations. As an ablation, the PINN was also trained without the PDE residual.</w:t>
      </w:r>
    </w:p>
    <w:p>
      <w:pPr>
        <w:pStyle w:val="BodyText"/>
      </w:pPr>
      <w:r>
        <w:t xml:space="preserve">Six mixes covering the four binder families and three w/b ratios — C-0.4, C-0.5, F10S10-0.3, F20-0.3, F20S20-0.4 and S40-0.4 (278 points) — were withheld from all training and parameter regression. The remaining 14 mixes (654 points) were used for training. The neural models were trained with five (PENN, data-driven network) or three (PINN) random seeds, and results are reported as mean ± standard deviation. Accuracy is measured by</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sSub>
                            <m:e>
                              <m:acc>
                                <m:accPr>
                                  <m:chr m:val="̂"/>
                                </m:accPr>
                                <m:e>
                                  <m:r>
                                    <m:t>y</m:t>
                                  </m:r>
                                </m:e>
                              </m:acc>
                            </m:e>
                            <m:sub>
                              <m:r>
                                <m:t>j</m:t>
                              </m:r>
                            </m:sub>
                          </m:sSub>
                        </m:e>
                      </m:d>
                    </m:e>
                    <m:sup>
                      <m:r>
                        <m:t>2</m:t>
                      </m:r>
                    </m:sup>
                  </m:sSup>
                </m:e>
              </m:nary>
            </m:num>
            <m:den>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acc>
                            <m:accPr>
                              <m:chr m:val="‾"/>
                            </m:accPr>
                            <m:e>
                              <m:r>
                                <m:t>y</m:t>
                              </m:r>
                            </m:e>
                          </m:acc>
                        </m:e>
                      </m:d>
                    </m:e>
                    <m:sup>
                      <m:r>
                        <m:t>2</m:t>
                      </m:r>
                    </m:sup>
                  </m:sSup>
                </m:e>
              </m:nary>
            </m:den>
          </m:f>
          <m:r>
            <m:rPr>
              <m:sty m:val="p"/>
            </m:rPr>
            <m:t>,</m:t>
          </m:r>
          <m:r>
            <m:t>  </m:t>
          </m:r>
          <m:r>
            <m:rPr>
              <m:nor/>
            </m:rPr>
            <m:t>RMSE</m:t>
          </m:r>
          <m:r>
            <m:rPr>
              <m:sty m:val="p"/>
            </m:rPr>
            <m:t>=</m:t>
          </m:r>
          <m:rad>
            <m:radPr>
              <m:degHide m:val="on"/>
            </m:radPr>
            <m:deg/>
            <m:e>
              <m:f>
                <m:fPr>
                  <m:type m:val="bar"/>
                </m:fPr>
                <m:num>
                  <m:r>
                    <m:t>1</m:t>
                  </m:r>
                </m:num>
                <m:den>
                  <m:r>
                    <m:t>N</m:t>
                  </m:r>
                </m:den>
              </m:f>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sSub>
                            <m:e>
                              <m:acc>
                                <m:accPr>
                                  <m:chr m:val="̂"/>
                                </m:accPr>
                                <m:e>
                                  <m:r>
                                    <m:t>y</m:t>
                                  </m:r>
                                </m:e>
                              </m:acc>
                            </m:e>
                            <m:sub>
                              <m:r>
                                <m:t>j</m:t>
                              </m:r>
                            </m:sub>
                          </m:sSub>
                        </m:e>
                      </m:d>
                    </m:e>
                    <m:sup>
                      <m:r>
                        <m:t>2</m:t>
                      </m:r>
                    </m:sup>
                  </m:sSup>
                </m:e>
              </m:nary>
            </m:e>
          </m:rad>
          <m:r>
            <m:t>  </m:t>
          </m:r>
          <m:r>
            <m:t>  </m:t>
          </m:r>
          <m:d>
            <m:dPr>
              <m:begChr m:val="("/>
              <m:sepChr m:val=""/>
              <m:endChr m:val=")"/>
              <m:grow/>
            </m:dPr>
            <m:e>
              <m:r>
                <m:t>12</m:t>
              </m:r>
            </m:e>
          </m:d>
        </m:oMath>
      </m:oMathPara>
    </w:p>
    <w:p>
      <w:pPr>
        <w:pStyle w:val="FirstParagraph"/>
      </w:pPr>
      <w:r>
        <w:t xml:space="preserve">Finally, the physical consistency of each model is tested by inserting its predicted parameters into the independent BDF solver of Section 4.1, without any fitting, and comparing the resulting curves with the model output (</w:t>
      </w:r>
      <w:r>
        <w:rPr>
          <w:iCs/>
          <w:i/>
        </w:rPr>
        <w:t xml:space="preserve">forward verification</w:t>
      </w:r>
      <w:r>
        <w:t xml:space="preserve">). All computations ran on a single CPU core.</w:t>
      </w:r>
    </w:p>
    <w:bookmarkEnd w:id="41"/>
    <w:bookmarkEnd w:id="42"/>
    <w:bookmarkStart w:id="66" w:name="results"/>
    <w:p>
      <w:pPr>
        <w:pStyle w:val="Heading1"/>
      </w:pPr>
      <w:r>
        <w:t xml:space="preserve">5 Results</w:t>
      </w:r>
    </w:p>
    <w:bookmarkStart w:id="43" w:name="classical-identification"/>
    <w:p>
      <w:pPr>
        <w:pStyle w:val="Heading2"/>
      </w:pPr>
      <w:r>
        <w:t xml:space="preserve">5.1 Classical identification</w:t>
      </w:r>
    </w:p>
    <w:p>
      <w:pPr>
        <w:pStyle w:val="FirstParagraph"/>
      </w:pPr>
      <w:r>
        <w:t xml:space="preserve">With the two identifiable parameters, the classical solver reproduces every drying curve with</w:t>
      </w:r>
      <w:r>
        <w:t xml:space="preserve"> </w:t>
      </w:r>
      <m:oMath>
        <m:sSup>
          <m:e>
            <m:r>
              <m:t>R</m:t>
            </m:r>
          </m:e>
          <m:sup>
            <m:r>
              <m:t>2</m:t>
            </m:r>
          </m:sup>
        </m:sSup>
      </m:oMath>
      <w:r>
        <w:t xml:space="preserve"> </w:t>
      </w:r>
      <w:r>
        <w:t xml:space="preserve">between 0.9945 and 0.9995 (median 0.9988, median RMSE 0.0054), at about 24 s per mix. The identified reference diffusivities range from 10</w:t>
      </w:r>
      <w:r>
        <w:rPr>
          <w:vertAlign w:val="superscript"/>
        </w:rPr>
        <w:t xml:space="preserve">−9.82</w:t>
      </w:r>
      <w:r>
        <w:t xml:space="preserve"> </w:t>
      </w:r>
      <w:r>
        <w:t xml:space="preserve">to 10</w:t>
      </w:r>
      <w:r>
        <w:rPr>
          <w:vertAlign w:val="superscript"/>
        </w:rPr>
        <w:t xml:space="preserve">−9.02</w:t>
      </w:r>
      <w:r>
        <w:t xml:space="preserve"> </w:t>
      </w:r>
      <w:r>
        <w:t xml:space="preserve">m²/s and the intrinsic permeabilities from 10</w:t>
      </w:r>
      <w:r>
        <w:rPr>
          <w:vertAlign w:val="superscript"/>
        </w:rPr>
        <w:t xml:space="preserve">−19.90</w:t>
      </w:r>
      <w:r>
        <w:t xml:space="preserve"> </w:t>
      </w:r>
      <w:r>
        <w:t xml:space="preserve">to 10</w:t>
      </w:r>
      <w:r>
        <w:rPr>
          <w:vertAlign w:val="superscript"/>
        </w:rPr>
        <w:t xml:space="preserve">−19.00</w:t>
      </w:r>
      <w:r>
        <w:t xml:space="preserve"> </w:t>
      </w:r>
      <w:r>
        <w:t xml:space="preserve">m², both within the ranges reported for cementitious materials [4, 5]. These per-mix fits use the data of each mix and serve as the reference parameters in the following sections.</w:t>
      </w:r>
    </w:p>
    <w:bookmarkEnd w:id="43"/>
    <w:bookmarkStart w:id="50" w:name="prediction-of-unseen-mixes"/>
    <w:p>
      <w:pPr>
        <w:pStyle w:val="Heading2"/>
      </w:pPr>
      <w:r>
        <w:t xml:space="preserve">5.2 Prediction of unseen mixes</w:t>
      </w:r>
    </w:p>
    <w:p>
      <w:pPr>
        <w:pStyle w:val="FirstParagraph"/>
      </w:pPr>
      <w:r>
        <w:t xml:space="preserve">Table 4 compares the methods on the six withheld mixes, and Fig. 3 shows the predicted curves. The PENN reaches</w:t>
      </w:r>
      <w:r>
        <w:t xml:space="preserve"> </w:t>
      </w:r>
      <m:oMath>
        <m:sSup>
          <m:e>
            <m:r>
              <m:t>R</m:t>
            </m:r>
          </m:e>
          <m:sup>
            <m:r>
              <m:t>2</m:t>
            </m:r>
          </m:sup>
        </m:sSup>
      </m:oMath>
      <w:r>
        <w:t xml:space="preserve"> </w:t>
      </w:r>
      <w:r>
        <w:t xml:space="preserve">= 0.9935 ± 0.0001 and RMSE = 0.0133 ± 0.0001, with</w:t>
      </w:r>
      <w:r>
        <w:t xml:space="preserve"> </w:t>
      </w:r>
      <m:oMath>
        <m:sSup>
          <m:e>
            <m:r>
              <m:t>R</m:t>
            </m:r>
          </m:e>
          <m:sup>
            <m:r>
              <m:t>2</m:t>
            </m:r>
          </m:sup>
        </m:sSup>
      </m:oMath>
      <w:r>
        <w:t xml:space="preserve"> </w:t>
      </w:r>
      <w:r>
        <w:t xml:space="preserve">between 0.981 (S40-0.4) and 0.998 (F20S20-0.4) for the individual mixes (Table 5). Its error is 34% lower than that of the data-driven network (RMSE 0.0202) and 38% lower than that of the PINN (0.0216). The classical FD + regression route gives the same accuracy (RMSE 0.0131), which is expected since both approaches solve the same equation and differ only in how the parameters are linked to composition. For reference, fitting the classical solver directly to the withheld curves, which uses their data, gives RMSE = 0.0059; the remaining gap reflects the information lost when parameters are predicted from three composition descriptors only.</w:t>
      </w:r>
    </w:p>
    <w:p>
      <w:pPr>
        <w:pStyle w:val="TableCaption"/>
      </w:pPr>
      <w:r>
        <w:rPr>
          <w:bCs/>
          <w:b/>
        </w:rPr>
        <w:t xml:space="preserve">Table 4.</w:t>
      </w:r>
      <w:r>
        <w:t xml:space="preserve"> </w:t>
      </w:r>
      <w:r>
        <w:t xml:space="preserve">Accuracy on the six withheld mixes (278 points).</w:t>
      </w:r>
      <w:r>
        <w:t xml:space="preserve"> </w:t>
      </w:r>
      <w:r>
        <w:rPr>
          <w:vertAlign w:val="superscript"/>
        </w:rPr>
        <w:t xml:space="preserve">a</w:t>
      </w:r>
      <w:r>
        <w:t xml:space="preserve"> </w:t>
      </w:r>
      <w:r>
        <w:t xml:space="preserve">Sum of the 14 per-mix fits.</w:t>
      </w:r>
    </w:p>
    <w:tbl>
      <w:tblPr>
        <w:tblStyle w:val="Table"/>
        <w:tblW w:type="pct" w:w="5000"/>
        <w:jc w:val="center"/>
        <w:tblLook w:firstRow="1" w:lastRow="0" w:firstColumn="0" w:lastColumn="0" w:noHBand="0" w:noVBand="0" w:val="0020"/>
        <w:tblCaption w:val="Table 4. Accuracy on the six withheld mixes (278 points). a Sum of the 14 per-mix fits."/>
      </w:tblPr>
      <w:tblGrid>
        <w:gridCol w:w="5462"/>
        <w:gridCol w:w="819"/>
        <w:gridCol w:w="819"/>
        <w:gridCol w:w="819"/>
      </w:tblGrid>
      <w:tr>
        <w:trPr>
          <w:tblHeader w:val="true"/>
        </w:trPr>
        <w:tc>
          <w:tcPr/>
          <w:p>
            <w:pPr>
              <w:pStyle w:val="Compact"/>
              <w:jc w:val="left"/>
            </w:pPr>
            <w:r>
              <w:t xml:space="preserve">Method</w:t>
            </w:r>
          </w:p>
        </w:tc>
        <w:tc>
          <w:tcPr/>
          <w:p>
            <w:pPr>
              <w:pStyle w:val="Compact"/>
              <w:jc w:val="center"/>
            </w:pPr>
            <m:oMath>
              <m:sSup>
                <m:e>
                  <m:r>
                    <m:t>R</m:t>
                  </m:r>
                </m:e>
                <m:sup>
                  <m:r>
                    <m:t>2</m:t>
                  </m:r>
                </m:sup>
              </m:sSup>
            </m:oMath>
          </w:p>
        </w:tc>
        <w:tc>
          <w:tcPr/>
          <w:p>
            <w:pPr>
              <w:pStyle w:val="Compact"/>
              <w:jc w:val="center"/>
            </w:pPr>
            <w:r>
              <w:t xml:space="preserve">RMSE</w:t>
            </w:r>
          </w:p>
        </w:tc>
        <w:tc>
          <w:tcPr/>
          <w:p>
            <w:pPr>
              <w:pStyle w:val="Compact"/>
              <w:jc w:val="center"/>
            </w:pPr>
            <w:r>
              <w:t xml:space="preserve">Training time</w:t>
            </w:r>
          </w:p>
        </w:tc>
      </w:tr>
      <w:tr>
        <w:tc>
          <w:tcPr/>
          <w:p>
            <w:pPr>
              <w:pStyle w:val="Compact"/>
              <w:jc w:val="left"/>
            </w:pPr>
            <w:r>
              <w:t xml:space="preserve">Physics-embedded neural network (PENN)</w:t>
            </w:r>
          </w:p>
        </w:tc>
        <w:tc>
          <w:tcPr/>
          <w:p>
            <w:pPr>
              <w:pStyle w:val="Compact"/>
              <w:jc w:val="center"/>
            </w:pPr>
            <w:r>
              <w:t xml:space="preserve">0.9935 ± 0.0001</w:t>
            </w:r>
          </w:p>
        </w:tc>
        <w:tc>
          <w:tcPr/>
          <w:p>
            <w:pPr>
              <w:pStyle w:val="Compact"/>
              <w:jc w:val="center"/>
            </w:pPr>
            <w:r>
              <w:t xml:space="preserve">0.0133 ± 0.0001</w:t>
            </w:r>
          </w:p>
        </w:tc>
        <w:tc>
          <w:tcPr/>
          <w:p>
            <w:pPr>
              <w:pStyle w:val="Compact"/>
              <w:jc w:val="center"/>
            </w:pPr>
            <w:r>
              <w:t xml:space="preserve">291 s</w:t>
            </w:r>
          </w:p>
        </w:tc>
      </w:tr>
      <w:tr>
        <w:tc>
          <w:tcPr/>
          <w:p>
            <w:pPr>
              <w:pStyle w:val="Compact"/>
              <w:jc w:val="left"/>
            </w:pPr>
            <w:r>
              <w:t xml:space="preserve">Classical FD + regression on composition</w:t>
            </w:r>
          </w:p>
        </w:tc>
        <w:tc>
          <w:tcPr/>
          <w:p>
            <w:pPr>
              <w:pStyle w:val="Compact"/>
              <w:jc w:val="center"/>
            </w:pPr>
            <w:r>
              <w:t xml:space="preserve">0.9938</w:t>
            </w:r>
          </w:p>
        </w:tc>
        <w:tc>
          <w:tcPr/>
          <w:p>
            <w:pPr>
              <w:pStyle w:val="Compact"/>
              <w:jc w:val="center"/>
            </w:pPr>
            <w:r>
              <w:t xml:space="preserve">0.0131</w:t>
            </w:r>
          </w:p>
        </w:tc>
        <w:tc>
          <w:tcPr/>
          <w:p>
            <w:pPr>
              <w:pStyle w:val="Compact"/>
              <w:jc w:val="center"/>
            </w:pPr>
            <w:r>
              <w:t xml:space="preserve">364 s</w:t>
            </w:r>
            <w:r>
              <w:rPr>
                <w:vertAlign w:val="superscript"/>
              </w:rPr>
              <w:t xml:space="preserve">a</w:t>
            </w:r>
          </w:p>
        </w:tc>
      </w:tr>
      <w:tr>
        <w:tc>
          <w:tcPr/>
          <w:p>
            <w:pPr>
              <w:pStyle w:val="Compact"/>
              <w:jc w:val="left"/>
            </w:pPr>
            <w:r>
              <w:t xml:space="preserve">Data-driven network</w:t>
            </w:r>
          </w:p>
        </w:tc>
        <w:tc>
          <w:tcPr/>
          <w:p>
            <w:pPr>
              <w:pStyle w:val="Compact"/>
              <w:jc w:val="center"/>
            </w:pPr>
            <w:r>
              <w:t xml:space="preserve">0.9852 ± 0.0012</w:t>
            </w:r>
          </w:p>
        </w:tc>
        <w:tc>
          <w:tcPr/>
          <w:p>
            <w:pPr>
              <w:pStyle w:val="Compact"/>
              <w:jc w:val="center"/>
            </w:pPr>
            <w:r>
              <w:t xml:space="preserve">0.0202 ± 0.0008</w:t>
            </w:r>
          </w:p>
        </w:tc>
        <w:tc>
          <w:tcPr/>
          <w:p>
            <w:pPr>
              <w:pStyle w:val="Compact"/>
              <w:jc w:val="center"/>
            </w:pPr>
            <w:r>
              <w:t xml:space="preserve">9 s</w:t>
            </w:r>
          </w:p>
        </w:tc>
      </w:tr>
      <w:tr>
        <w:tc>
          <w:tcPr/>
          <w:p>
            <w:pPr>
              <w:pStyle w:val="Compact"/>
              <w:jc w:val="left"/>
            </w:pPr>
            <w:r>
              <w:t xml:space="preserve">PINN</w:t>
            </w:r>
          </w:p>
        </w:tc>
        <w:tc>
          <w:tcPr/>
          <w:p>
            <w:pPr>
              <w:pStyle w:val="Compact"/>
              <w:jc w:val="center"/>
            </w:pPr>
            <w:r>
              <w:t xml:space="preserve">0.9826 ± 0.0071</w:t>
            </w:r>
          </w:p>
        </w:tc>
        <w:tc>
          <w:tcPr/>
          <w:p>
            <w:pPr>
              <w:pStyle w:val="Compact"/>
              <w:jc w:val="center"/>
            </w:pPr>
            <w:r>
              <w:t xml:space="preserve">0.0216 ± 0.0043</w:t>
            </w:r>
          </w:p>
        </w:tc>
        <w:tc>
          <w:tcPr/>
          <w:p>
            <w:pPr>
              <w:pStyle w:val="Compact"/>
              <w:jc w:val="center"/>
            </w:pPr>
            <w:r>
              <w:t xml:space="preserve">438 s</w:t>
            </w:r>
          </w:p>
        </w:tc>
      </w:tr>
      <w:tr>
        <w:tc>
          <w:tcPr/>
          <w:p>
            <w:pPr>
              <w:pStyle w:val="Compact"/>
              <w:jc w:val="left"/>
            </w:pPr>
            <w:r>
              <w:t xml:space="preserve">PINN without PDE residual</w:t>
            </w:r>
          </w:p>
        </w:tc>
        <w:tc>
          <w:tcPr/>
          <w:p>
            <w:pPr>
              <w:pStyle w:val="Compact"/>
              <w:jc w:val="center"/>
            </w:pPr>
            <w:r>
              <w:t xml:space="preserve">0.9411 ± 0.0640</w:t>
            </w:r>
          </w:p>
        </w:tc>
        <w:tc>
          <w:tcPr/>
          <w:p>
            <w:pPr>
              <w:pStyle w:val="Compact"/>
              <w:jc w:val="center"/>
            </w:pPr>
            <w:r>
              <w:t xml:space="preserve">0.0365 ± 0.0210</w:t>
            </w:r>
          </w:p>
        </w:tc>
        <w:tc>
          <w:tcPr/>
          <w:p>
            <w:pPr>
              <w:pStyle w:val="Compact"/>
              <w:jc w:val="center"/>
            </w:pPr>
            <w:r>
              <w:t xml:space="preserve">197 s</w:t>
            </w:r>
          </w:p>
        </w:tc>
      </w:tr>
      <w:tr>
        <w:tc>
          <w:tcPr/>
          <w:p>
            <w:pPr>
              <w:pStyle w:val="Compact"/>
              <w:jc w:val="left"/>
            </w:pPr>
            <w:r>
              <w:rPr>
                <w:iCs/>
                <w:i/>
              </w:rPr>
              <w:t xml:space="preserve">Reference: FD fitted to each withheld mix</w:t>
            </w:r>
          </w:p>
        </w:tc>
        <w:tc>
          <w:tcPr/>
          <w:p>
            <w:pPr>
              <w:pStyle w:val="Compact"/>
              <w:jc w:val="center"/>
            </w:pPr>
            <w:r>
              <w:rPr>
                <w:iCs/>
                <w:i/>
              </w:rPr>
              <w:t xml:space="preserve">0.9987</w:t>
            </w:r>
          </w:p>
        </w:tc>
        <w:tc>
          <w:tcPr/>
          <w:p>
            <w:pPr>
              <w:pStyle w:val="Compact"/>
              <w:jc w:val="center"/>
            </w:pPr>
            <w:r>
              <w:rPr>
                <w:iCs/>
                <w:i/>
              </w:rPr>
              <w:t xml:space="preserve">0.0059</w:t>
            </w:r>
          </w:p>
        </w:tc>
        <w:tc>
          <w:tcPr/>
          <w:p>
            <w:pPr>
              <w:pStyle w:val="Compact"/>
              <w:jc w:val="center"/>
            </w:pPr>
            <w:r>
              <w:rPr>
                <w:iCs/>
                <w:i/>
              </w:rPr>
              <w:t xml:space="preserve">24 s per mix</w:t>
            </w:r>
          </w:p>
        </w:tc>
      </w:tr>
    </w:tbl>
    <w:p/>
    <w:p>
      <w:pPr>
        <w:pStyle w:val="TableCaption"/>
      </w:pPr>
      <w:r>
        <w:rPr>
          <w:bCs/>
          <w:b/>
        </w:rPr>
        <w:t xml:space="preserve">Table 5.</w:t>
      </w:r>
      <w:r>
        <w:t xml:space="preserve"> </w:t>
      </w:r>
      <w:r>
        <w:t xml:space="preserve">Coefficient of determination for each withheld mix (mean over seeds).</w:t>
      </w:r>
    </w:p>
    <w:tbl>
      <w:tblPr>
        <w:tblStyle w:val="Table"/>
        <w:tblW w:type="auto" w:w="0"/>
        <w:jc w:val="center"/>
        <w:tblLook w:firstRow="1" w:lastRow="0" w:firstColumn="0" w:lastColumn="0" w:noHBand="0" w:noVBand="0" w:val="0020"/>
        <w:tblCaption w:val="Table 5. Coefficient of determination for each withheld mix (mean over seeds)."/>
      </w:tblPr>
      <w:tblGrid>
        <w:gridCol w:w="1584"/>
        <w:gridCol w:w="1584"/>
        <w:gridCol w:w="1584"/>
        <w:gridCol w:w="1584"/>
        <w:gridCol w:w="1584"/>
      </w:tblGrid>
      <w:tr>
        <w:trPr>
          <w:tblHeader w:val="true"/>
        </w:trPr>
        <w:tc>
          <w:tcPr/>
          <w:p>
            <w:pPr>
              <w:pStyle w:val="Compact"/>
              <w:jc w:val="left"/>
            </w:pPr>
            <w:r>
              <w:t xml:space="preserve">Mix</w:t>
            </w:r>
          </w:p>
        </w:tc>
        <w:tc>
          <w:tcPr/>
          <w:p>
            <w:pPr>
              <w:pStyle w:val="Compact"/>
              <w:jc w:val="center"/>
            </w:pPr>
            <w:r>
              <w:t xml:space="preserve">PENN</w:t>
            </w:r>
          </w:p>
        </w:tc>
        <w:tc>
          <w:tcPr/>
          <w:p>
            <w:pPr>
              <w:pStyle w:val="Compact"/>
              <w:jc w:val="center"/>
            </w:pPr>
            <w:r>
              <w:t xml:space="preserve">FD + regression</w:t>
            </w:r>
          </w:p>
        </w:tc>
        <w:tc>
          <w:tcPr/>
          <w:p>
            <w:pPr>
              <w:pStyle w:val="Compact"/>
              <w:jc w:val="center"/>
            </w:pPr>
            <w:r>
              <w:t xml:space="preserve">Data-driven</w:t>
            </w:r>
          </w:p>
        </w:tc>
        <w:tc>
          <w:tcPr/>
          <w:p>
            <w:pPr>
              <w:pStyle w:val="Compact"/>
              <w:jc w:val="center"/>
            </w:pPr>
            <w:r>
              <w:t xml:space="preserve">PINN</w:t>
            </w:r>
          </w:p>
        </w:tc>
      </w:tr>
      <w:tr>
        <w:tc>
          <w:tcPr/>
          <w:p>
            <w:pPr>
              <w:pStyle w:val="Compact"/>
              <w:jc w:val="left"/>
            </w:pPr>
            <w:r>
              <w:t xml:space="preserve">C-0.4</w:t>
            </w:r>
          </w:p>
        </w:tc>
        <w:tc>
          <w:tcPr/>
          <w:p>
            <w:pPr>
              <w:pStyle w:val="Compact"/>
              <w:jc w:val="center"/>
            </w:pPr>
            <w:r>
              <w:t xml:space="preserve">0.994</w:t>
            </w:r>
          </w:p>
        </w:tc>
        <w:tc>
          <w:tcPr/>
          <w:p>
            <w:pPr>
              <w:pStyle w:val="Compact"/>
              <w:jc w:val="center"/>
            </w:pPr>
            <w:r>
              <w:t xml:space="preserve">0.993</w:t>
            </w:r>
          </w:p>
        </w:tc>
        <w:tc>
          <w:tcPr/>
          <w:p>
            <w:pPr>
              <w:pStyle w:val="Compact"/>
              <w:jc w:val="center"/>
            </w:pPr>
            <w:r>
              <w:t xml:space="preserve">0.995</w:t>
            </w:r>
          </w:p>
        </w:tc>
        <w:tc>
          <w:tcPr/>
          <w:p>
            <w:pPr>
              <w:pStyle w:val="Compact"/>
              <w:jc w:val="center"/>
            </w:pPr>
            <w:r>
              <w:t xml:space="preserve">0.985</w:t>
            </w:r>
          </w:p>
        </w:tc>
      </w:tr>
      <w:tr>
        <w:tc>
          <w:tcPr/>
          <w:p>
            <w:pPr>
              <w:pStyle w:val="Compact"/>
              <w:jc w:val="left"/>
            </w:pPr>
            <w:r>
              <w:t xml:space="preserve">C-0.5</w:t>
            </w:r>
          </w:p>
        </w:tc>
        <w:tc>
          <w:tcPr/>
          <w:p>
            <w:pPr>
              <w:pStyle w:val="Compact"/>
              <w:jc w:val="center"/>
            </w:pPr>
            <w:r>
              <w:t xml:space="preserve">0.990</w:t>
            </w:r>
          </w:p>
        </w:tc>
        <w:tc>
          <w:tcPr/>
          <w:p>
            <w:pPr>
              <w:pStyle w:val="Compact"/>
              <w:jc w:val="center"/>
            </w:pPr>
            <w:r>
              <w:t xml:space="preserve">0.988</w:t>
            </w:r>
          </w:p>
        </w:tc>
        <w:tc>
          <w:tcPr/>
          <w:p>
            <w:pPr>
              <w:pStyle w:val="Compact"/>
              <w:jc w:val="center"/>
            </w:pPr>
            <w:r>
              <w:t xml:space="preserve">0.897</w:t>
            </w:r>
          </w:p>
        </w:tc>
        <w:tc>
          <w:tcPr/>
          <w:p>
            <w:pPr>
              <w:pStyle w:val="Compact"/>
              <w:jc w:val="center"/>
            </w:pPr>
            <w:r>
              <w:t xml:space="preserve">0.894</w:t>
            </w:r>
          </w:p>
        </w:tc>
      </w:tr>
      <w:tr>
        <w:tc>
          <w:tcPr/>
          <w:p>
            <w:pPr>
              <w:pStyle w:val="Compact"/>
              <w:jc w:val="left"/>
            </w:pPr>
            <w:r>
              <w:t xml:space="preserve">F10S10-0.3</w:t>
            </w:r>
          </w:p>
        </w:tc>
        <w:tc>
          <w:tcPr/>
          <w:p>
            <w:pPr>
              <w:pStyle w:val="Compact"/>
              <w:jc w:val="center"/>
            </w:pPr>
            <w:r>
              <w:t xml:space="preserve">0.997</w:t>
            </w:r>
          </w:p>
        </w:tc>
        <w:tc>
          <w:tcPr/>
          <w:p>
            <w:pPr>
              <w:pStyle w:val="Compact"/>
              <w:jc w:val="center"/>
            </w:pPr>
            <w:r>
              <w:t xml:space="preserve">0.998</w:t>
            </w:r>
          </w:p>
        </w:tc>
        <w:tc>
          <w:tcPr/>
          <w:p>
            <w:pPr>
              <w:pStyle w:val="Compact"/>
              <w:jc w:val="center"/>
            </w:pPr>
            <w:r>
              <w:t xml:space="preserve">0.994</w:t>
            </w:r>
          </w:p>
        </w:tc>
        <w:tc>
          <w:tcPr/>
          <w:p>
            <w:pPr>
              <w:pStyle w:val="Compact"/>
              <w:jc w:val="center"/>
            </w:pPr>
            <w:r>
              <w:t xml:space="preserve">0.997</w:t>
            </w:r>
          </w:p>
        </w:tc>
      </w:tr>
      <w:tr>
        <w:tc>
          <w:tcPr/>
          <w:p>
            <w:pPr>
              <w:pStyle w:val="Compact"/>
              <w:jc w:val="left"/>
            </w:pPr>
            <w:r>
              <w:t xml:space="preserve">F20-0.3</w:t>
            </w:r>
          </w:p>
        </w:tc>
        <w:tc>
          <w:tcPr/>
          <w:p>
            <w:pPr>
              <w:pStyle w:val="Compact"/>
              <w:jc w:val="center"/>
            </w:pPr>
            <w:r>
              <w:t xml:space="preserve">0.994</w:t>
            </w:r>
          </w:p>
        </w:tc>
        <w:tc>
          <w:tcPr/>
          <w:p>
            <w:pPr>
              <w:pStyle w:val="Compact"/>
              <w:jc w:val="center"/>
            </w:pPr>
            <w:r>
              <w:t xml:space="preserve">0.994</w:t>
            </w:r>
          </w:p>
        </w:tc>
        <w:tc>
          <w:tcPr/>
          <w:p>
            <w:pPr>
              <w:pStyle w:val="Compact"/>
              <w:jc w:val="center"/>
            </w:pPr>
            <w:r>
              <w:t xml:space="preserve">0.994</w:t>
            </w:r>
          </w:p>
        </w:tc>
        <w:tc>
          <w:tcPr/>
          <w:p>
            <w:pPr>
              <w:pStyle w:val="Compact"/>
              <w:jc w:val="center"/>
            </w:pPr>
            <w:r>
              <w:t xml:space="preserve">0.989</w:t>
            </w:r>
          </w:p>
        </w:tc>
      </w:tr>
      <w:tr>
        <w:tc>
          <w:tcPr/>
          <w:p>
            <w:pPr>
              <w:pStyle w:val="Compact"/>
              <w:jc w:val="left"/>
            </w:pPr>
            <w:r>
              <w:t xml:space="preserve">F20S20-0.4</w:t>
            </w:r>
          </w:p>
        </w:tc>
        <w:tc>
          <w:tcPr/>
          <w:p>
            <w:pPr>
              <w:pStyle w:val="Compact"/>
              <w:jc w:val="center"/>
            </w:pPr>
            <w:r>
              <w:t xml:space="preserve">0.998</w:t>
            </w:r>
          </w:p>
        </w:tc>
        <w:tc>
          <w:tcPr/>
          <w:p>
            <w:pPr>
              <w:pStyle w:val="Compact"/>
              <w:jc w:val="center"/>
            </w:pPr>
            <w:r>
              <w:t xml:space="preserve">0.999</w:t>
            </w:r>
          </w:p>
        </w:tc>
        <w:tc>
          <w:tcPr/>
          <w:p>
            <w:pPr>
              <w:pStyle w:val="Compact"/>
              <w:jc w:val="center"/>
            </w:pPr>
            <w:r>
              <w:t xml:space="preserve">0.996</w:t>
            </w:r>
          </w:p>
        </w:tc>
        <w:tc>
          <w:tcPr/>
          <w:p>
            <w:pPr>
              <w:pStyle w:val="Compact"/>
              <w:jc w:val="center"/>
            </w:pPr>
            <w:r>
              <w:t xml:space="preserve">0.998</w:t>
            </w:r>
          </w:p>
        </w:tc>
      </w:tr>
      <w:tr>
        <w:tc>
          <w:tcPr/>
          <w:p>
            <w:pPr>
              <w:pStyle w:val="Compact"/>
              <w:jc w:val="left"/>
            </w:pPr>
            <w:r>
              <w:t xml:space="preserve">S40-0.4</w:t>
            </w:r>
          </w:p>
        </w:tc>
        <w:tc>
          <w:tcPr/>
          <w:p>
            <w:pPr>
              <w:pStyle w:val="Compact"/>
              <w:jc w:val="center"/>
            </w:pPr>
            <w:r>
              <w:t xml:space="preserve">0.981</w:t>
            </w:r>
          </w:p>
        </w:tc>
        <w:tc>
          <w:tcPr/>
          <w:p>
            <w:pPr>
              <w:pStyle w:val="Compact"/>
              <w:jc w:val="center"/>
            </w:pPr>
            <w:r>
              <w:t xml:space="preserve">0.982</w:t>
            </w:r>
          </w:p>
        </w:tc>
        <w:tc>
          <w:tcPr/>
          <w:p>
            <w:pPr>
              <w:pStyle w:val="Compact"/>
              <w:jc w:val="center"/>
            </w:pPr>
            <w:r>
              <w:t xml:space="preserve">0.987</w:t>
            </w:r>
          </w:p>
        </w:tc>
        <w:tc>
          <w:tcPr/>
          <w:p>
            <w:pPr>
              <w:pStyle w:val="Compact"/>
              <w:jc w:val="center"/>
            </w:pPr>
            <w:r>
              <w:t xml:space="preserve">0.980</w:t>
            </w:r>
          </w:p>
        </w:tc>
      </w:tr>
    </w:tbl>
    <w:p>
      <w:pPr>
        <w:pStyle w:val="BodyText"/>
      </w:pPr>
      <w:r>
        <w:t xml:space="preserve">The data-driven network and the PINN lose accuracy mainly on C-0.5, the most permeable withheld mix (</w:t>
      </w:r>
      <m:oMath>
        <m:sSup>
          <m:e>
            <m:r>
              <m:t>R</m:t>
            </m:r>
          </m:e>
          <m:sup>
            <m:r>
              <m:t>2</m:t>
            </m:r>
          </m:sup>
        </m:sSup>
      </m:oMath>
      <w:r>
        <w:t xml:space="preserve"> </w:t>
      </w:r>
      <w:r>
        <w:t xml:space="preserve">≈ 0.89), which lies at the edge of the composition range covered by the training mixes. The physics-based models extrapolate to this mix without loss of accuracy (</w:t>
      </w:r>
      <m:oMath>
        <m:sSup>
          <m:e>
            <m:r>
              <m:t>R</m:t>
            </m:r>
          </m:e>
          <m:sup>
            <m:r>
              <m:t>2</m:t>
            </m:r>
          </m:sup>
        </m:sSup>
      </m:oMath>
      <w:r>
        <w:t xml:space="preserve"> </w:t>
      </w:r>
      <w:r>
        <w:t xml:space="preserve">= 0.990), because its faster drying follows from larger transport parameters rather than from a different curve shape. The PINN also illustrates over-fitting: it reproduces the training curves almost exactly (training RMSE 0.0033, against 0.0125 for the PENN) but generalises worse. Removing its PDE residual degrades the prediction further (RMSE 0.0365) and makes it strongly seed-dependent, which confirms that the physics constraint does carry information. The residuals of the PENN are largest during the first days of drying (Fig. 4), when the rate of mass loss is highest and digitisation errors are relatively larger.</w:t>
      </w:r>
    </w:p>
    <w:p>
      <w:pPr>
        <w:pStyle w:val="CaptionedFigure"/>
      </w:pPr>
      <w:r>
        <w:drawing>
          <wp:inline>
            <wp:extent cx="5334000" cy="3788557"/>
            <wp:effectExtent b="0" l="0" r="0" t="0"/>
            <wp:docPr descr="Fig. 3. Drying curves of the six mixes withheld from training: experiment and predictions of the four methods. Bands show the range over random seeds; R^2 refers to the PENN." title="" id="45" name="Picture"/>
            <a:graphic>
              <a:graphicData uri="http://schemas.openxmlformats.org/drawingml/2006/picture">
                <pic:pic>
                  <pic:nvPicPr>
                    <pic:cNvPr descr="fig2/fig_test_curves.png" id="46" name="Picture"/>
                    <pic:cNvPicPr>
                      <a:picLocks noChangeArrowheads="1" noChangeAspect="1"/>
                    </pic:cNvPicPr>
                  </pic:nvPicPr>
                  <pic:blipFill>
                    <a:blip r:embed="rId44"/>
                    <a:stretch>
                      <a:fillRect/>
                    </a:stretch>
                  </pic:blipFill>
                  <pic:spPr bwMode="auto">
                    <a:xfrm>
                      <a:off x="0" y="0"/>
                      <a:ext cx="5334000" cy="3788557"/>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Drying curves of the six mixes withheld from training: experiment and predictions of the four methods. Bands show the range over random seeds;</w:t>
      </w:r>
      <w:r>
        <w:t xml:space="preserve"> </w:t>
      </w:r>
      <m:oMath>
        <m:sSup>
          <m:e>
            <m:r>
              <m:t>R</m:t>
            </m:r>
          </m:e>
          <m:sup>
            <m:r>
              <m:t>2</m:t>
            </m:r>
          </m:sup>
        </m:sSup>
      </m:oMath>
      <w:r>
        <w:t xml:space="preserve"> </w:t>
      </w:r>
      <w:r>
        <w:t xml:space="preserve">refers to the PENN.</w:t>
      </w:r>
    </w:p>
    <w:p>
      <w:pPr>
        <w:pStyle w:val="CaptionedFigure"/>
      </w:pPr>
      <w:r>
        <w:drawing>
          <wp:inline>
            <wp:extent cx="5334000" cy="2573040"/>
            <wp:effectExtent b="0" l="0" r="0" t="0"/>
            <wp:docPr descr="Fig. 4. PENN predictions: (a) predicted versus measured average saturation for training and unseen mixes; (b) residuals as a function of drying time." title="" id="48" name="Picture"/>
            <a:graphic>
              <a:graphicData uri="http://schemas.openxmlformats.org/drawingml/2006/picture">
                <pic:pic>
                  <pic:nvPicPr>
                    <pic:cNvPr descr="fig2/fig_parity.png" id="49" name="Picture"/>
                    <pic:cNvPicPr>
                      <a:picLocks noChangeArrowheads="1" noChangeAspect="1"/>
                    </pic:cNvPicPr>
                  </pic:nvPicPr>
                  <pic:blipFill>
                    <a:blip r:embed="rId47"/>
                    <a:stretch>
                      <a:fillRect/>
                    </a:stretch>
                  </pic:blipFill>
                  <pic:spPr bwMode="auto">
                    <a:xfrm>
                      <a:off x="0" y="0"/>
                      <a:ext cx="5334000" cy="2573040"/>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PENN predictions: (a) predicted versus measured average saturation for training and unseen mixes; (b) residuals as a function of drying time.</w:t>
      </w:r>
    </w:p>
    <w:bookmarkEnd w:id="50"/>
    <w:bookmarkStart w:id="54" w:name="X75edb5a23eda73e3f117a873d2970c87f10de63"/>
    <w:p>
      <w:pPr>
        <w:pStyle w:val="Heading2"/>
      </w:pPr>
      <w:r>
        <w:t xml:space="preserve">5.3 Physical consistency of the identified parameters</w:t>
      </w:r>
    </w:p>
    <w:p>
      <w:pPr>
        <w:pStyle w:val="FirstParagraph"/>
      </w:pPr>
      <w:r>
        <w:t xml:space="preserve">Accuracy on the data does not guarantee that the identified parameters are consistent with the governing equation. Figure 5 shows the forward verification. Run with the parameters of the PENN, the independent BDF solver reproduces the PENN curves with</w:t>
      </w:r>
      <w:r>
        <w:t xml:space="preserve"> </w:t>
      </w:r>
      <m:oMath>
        <m:sSup>
          <m:e>
            <m:r>
              <m:t>R</m:t>
            </m:r>
          </m:e>
          <m:sup>
            <m:r>
              <m:t>2</m:t>
            </m:r>
          </m:sup>
        </m:sSup>
      </m:oMath>
      <w:r>
        <w:t xml:space="preserve"> </w:t>
      </w:r>
      <w:r>
        <w:t xml:space="preserve">= 0.9998 (RMSE = 0.0021), the residual difference being the discretisation error of the differentiable solver. With the parameters of the PINN, the same solver gives curves that drift systematically from those of the PINN (</w:t>
      </w:r>
      <m:oMath>
        <m:sSup>
          <m:e>
            <m:r>
              <m:t>R</m:t>
            </m:r>
          </m:e>
          <m:sup>
            <m:r>
              <m:t>2</m:t>
            </m:r>
          </m:sup>
        </m:sSup>
      </m:oMath>
      <w:r>
        <w:t xml:space="preserve"> </w:t>
      </w:r>
      <w:r>
        <w:t xml:space="preserve">= 0.860, RMSE = 0.061) and from the data (</w:t>
      </w:r>
      <m:oMath>
        <m:sSup>
          <m:e>
            <m:r>
              <m:t>R</m:t>
            </m:r>
          </m:e>
          <m:sup>
            <m:r>
              <m:t>2</m:t>
            </m:r>
          </m:sup>
        </m:sSup>
      </m:oMath>
      <w:r>
        <w:t xml:space="preserve"> </w:t>
      </w:r>
      <w:r>
        <w:t xml:space="preserve">= 0.897 on the withheld mixes).</w:t>
      </w:r>
    </w:p>
    <w:p>
      <w:pPr>
        <w:pStyle w:val="BodyText"/>
      </w:pPr>
      <w:r>
        <w:t xml:space="preserve">The cause is the permeability. The PINN reference diffusivities agree reasonably with the classical values (mean absolute difference 0.06 decade), but its permeabilities are lower by 1.09 decades on average.</w:t>
      </w:r>
      <w:r>
        <w:t xml:space="preserve"> </w:t>
      </w:r>
      <m:oMath>
        <m:sSub>
          <m:e>
            <m:r>
              <m:t>K</m:t>
            </m:r>
          </m:e>
          <m:sub>
            <m:r>
              <m:rPr>
                <m:nor/>
              </m:rPr>
              <m:t>int</m:t>
            </m:r>
          </m:sub>
        </m:sSub>
      </m:oMath>
      <w:r>
        <w:t xml:space="preserve"> </w:t>
      </w:r>
      <w:r>
        <w:t xml:space="preserve">controls the capillary regime (</w:t>
      </w:r>
      <m:oMath>
        <m:r>
          <m:t>S</m:t>
        </m:r>
        <m:r>
          <m:rPr>
            <m:sty m:val="p"/>
          </m:rPr>
          <m:t>&gt;</m:t>
        </m:r>
        <m:r>
          <m:t>0.75</m:t>
        </m:r>
      </m:oMath>
      <w:r>
        <w:t xml:space="preserve">), which prevails in the specimen during the first day of drying, before the first measurement. The PINN residual is weakest exactly there: the steep early-time gradients make the residual hard to minimise, and the data cannot correct it. The network can therefore reproduce the measured curves with a field that does not satisfy the transport equation at early times. Because the PENN integrates the equation from</w:t>
      </w:r>
      <w:r>
        <w:t xml:space="preserve"> </w:t>
      </w:r>
      <m:oMath>
        <m:r>
          <m:t>t</m:t>
        </m:r>
        <m:r>
          <m:rPr>
            <m:sty m:val="p"/>
          </m:rPr>
          <m:t>=</m:t>
        </m:r>
        <m:r>
          <m:t>0</m:t>
        </m:r>
      </m:oMath>
      <w:r>
        <w:t xml:space="preserve">, this inconsistency cannot arise.</w:t>
      </w:r>
    </w:p>
    <w:p>
      <w:pPr>
        <w:pStyle w:val="CaptionedFigure"/>
      </w:pPr>
      <w:r>
        <w:drawing>
          <wp:inline>
            <wp:extent cx="5334000" cy="2633860"/>
            <wp:effectExtent b="0" l="0" r="0" t="0"/>
            <wp:docPr descr="Fig. 5. Forward verification: average saturation computed by the independent BDF solver with the parameters predicted by (a) the PINN and (b) the PENN, against the output of each model." title="" id="52" name="Picture"/>
            <a:graphic>
              <a:graphicData uri="http://schemas.openxmlformats.org/drawingml/2006/picture">
                <pic:pic>
                  <pic:nvPicPr>
                    <pic:cNvPr descr="fig2/fig_forward.png" id="53" name="Picture"/>
                    <pic:cNvPicPr>
                      <a:picLocks noChangeArrowheads="1" noChangeAspect="1"/>
                    </pic:cNvPicPr>
                  </pic:nvPicPr>
                  <pic:blipFill>
                    <a:blip r:embed="rId51"/>
                    <a:stretch>
                      <a:fillRect/>
                    </a:stretch>
                  </pic:blipFill>
                  <pic:spPr bwMode="auto">
                    <a:xfrm>
                      <a:off x="0" y="0"/>
                      <a:ext cx="5334000" cy="2633860"/>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Forward verification: average saturation computed by the independent BDF solver with the parameters predicted by (a) the PINN and (b) the PENN, against the output of each model.</w:t>
      </w:r>
    </w:p>
    <w:bookmarkEnd w:id="54"/>
    <w:bookmarkStart w:id="61" w:name="X41dc625c82271d08baffe9dc28efdf0c85aba5e"/>
    <w:p>
      <w:pPr>
        <w:pStyle w:val="Heading2"/>
      </w:pPr>
      <w:r>
        <w:t xml:space="preserve">5.4 Transport parameters and effect of composition</w:t>
      </w:r>
    </w:p>
    <w:p>
      <w:pPr>
        <w:pStyle w:val="FirstParagraph"/>
      </w:pPr>
      <w:r>
        <w:t xml:space="preserve">Figure 6 compares the parameters predicted by the PENN from composition alone with the classical per-mix fits. The reference diffusivities agree closely (mean absolute difference 0.024 decade,</w:t>
      </w:r>
      <w:r>
        <w:t xml:space="preserve"> </w:t>
      </w:r>
      <m:oMath>
        <m:r>
          <m:t>r</m:t>
        </m:r>
      </m:oMath>
      <w:r>
        <w:t xml:space="preserve"> </w:t>
      </w:r>
      <w:r>
        <w:t xml:space="preserve">= 0.991), including for the withheld mixes. The permeabilities follow the same trend but over a narrower range (10</w:t>
      </w:r>
      <w:r>
        <w:rPr>
          <w:vertAlign w:val="superscript"/>
        </w:rPr>
        <w:t xml:space="preserve">−19.78</w:t>
      </w:r>
      <w:r>
        <w:t xml:space="preserve"> </w:t>
      </w:r>
      <w:r>
        <w:t xml:space="preserve">to 10</w:t>
      </w:r>
      <w:r>
        <w:rPr>
          <w:vertAlign w:val="superscript"/>
        </w:rPr>
        <w:t xml:space="preserve">−19.54</w:t>
      </w:r>
      <w:r>
        <w:t xml:space="preserve"> </w:t>
      </w:r>
      <w:r>
        <w:t xml:space="preserve">m², against 10</w:t>
      </w:r>
      <w:r>
        <w:rPr>
          <w:vertAlign w:val="superscript"/>
        </w:rPr>
        <w:t xml:space="preserve">−19.90</w:t>
      </w:r>
      <w:r>
        <w:t xml:space="preserve"> </w:t>
      </w:r>
      <w:r>
        <w:t xml:space="preserve">to 10</w:t>
      </w:r>
      <w:r>
        <w:rPr>
          <w:vertAlign w:val="superscript"/>
        </w:rPr>
        <w:t xml:space="preserve">−19.00</w:t>
      </w:r>
      <w:r>
        <w:t xml:space="preserve"> </w:t>
      </w:r>
      <w:r>
        <w:t xml:space="preserve">m²;</w:t>
      </w:r>
      <w:r>
        <w:t xml:space="preserve"> </w:t>
      </w:r>
      <m:oMath>
        <m:r>
          <m:t>r</m:t>
        </m:r>
      </m:oMath>
      <w:r>
        <w:t xml:space="preserve"> </w:t>
      </w:r>
      <w:r>
        <w:t xml:space="preserve">= 0.69). The parameter network smooths the mix-to-mix scatter of</w:t>
      </w:r>
      <w:r>
        <w:t xml:space="preserve"> </w:t>
      </w:r>
      <m:oMath>
        <m:sSub>
          <m:e>
            <m:r>
              <m:t>K</m:t>
            </m:r>
          </m:e>
          <m:sub>
            <m:r>
              <m:rPr>
                <m:nor/>
              </m:rPr>
              <m:t>int</m:t>
            </m:r>
          </m:sub>
        </m:sSub>
      </m:oMath>
      <w:r>
        <w:t xml:space="preserve">, which is less well constrained by the data than</w:t>
      </w:r>
      <w:r>
        <w:t xml:space="preserve"> </w:t>
      </w:r>
      <m:oMath>
        <m:sSub>
          <m:e>
            <m:r>
              <m:t>D</m:t>
            </m:r>
          </m:e>
          <m:sub>
            <m:r>
              <m:t>v</m:t>
            </m:r>
          </m:sub>
        </m:sSub>
      </m:oMath>
      <w:r>
        <w:t xml:space="preserve">. The variability across random seeds is negligible (0.001 decade for</w:t>
      </w:r>
      <w:r>
        <w:t xml:space="preserve"> </w:t>
      </w:r>
      <m:oMath>
        <m:sSub>
          <m:e>
            <m:r>
              <m:t>D</m:t>
            </m:r>
          </m:e>
          <m:sub>
            <m:r>
              <m:t>v</m:t>
            </m:r>
          </m:sub>
        </m:sSub>
      </m:oMath>
      <w:r>
        <w:t xml:space="preserve">, 0.005 for</w:t>
      </w:r>
      <w:r>
        <w:t xml:space="preserve"> </w:t>
      </w:r>
      <m:oMath>
        <m:sSub>
          <m:e>
            <m:r>
              <m:t>K</m:t>
            </m:r>
          </m:e>
          <m:sub>
            <m:r>
              <m:rPr>
                <m:nor/>
              </m:rPr>
              <m:t>int</m:t>
            </m:r>
          </m:sub>
        </m:sSub>
      </m:oMath>
      <w:r>
        <w:t xml:space="preserve">).</w:t>
      </w:r>
    </w:p>
    <w:p>
      <w:pPr>
        <w:pStyle w:val="BodyText"/>
      </w:pPr>
      <w:r>
        <w:t xml:space="preserve">Both parameters increase with w/b. For plain concrete,</w:t>
      </w:r>
      <w:r>
        <w:t xml:space="preserve"> </w:t>
      </w:r>
      <m:oMath>
        <m:sSub>
          <m:e>
            <m:r>
              <m:t>D</m:t>
            </m:r>
          </m:e>
          <m:sub>
            <m:r>
              <m:t>v</m:t>
            </m:r>
          </m:sub>
        </m:sSub>
      </m:oMath>
      <w:r>
        <w:t xml:space="preserve"> </w:t>
      </w:r>
      <w:r>
        <w:t xml:space="preserve">rises from 10</w:t>
      </w:r>
      <w:r>
        <w:rPr>
          <w:vertAlign w:val="superscript"/>
        </w:rPr>
        <w:t xml:space="preserve">−9.39</w:t>
      </w:r>
      <w:r>
        <w:t xml:space="preserve"> </w:t>
      </w:r>
      <w:r>
        <w:t xml:space="preserve">to 10</w:t>
      </w:r>
      <w:r>
        <w:rPr>
          <w:vertAlign w:val="superscript"/>
        </w:rPr>
        <w:t xml:space="preserve">−8.96</w:t>
      </w:r>
      <w:r>
        <w:t xml:space="preserve"> </w:t>
      </w:r>
      <w:r>
        <w:t xml:space="preserve">m²/s between w/b = 0.3 and 0.5, consistent with the coarser and better connected capillary porosity of high-w/b pastes [1, 3]. At a given w/b, SCMs reduce</w:t>
      </w:r>
      <w:r>
        <w:t xml:space="preserve"> </w:t>
      </w:r>
      <m:oMath>
        <m:sSub>
          <m:e>
            <m:r>
              <m:t>D</m:t>
            </m:r>
          </m:e>
          <m:sub>
            <m:r>
              <m:t>v</m:t>
            </m:r>
          </m:sub>
        </m:sSub>
      </m:oMath>
      <w:r>
        <w:t xml:space="preserve">; the reduction is largest for 40% fly ash (10</w:t>
      </w:r>
      <w:r>
        <w:rPr>
          <w:vertAlign w:val="superscript"/>
        </w:rPr>
        <w:t xml:space="preserve">−9.78</w:t>
      </w:r>
      <w:r>
        <w:t xml:space="preserve"> </w:t>
      </w:r>
      <w:r>
        <w:t xml:space="preserve">m²/s at w/b = 0.3, a factor of 2.5 below plain concrete), followed by the ternary blends and slag. This ranking agrees with the pore refinement produced by the pozzolanic and latent hydraulic reactions [1].</w:t>
      </w:r>
    </w:p>
    <w:p>
      <w:pPr>
        <w:pStyle w:val="BodyText"/>
      </w:pPr>
      <w:r>
        <w:t xml:space="preserve">The diffusivity curves (Fig. 7) vary by more than one order of magnitude with saturation, from 2–6 × 10⁻¹¹ m²/s in the dry state to about 10⁻⁹ m²/s at</w:t>
      </w:r>
      <w:r>
        <w:t xml:space="preserve"> </w:t>
      </w:r>
      <m:oMath>
        <m:r>
          <m:t>S</m:t>
        </m:r>
        <m:r>
          <m:rPr>
            <m:sty m:val="p"/>
          </m:rPr>
          <m:t>≈</m:t>
        </m:r>
        <m:r>
          <m:t>0.8</m:t>
        </m:r>
      </m:oMath>
      <w:r>
        <w:t xml:space="preserve">. Vapour transport dominates below</w:t>
      </w:r>
      <w:r>
        <w:t xml:space="preserve"> </w:t>
      </w:r>
      <m:oMath>
        <m:r>
          <m:t>S</m:t>
        </m:r>
        <m:r>
          <m:rPr>
            <m:sty m:val="p"/>
          </m:rPr>
          <m:t>≈</m:t>
        </m:r>
        <m:r>
          <m:t>0.7</m:t>
        </m:r>
      </m:oMath>
      <w:r>
        <w:t xml:space="preserve"> </w:t>
      </w:r>
      <w:r>
        <w:t xml:space="preserve">and capillary transport above. The transition at</w:t>
      </w:r>
      <w:r>
        <w:t xml:space="preserve"> </w:t>
      </w:r>
      <m:oMath>
        <m:sSub>
          <m:e>
            <m:r>
              <m:t>S</m:t>
            </m:r>
          </m:e>
          <m:sub>
            <m:r>
              <m:rPr>
                <m:nor/>
              </m:rPr>
              <m:t>cap</m:t>
            </m:r>
          </m:sub>
        </m:sSub>
        <m:r>
          <m:rPr>
            <m:sty m:val="p"/>
          </m:rPr>
          <m:t>=</m:t>
        </m:r>
        <m:r>
          <m:t>0.75</m:t>
        </m:r>
      </m:oMath>
      <w:r>
        <w:t xml:space="preserve"> </w:t>
      </w:r>
      <w:r>
        <w:t xml:space="preserve">is imposed by the model of Chen et al. [10] and is not identified from the data.</w:t>
      </w:r>
    </w:p>
    <w:p>
      <w:pPr>
        <w:pStyle w:val="CaptionedFigure"/>
      </w:pPr>
      <w:r>
        <w:drawing>
          <wp:inline>
            <wp:extent cx="5334000" cy="2675360"/>
            <wp:effectExtent b="0" l="0" r="0" t="0"/>
            <wp:docPr descr="Fig. 6. Transport parameters versus w/b: (a) reference diffusivity D_v and (b) intrinsic permeability K_{\text{int}}. Filled symbols: PENN predictions from composition (error bars: standard deviation over seeds); open symbols: classical per-mix fits (error bars: standard errors)." title="" id="56" name="Picture"/>
            <a:graphic>
              <a:graphicData uri="http://schemas.openxmlformats.org/drawingml/2006/picture">
                <pic:pic>
                  <pic:nvPicPr>
                    <pic:cNvPr descr="fig2/fig_parameters.png" id="57" name="Picture"/>
                    <pic:cNvPicPr>
                      <a:picLocks noChangeArrowheads="1" noChangeAspect="1"/>
                    </pic:cNvPicPr>
                  </pic:nvPicPr>
                  <pic:blipFill>
                    <a:blip r:embed="rId55"/>
                    <a:stretch>
                      <a:fillRect/>
                    </a:stretch>
                  </pic:blipFill>
                  <pic:spPr bwMode="auto">
                    <a:xfrm>
                      <a:off x="0" y="0"/>
                      <a:ext cx="5334000" cy="2675360"/>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Transport parameters versus w/b: (a) reference diffusivity</w:t>
      </w:r>
      <w:r>
        <w:t xml:space="preserve"> </w:t>
      </w:r>
      <m:oMath>
        <m:sSub>
          <m:e>
            <m:r>
              <m:t>D</m:t>
            </m:r>
          </m:e>
          <m:sub>
            <m:r>
              <m:t>v</m:t>
            </m:r>
          </m:sub>
        </m:sSub>
      </m:oMath>
      <w:r>
        <w:t xml:space="preserve"> </w:t>
      </w:r>
      <w:r>
        <w:t xml:space="preserve">and (b) intrinsic permeability</w:t>
      </w:r>
      <w:r>
        <w:t xml:space="preserve"> </w:t>
      </w:r>
      <m:oMath>
        <m:sSub>
          <m:e>
            <m:r>
              <m:t>K</m:t>
            </m:r>
          </m:e>
          <m:sub>
            <m:r>
              <m:rPr>
                <m:nor/>
              </m:rPr>
              <m:t>int</m:t>
            </m:r>
          </m:sub>
        </m:sSub>
      </m:oMath>
      <w:r>
        <w:t xml:space="preserve">. Filled symbols: PENN predictions from composition (error bars: standard deviation over seeds); open symbols: classical per-mix fits (error bars: standard errors).</w:t>
      </w:r>
    </w:p>
    <w:p>
      <w:pPr>
        <w:pStyle w:val="CaptionedFigure"/>
      </w:pPr>
      <w:r>
        <w:drawing>
          <wp:inline>
            <wp:extent cx="5334000" cy="2352905"/>
            <wp:effectExtent b="0" l="0" r="0" t="0"/>
            <wp:docPr descr="Fig. 7. Diffusivity predicted by the PENN: (a) vapour and capillary contributions for the withheld mix C-0.4; (b) effect of w/b and fly ash." title="" id="59" name="Picture"/>
            <a:graphic>
              <a:graphicData uri="http://schemas.openxmlformats.org/drawingml/2006/picture">
                <pic:pic>
                  <pic:nvPicPr>
                    <pic:cNvPr descr="fig2/fig_diffusivity.png" id="60" name="Picture"/>
                    <pic:cNvPicPr>
                      <a:picLocks noChangeArrowheads="1" noChangeAspect="1"/>
                    </pic:cNvPicPr>
                  </pic:nvPicPr>
                  <pic:blipFill>
                    <a:blip r:embed="rId58"/>
                    <a:stretch>
                      <a:fillRect/>
                    </a:stretch>
                  </pic:blipFill>
                  <pic:spPr bwMode="auto">
                    <a:xfrm>
                      <a:off x="0" y="0"/>
                      <a:ext cx="5334000" cy="2352905"/>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Diffusivity predicted by the PENN: (a) vapour and capillary contributions for the withheld mix C-0.4; (b) effect of w/b and fly ash.</w:t>
      </w:r>
    </w:p>
    <w:bookmarkEnd w:id="61"/>
    <w:bookmarkStart w:id="65" w:name="internal-saturation-fields"/>
    <w:p>
      <w:pPr>
        <w:pStyle w:val="Heading2"/>
      </w:pPr>
      <w:r>
        <w:t xml:space="preserve">5.5 Internal saturation fields</w:t>
      </w:r>
    </w:p>
    <w:p>
      <w:pPr>
        <w:pStyle w:val="FirstParagraph"/>
      </w:pPr>
      <w:r>
        <w:t xml:space="preserve">Figure 8 shows the saturation profiles of three withheld mixes. After 0.5 days, a steep drying zone about 1–2 mm deep has formed at the exposed face while the core remains above S = 0.88. The zone then progresses inwards and the profile flattens: for C-0.4, the depth at which the saturation falls to 70% of the core value grows from 1.7 mm at 0.5 days to 6.1 mm at 28 days. The core saturation falls below 0.5 after 5.4 days for C-0.4, 7.4 days for S40-0.4 and 13.5 days for F20-0.3, illustrating how strongly fly ash slows internal drying. The PINN profiles are close to those of the PENN after a few days but differ markedly during the first two days, which is the period of the parameter inconsistency discussed in Section 5.3.</w:t>
      </w:r>
    </w:p>
    <w:p>
      <w:pPr>
        <w:pStyle w:val="CaptionedFigure"/>
      </w:pPr>
      <w:r>
        <w:drawing>
          <wp:inline>
            <wp:extent cx="5334000" cy="2566412"/>
            <wp:effectExtent b="0" l="0" r="0" t="0"/>
            <wp:docPr descr="Fig. 8. Saturation profiles of three withheld mixes at 0.5, 2, 7 and 28 days predicted by the PENN (solid) and the PINN (dotted)." title="" id="63" name="Picture"/>
            <a:graphic>
              <a:graphicData uri="http://schemas.openxmlformats.org/drawingml/2006/picture">
                <pic:pic>
                  <pic:nvPicPr>
                    <pic:cNvPr descr="fig2/fig_profiles.png" id="64" name="Picture"/>
                    <pic:cNvPicPr>
                      <a:picLocks noChangeArrowheads="1" noChangeAspect="1"/>
                    </pic:cNvPicPr>
                  </pic:nvPicPr>
                  <pic:blipFill>
                    <a:blip r:embed="rId62"/>
                    <a:stretch>
                      <a:fillRect/>
                    </a:stretch>
                  </pic:blipFill>
                  <pic:spPr bwMode="auto">
                    <a:xfrm>
                      <a:off x="0" y="0"/>
                      <a:ext cx="5334000" cy="2566412"/>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Saturation profiles of three withheld mixes at 0.5, 2, 7 and 28 days predicted by the PENN (solid) and the PINN (dotted).</w:t>
      </w:r>
    </w:p>
    <w:bookmarkEnd w:id="65"/>
    <w:bookmarkEnd w:id="66"/>
    <w:bookmarkStart w:id="69" w:name="discussion"/>
    <w:p>
      <w:pPr>
        <w:pStyle w:val="Heading1"/>
      </w:pPr>
      <w:r>
        <w:t xml:space="preserve">6 Discussion</w:t>
      </w:r>
    </w:p>
    <w:bookmarkStart w:id="67" w:name="embedding-versus-penalising-the-physics"/>
    <w:p>
      <w:pPr>
        <w:pStyle w:val="Heading2"/>
      </w:pPr>
      <w:r>
        <w:t xml:space="preserve">6.1 Embedding versus penalising the physics</w:t>
      </w:r>
    </w:p>
    <w:p>
      <w:pPr>
        <w:pStyle w:val="FirstParagraph"/>
      </w:pPr>
      <w:r>
        <w:t xml:space="preserve">The results separate two properties that are often conflated: fitting the data and identifying physically meaningful parameters. Every method fits the training data, and the physics-based ones also predict unseen mixes well. However, only the methods that solve the transport equation — the classical solver and the PENN — return parameters that reproduce the data when used in an independent model. The PINN residual is a soft constraint whose weight must be balanced against the data, and it is weakest where the solution is steepest, at early times. For moisture transport this is exactly where the capillary parameters act. A PINN may still be useful as a fast surrogate of the curves, but in this problem its parameters should not be reported without the forward check of Fig. 5. We recommend this check whenever PINNs are used to identify material parameters.</w:t>
      </w:r>
    </w:p>
    <w:p>
      <w:pPr>
        <w:pStyle w:val="BodyText"/>
      </w:pPr>
      <w:r>
        <w:t xml:space="preserve">The PENN reaches the accuracy of the classical route while offering three practical advantages. A single model covers all compositions and is trained end-to-end in about 5 minutes. The parameters of a new mix are obtained by one evaluation of the network, without a new inverse analysis. And the mapping from composition to parameters can be extended to additional descriptors, such as curing age or porosity, without changing the solver. Compared with the data-driven network, which is faster to train but less accurate and returns neither parameters nor internal fields, the PENN keeps the physical interpretability of the classical approach.</w:t>
      </w:r>
    </w:p>
    <w:bookmarkEnd w:id="67"/>
    <w:bookmarkStart w:id="68" w:name="limitations"/>
    <w:p>
      <w:pPr>
        <w:pStyle w:val="Heading2"/>
      </w:pPr>
      <w:r>
        <w:t xml:space="preserve">6.2 Limitations</w:t>
      </w:r>
    </w:p>
    <w:p>
      <w:pPr>
        <w:pStyle w:val="FirstParagraph"/>
      </w:pPr>
      <w:r>
        <w:t xml:space="preserve">Several limitations must be acknowledged. The identified parameters are effective values of a simplified isothermal one-dimensional model with an equivalent thickness, and they should not be interpreted as intrinsic properties without independent measurements; in particular, their absolute values scale with</w:t>
      </w:r>
      <w:r>
        <w:t xml:space="preserve"> </w:t>
      </w:r>
      <m:oMath>
        <m:sSup>
          <m:e>
            <m:r>
              <m:t>L</m:t>
            </m:r>
          </m:e>
          <m:sup>
            <m:r>
              <m:t>2</m:t>
            </m:r>
          </m:sup>
        </m:sSup>
      </m:oMath>
      <w:r>
        <w:t xml:space="preserve">. Only two parameters per mix are identifiable from average-saturation data, so the remaining constants of the diffusivity model, including the regime transition, are fixed from the literature. The database comes from a single laboratory and a single drying condition, the curves were digitised from published figures, and the w/b = 0.6 mixes had to be excluded. Finally, the internal saturation fields are model predictions that have not been compared with direct measurements, for example by gamma-ray attenuation or NMR.</w:t>
      </w:r>
    </w:p>
    <w:bookmarkEnd w:id="68"/>
    <w:bookmarkEnd w:id="69"/>
    <w:bookmarkStart w:id="70" w:name="conclusions"/>
    <w:p>
      <w:pPr>
        <w:pStyle w:val="Heading1"/>
      </w:pPr>
      <w:r>
        <w:t xml:space="preserve">7 Conclusions</w:t>
      </w:r>
    </w:p>
    <w:p>
      <w:pPr>
        <w:pStyle w:val="FirstParagraph"/>
      </w:pPr>
      <w:r>
        <w:t xml:space="preserve">A physics-embedded neural network was developed to identify moisture transport parameters and internal saturation fields of concrete from gravimetric drying data, and compared with classical identification, a data-driven network and a physics-informed neural network. The main conclusions are:</w:t>
      </w:r>
    </w:p>
    <w:p>
      <w:pPr>
        <w:pStyle w:val="Compact"/>
        <w:numPr>
          <w:ilvl w:val="0"/>
          <w:numId w:val="1003"/>
        </w:numPr>
      </w:pPr>
      <w:r>
        <w:t xml:space="preserve">Only two transport parameters, the reference diffusivity</w:t>
      </w:r>
      <w:r>
        <w:t xml:space="preserve"> </w:t>
      </w:r>
      <m:oMath>
        <m:sSub>
          <m:e>
            <m:r>
              <m:t>D</m:t>
            </m:r>
          </m:e>
          <m:sub>
            <m:r>
              <m:t>v</m:t>
            </m:r>
          </m:sub>
        </m:sSub>
      </m:oMath>
      <w:r>
        <w:t xml:space="preserve"> </w:t>
      </w:r>
      <w:r>
        <w:t xml:space="preserve">and the intrinsic permeability</w:t>
      </w:r>
      <w:r>
        <w:t xml:space="preserve"> </w:t>
      </w:r>
      <m:oMath>
        <m:sSub>
          <m:e>
            <m:r>
              <m:t>K</m:t>
            </m:r>
          </m:e>
          <m:sub>
            <m:r>
              <m:rPr>
                <m:nor/>
              </m:rPr>
              <m:t>int</m:t>
            </m:r>
          </m:sub>
        </m:sSub>
      </m:oMath>
      <w:r>
        <w:t xml:space="preserve">, are identifiable from average-saturation curves;</w:t>
      </w:r>
      <w:r>
        <w:t xml:space="preserve"> </w:t>
      </w:r>
      <m:oMath>
        <m:sSub>
          <m:e>
            <m:r>
              <m:t>D</m:t>
            </m:r>
          </m:e>
          <m:sub>
            <m:r>
              <m:t>v</m:t>
            </m:r>
          </m:sub>
        </m:sSub>
      </m:oMath>
      <w:r>
        <w:t xml:space="preserve"> </w:t>
      </w:r>
      <w:r>
        <w:t xml:space="preserve">and</w:t>
      </w:r>
      <w:r>
        <w:t xml:space="preserve"> </w:t>
      </w:r>
      <m:oMath>
        <m:sSub>
          <m:e>
            <m:r>
              <m:t>α</m:t>
            </m:r>
          </m:e>
          <m:sub>
            <m:r>
              <m:t>0</m:t>
            </m:r>
          </m:sub>
        </m:sSub>
      </m:oMath>
      <w:r>
        <w:t xml:space="preserve"> </w:t>
      </w:r>
      <w:r>
        <w:t xml:space="preserve">are perfectly correlated and must not be identified together.</w:t>
      </w:r>
    </w:p>
    <w:p>
      <w:pPr>
        <w:pStyle w:val="Compact"/>
        <w:numPr>
          <w:ilvl w:val="0"/>
          <w:numId w:val="1003"/>
        </w:numPr>
      </w:pPr>
      <w:r>
        <w:t xml:space="preserve">The PENN predicts the drying of mixes withheld from training with</w:t>
      </w:r>
      <w:r>
        <w:t xml:space="preserve"> </w:t>
      </w:r>
      <m:oMath>
        <m:sSup>
          <m:e>
            <m:r>
              <m:t>R</m:t>
            </m:r>
          </m:e>
          <m:sup>
            <m:r>
              <m:t>2</m:t>
            </m:r>
          </m:sup>
        </m:sSup>
      </m:oMath>
      <w:r>
        <w:t xml:space="preserve"> </w:t>
      </w:r>
      <w:r>
        <w:t xml:space="preserve">= 0.9935 and RMSE = 0.013, a 34% lower error than a purely data-driven network, and matches the accuracy of classical identification combined with composition regression.</w:t>
      </w:r>
    </w:p>
    <w:p>
      <w:pPr>
        <w:pStyle w:val="Compact"/>
        <w:numPr>
          <w:ilvl w:val="0"/>
          <w:numId w:val="1003"/>
        </w:numPr>
      </w:pPr>
      <w:r>
        <w:t xml:space="preserve">Because the network is trained through the solver, its parameters satisfy the transport equation: an independent solver reproduces its predictions with</w:t>
      </w:r>
      <w:r>
        <w:t xml:space="preserve"> </w:t>
      </w:r>
      <m:oMath>
        <m:sSup>
          <m:e>
            <m:r>
              <m:t>R</m:t>
            </m:r>
          </m:e>
          <m:sup>
            <m:r>
              <m:t>2</m:t>
            </m:r>
          </m:sup>
        </m:sSup>
      </m:oMath>
      <w:r>
        <w:t xml:space="preserve"> </w:t>
      </w:r>
      <w:r>
        <w:t xml:space="preserve">= 0.9998. A PINN trained on the same data fits the curves but its parameters fail this check (</w:t>
      </w:r>
      <m:oMath>
        <m:sSup>
          <m:e>
            <m:r>
              <m:t>R</m:t>
            </m:r>
          </m:e>
          <m:sup>
            <m:r>
              <m:t>2</m:t>
            </m:r>
          </m:sup>
        </m:sSup>
      </m:oMath>
      <w:r>
        <w:t xml:space="preserve"> </w:t>
      </w:r>
      <w:r>
        <w:t xml:space="preserve">= 0.86), with permeabilities about one order of magnitude too low.</w:t>
      </w:r>
    </w:p>
    <w:p>
      <w:pPr>
        <w:pStyle w:val="Compact"/>
        <w:numPr>
          <w:ilvl w:val="0"/>
          <w:numId w:val="1003"/>
        </w:numPr>
      </w:pPr>
      <w:r>
        <w:t xml:space="preserve">The predicted parameters increase with w/b and decrease with SCM content, most strongly with 40% fly ash, in agreement with the known effects of these materials on the pore structure.</w:t>
      </w:r>
    </w:p>
    <w:p>
      <w:pPr>
        <w:pStyle w:val="FirstParagraph"/>
      </w:pPr>
      <w:r>
        <w:t xml:space="preserve">Future work will use the absorption tests available for the same mixes to validate the identified parameters independently, extend the model to wetting and to drying–wetting cycles, add uncertainty quantification [31], and couple moisture with chloride transport for comparison with TransChlor [11].</w:t>
      </w:r>
    </w:p>
    <w:bookmarkEnd w:id="70"/>
    <w:bookmarkStart w:id="71" w:name="declarations"/>
    <w:p>
      <w:pPr>
        <w:pStyle w:val="Heading1"/>
      </w:pPr>
      <w:r>
        <w:t xml:space="preserve">Declarations</w:t>
      </w:r>
    </w:p>
    <w:p>
      <w:pPr>
        <w:pStyle w:val="FirstParagraph"/>
      </w:pPr>
      <w:r>
        <w:rPr>
          <w:bCs/>
          <w:b/>
        </w:rPr>
        <w:t xml:space="preserve">CRediT authorship contribution statement.</w:t>
      </w:r>
      <w:r>
        <w:t xml:space="preserve"> </w:t>
      </w:r>
      <w:r>
        <w:t xml:space="preserve">Abderrahmane Sghuri: Conceptualization, Methodology, Software, Formal analysis, Visualization, Writing – original draft. Xuande Chen: Conceptualization, Supervision, Validation, Writing – review &amp; editing, Funding acquisition. Xiaodong Wang:</w:t>
      </w:r>
      <w:r>
        <w:t xml:space="preserve"> </w:t>
      </w:r>
      <w:r>
        <w:rPr>
          <w:rStyle w:val="ToUpdate"/>
          <w:highlight w:val="yellow"/>
        </w:rPr>
        <w:t xml:space="preserve">[…]</w:t>
      </w:r>
      <w:r>
        <w:t xml:space="preserve">.</w:t>
      </w:r>
    </w:p>
    <w:p>
      <w:pPr>
        <w:pStyle w:val="BodyText"/>
      </w:pPr>
      <w:r>
        <w:rPr>
          <w:bCs/>
          <w:b/>
        </w:rPr>
        <w:t xml:space="preserve">Data and code availability.</w:t>
      </w:r>
      <w:r>
        <w:t xml:space="preserve"> </w:t>
      </w:r>
      <w:r>
        <w:t xml:space="preserve">The experimental data are those of Zhuang et al. [7]. The digitised and cleaned data, the code and all scripts that produce the results and figures of this paper are available at https://github.com/Abderahmane2002/hybrid-pinn-lstm-concrete</w:t>
      </w:r>
      <w:r>
        <w:t xml:space="preserve"> </w:t>
      </w:r>
      <w:r>
        <w:rPr>
          <w:rStyle w:val="ToUpdate"/>
          <w:highlight w:val="yellow"/>
        </w:rPr>
        <w:t xml:space="preserve">[archive a release on Zenodo and cite its DOI]</w:t>
      </w:r>
      <w:r>
        <w:t xml:space="preserve">.</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rPr>
          <w:rStyle w:val="ToUpdate"/>
          <w:highlight w:val="yellow"/>
        </w:rPr>
        <w:t xml:space="preserve">[Funding agency and grant number]</w:t>
      </w:r>
    </w:p>
    <w:p>
      <w:pPr>
        <w:pStyle w:val="BodyText"/>
      </w:pPr>
      <w:r>
        <w:rPr>
          <w:bCs/>
          <w:b/>
        </w:rPr>
        <w:t xml:space="preserve">Declaration of generative AI use.</w:t>
      </w:r>
      <w:r>
        <w:t xml:space="preserve"> </w:t>
      </w:r>
      <w:r>
        <w:rPr>
          <w:rStyle w:val="ToUpdate"/>
          <w:highlight w:val="yellow"/>
        </w:rPr>
        <w:t xml:space="preserve">[Elsevier requires a statement if AI tools were used in preparing the manuscript or code; state the tool and purpose.]</w:t>
      </w:r>
    </w:p>
    <w:bookmarkEnd w:id="71"/>
    <w:bookmarkStart w:id="75" w:name="appendix-a.-training-histories"/>
    <w:p>
      <w:pPr>
        <w:pStyle w:val="Heading1"/>
      </w:pPr>
      <w:r>
        <w:t xml:space="preserve">Appendix A. Training histories</w:t>
      </w:r>
    </w:p>
    <w:p>
      <w:pPr>
        <w:pStyle w:val="CaptionedFigure"/>
      </w:pPr>
      <w:r>
        <w:drawing>
          <wp:inline>
            <wp:extent cx="5334000" cy="2228645"/>
            <wp:effectExtent b="0" l="0" r="0" t="0"/>
            <wp:docPr descr="Fig. A.1. Training histories: (a) RMSE of the PENN on the training mixes (five seeds); (b) loss terms of the PINN (median and range over three seeds)." title="" id="73" name="Picture"/>
            <a:graphic>
              <a:graphicData uri="http://schemas.openxmlformats.org/drawingml/2006/picture">
                <pic:pic>
                  <pic:nvPicPr>
                    <pic:cNvPr descr="fig2/fig_convergence.png" id="74" name="Picture"/>
                    <pic:cNvPicPr>
                      <a:picLocks noChangeArrowheads="1" noChangeAspect="1"/>
                    </pic:cNvPicPr>
                  </pic:nvPicPr>
                  <pic:blipFill>
                    <a:blip r:embed="rId72"/>
                    <a:stretch>
                      <a:fillRect/>
                    </a:stretch>
                  </pic:blipFill>
                  <pic:spPr bwMode="auto">
                    <a:xfrm>
                      <a:off x="0" y="0"/>
                      <a:ext cx="5334000" cy="2228645"/>
                    </a:xfrm>
                    <a:prstGeom prst="rect">
                      <a:avLst/>
                    </a:prstGeom>
                    <a:noFill/>
                    <a:ln w="9525">
                      <a:noFill/>
                      <a:headEnd/>
                      <a:tailEnd/>
                    </a:ln>
                  </pic:spPr>
                </pic:pic>
              </a:graphicData>
            </a:graphic>
          </wp:inline>
        </w:drawing>
      </w:r>
    </w:p>
    <w:p>
      <w:pPr>
        <w:pStyle w:val="ImageCaption"/>
      </w:pPr>
      <w:r>
        <w:rPr>
          <w:bCs/>
          <w:b/>
        </w:rPr>
        <w:t xml:space="preserve">Fig. A.1.</w:t>
      </w:r>
      <w:r>
        <w:t xml:space="preserve"> </w:t>
      </w:r>
      <w:r>
        <w:t xml:space="preserve">Training histories: (a) RMSE of the PENN on the training mixes (five seeds); (b) loss terms of the PINN (median and range over three seeds).</w:t>
      </w:r>
    </w:p>
    <w:bookmarkEnd w:id="75"/>
    <w:bookmarkStart w:id="76" w:name="references"/>
    <w:p>
      <w:pPr>
        <w:pStyle w:val="Heading1"/>
      </w:pPr>
      <w:r>
        <w:t xml:space="preserve">References</w:t>
      </w:r>
    </w:p>
    <w:p>
      <w:pPr>
        <w:pStyle w:val="Reference"/>
      </w:pPr>
      <w:r>
        <w:t xml:space="preserve">[1] P.K. Mehta, P.J.M. Monteiro, Concrete: Microstructure, Properties, and Materials, 4th ed., McGraw-Hill Education, New York, 2014.</w:t>
      </w:r>
    </w:p>
    <w:p>
      <w:pPr>
        <w:pStyle w:val="Reference"/>
      </w:pPr>
      <w:r>
        <w:t xml:space="preserve">[2] A.M. Neville, Properties of Concrete, 5th ed., Pearson Education, Harlow, 2011.</w:t>
      </w:r>
    </w:p>
    <w:p>
      <w:pPr>
        <w:pStyle w:val="Reference"/>
      </w:pPr>
      <w:r>
        <w:t xml:space="preserve">[3] V. Baroghel-Bouny, Water vapour sorption experiments on hardened cementitious materials. Part I: Essential tool for analysis of hygral behaviour and its relation to pore structure, Cem. Concr. Res. 37 (2007) 414–437. https://doi.org/10.1016/j.cemconres.2006.11.019</w:t>
      </w:r>
    </w:p>
    <w:p>
      <w:pPr>
        <w:pStyle w:val="Reference"/>
      </w:pPr>
      <w:r>
        <w:t xml:space="preserve">[4] V. Baroghel-Bouny, M. Mainguy, T. Lassabatère, O. Coussy, Characterization and identification of equilibrium and transfer moisture properties for ordinary and high-performance cementitious materials, Cem. Concr. Res. 29 (1999) 1225–1238.</w:t>
      </w:r>
    </w:p>
    <w:p>
      <w:pPr>
        <w:pStyle w:val="Reference"/>
      </w:pPr>
      <w:r>
        <w:t xml:space="preserve">[5] M. Mainguy, O. Coussy, V. Baroghel-Bouny, Role of air pressure in drying of weakly permeable materials, J. Eng. Mech. 127 (2001) 582–592.</w:t>
      </w:r>
    </w:p>
    <w:p>
      <w:pPr>
        <w:pStyle w:val="Reference"/>
      </w:pPr>
      <w:r>
        <w:t xml:space="preserve">[6] C. Hall, W.D. Hoff, Water Transport in Brick, Stone and Concrete, 2nd ed., Spon Press, London, 2012.</w:t>
      </w:r>
    </w:p>
    <w:p>
      <w:pPr>
        <w:pStyle w:val="Reference"/>
      </w:pPr>
      <w:r>
        <w:t xml:space="preserve">[7] S. Zhuang, Q. Wang, M. Zhang, Water absorption behaviour of concrete: Novel experimental findings and model characterization, J. Build. Eng. 53 (2022) 104602. https://doi.org/10.1016/j.jobe.2022.104602</w:t>
      </w:r>
    </w:p>
    <w:p>
      <w:pPr>
        <w:pStyle w:val="Reference"/>
      </w:pPr>
      <w:r>
        <w:t xml:space="preserve">[8] Z.P. Bažant, L.J. Najjar, Nonlinear water diffusion in nonsaturated concrete, Matér. Constr. 5 (1972) 3–20.</w:t>
      </w:r>
    </w:p>
    <w:p>
      <w:pPr>
        <w:pStyle w:val="Reference"/>
      </w:pPr>
      <w:r>
        <w:t xml:space="preserve">[9] H.M. Künzel, Simultaneous Heat and Moisture Transport in Building Components: One- and Two-Dimensional Calculation Using Simple Parameters, Fraunhofer IRB Verlag, Stuttgart, 1995.</w:t>
      </w:r>
    </w:p>
    <w:p>
      <w:pPr>
        <w:pStyle w:val="Reference"/>
      </w:pPr>
      <w:r>
        <w:t xml:space="preserve">[10] X. Chen, T. Sanchez, D. Conciatori, H. Chaouki, L. Sorelli, B. Selma, M. Chekired, Numerical modeling of 2D hygrothermal transport in unsaturated concrete with capillary suction, J. Build. Eng. 45 (2022) 103640. https://doi.org/10.1016/j.jobe.2021.103640</w:t>
      </w:r>
    </w:p>
    <w:p>
      <w:pPr>
        <w:pStyle w:val="Reference"/>
      </w:pPr>
      <w:r>
        <w:t xml:space="preserve">[11] D. Conciatori, H. Sadouki, E. Brühwiler, Capillary suction and diffusion model for chloride ingress into concrete, Cem. Concr. Res. 38 (2008) 1401–1408.</w:t>
      </w:r>
    </w:p>
    <w:p>
      <w:pPr>
        <w:pStyle w:val="Reference"/>
      </w:pPr>
      <w:r>
        <w:t xml:space="preserve">[12] J. Kaipio, E. Somersalo, Statistical and Computational Inverse Problems, Springer, New York, 2005.</w:t>
      </w:r>
    </w:p>
    <w:p>
      <w:pPr>
        <w:pStyle w:val="Reference"/>
      </w:pPr>
      <w:r>
        <w:t xml:space="preserve">[13] A. Tarantola, Inverse Problem Theory and Methods for Model Parameter Estimation, SIAM, Philadelphia, 2005.</w:t>
      </w:r>
    </w:p>
    <w:p>
      <w:pPr>
        <w:pStyle w:val="Reference"/>
      </w:pPr>
      <w:r>
        <w:t xml:space="preserve">[14] M. Raissi, P. Perdikaris, G.E. Karniadakis, Physics-informed neural networks: A deep learning framework for solving forward and inverse problems involving nonlinear partial differential equations, J. Comput. Phys. 378 (2019) 686–707. https://doi.org/10.1016/j.jcp.2018.10.045</w:t>
      </w:r>
    </w:p>
    <w:p>
      <w:pPr>
        <w:pStyle w:val="Reference"/>
      </w:pPr>
      <w:r>
        <w:t xml:space="preserve">[15] G.E. Karniadakis, I.G. Kevrekidis, L. Lu, P. Perdikaris, S. Wang, L. Yang, Physics-informed machine learning, Nat. Rev. Phys. 3 (2021) 422–440. https://doi.org/10.1038/s42254-021-00314-5</w:t>
      </w:r>
    </w:p>
    <w:p>
      <w:pPr>
        <w:pStyle w:val="Reference"/>
      </w:pPr>
      <w:r>
        <w:t xml:space="preserve">[16] A.G. Baydin, B.A. Pearlmutter, A.A. Radul, J.M. Siskind, Automatic differentiation in machine learning: a survey, J. Mach. Learn. Res. 18 (2018) 1–43.</w:t>
      </w:r>
    </w:p>
    <w:p>
      <w:pPr>
        <w:pStyle w:val="Reference"/>
      </w:pPr>
      <w:r>
        <w:t xml:space="preserve">[17] S. Cuomo, V.S. Di Cola, F. Giampaolo, G. Rozza, M. Raissi, F. Piccialli, Scientific machine learning through physics-informed neural networks: where we are and what’s next, J. Sci. Comput. 92 (2022) 88.</w:t>
      </w:r>
    </w:p>
    <w:p>
      <w:pPr>
        <w:pStyle w:val="Reference"/>
      </w:pPr>
      <w:r>
        <w:t xml:space="preserve">[18] A.M. Tartakovsky, C.O. Marrero, P. Perdikaris, G.D. Tartakovsky, D. Barajas-Solano, Physics-informed deep neural networks for learning parameters and constitutive relationships in subsurface flow problems, Water Resour. Res. 56 (2020) e2019WR026731.</w:t>
      </w:r>
    </w:p>
    <w:p>
      <w:pPr>
        <w:pStyle w:val="Reference"/>
      </w:pPr>
      <w:r>
        <w:t xml:space="preserve">[19] T. Bandai, T.A. Ghezzehei, Physics-informed neural networks with monotonicity constraints for Richardson-Richards equation: Estimation of constitutive relationships and soil water flux density from volumetric water content measurements, Water Resour. Res. 57 (2021) e2020WR027642.</w:t>
      </w:r>
    </w:p>
    <w:p>
      <w:pPr>
        <w:pStyle w:val="Reference"/>
      </w:pPr>
      <w:r>
        <w:t xml:space="preserve">[20] Y. Wan, W. Zheng, Y. Wang, Identification of chloride diffusion coefficient in concrete using physics-informed neural networks, Constr. Build. Mater. 393 (2023) 132049. https://doi.org/10.1016/j.conbuildmat.2023.132049</w:t>
      </w:r>
    </w:p>
    <w:p>
      <w:pPr>
        <w:pStyle w:val="Reference"/>
      </w:pPr>
      <w:r>
        <w:t xml:space="preserve">[21] Y. Wan, W. Zheng, Physics-informed neural network approach for identifying free chloride diffusion coefficient in alkali-activated mortars, J. Build. Eng. 112 (2025) 113820. https://doi.org/10.1016/j.jobe.2025.113820</w:t>
      </w:r>
    </w:p>
    <w:p>
      <w:pPr>
        <w:pStyle w:val="Reference"/>
      </w:pPr>
      <w:r>
        <w:t xml:space="preserve">[22] J.M. Lee, C.J. Lee, Inverse estimation of moisture diffusion model for concrete using artificial neural network, Materials 15 (2022) 5945. https://doi.org/10.3390/ma15175945</w:t>
      </w:r>
    </w:p>
    <w:p>
      <w:pPr>
        <w:pStyle w:val="Reference"/>
      </w:pPr>
      <w:r>
        <w:t xml:space="preserve">[23] A.S. Krishnapriyan, A. Gholami, S. Zhe, R.M. Kirby, M.W. Mahoney, Characterizing possible failure modes in physics-informed neural networks, Adv. Neural Inf. Process. Syst. 34 (2021) 26548–26560.</w:t>
      </w:r>
    </w:p>
    <w:p>
      <w:pPr>
        <w:pStyle w:val="Reference"/>
      </w:pPr>
      <w:r>
        <w:t xml:space="preserve">[24] S. Wang, Y. Teng, P. Perdikaris, Understanding and mitigating gradient flow pathologies in physics-informed neural networks, SIAM J. Sci. Comput. 43 (2021) A3055–A3081.</w:t>
      </w:r>
    </w:p>
    <w:p>
      <w:pPr>
        <w:pStyle w:val="Reference"/>
      </w:pPr>
      <w:r>
        <w:t xml:space="preserve">[25] S. Wang, S. Sankaran, P. Perdikaris, Respecting causality for training physics-informed neural networks, Comput. Methods Appl. Mech. Eng. 421 (2024) 116813.</w:t>
      </w:r>
    </w:p>
    <w:p>
      <w:pPr>
        <w:pStyle w:val="Reference"/>
      </w:pPr>
      <w:r>
        <w:t xml:space="preserve">[26] C. Rackauckas, Y. Ma, J. Martensen, C. Warner, K. Zubov, R. Supekar, D. Skinner, A. Ramadhan, A. Edelman, Universal differential equations for scientific machine learning, arXiv:2001.04385 (2020).</w:t>
      </w:r>
    </w:p>
    <w:p>
      <w:pPr>
        <w:pStyle w:val="Reference"/>
      </w:pPr>
      <w:r>
        <w:t xml:space="preserve">[27] N. Thuerey, P. Holl, M. Mueller, P. Schnell, F. Trost, K. Um, Physics-based Deep Learning, arXiv:2109.05237 (2021).</w:t>
      </w:r>
    </w:p>
    <w:p>
      <w:pPr>
        <w:pStyle w:val="Reference"/>
      </w:pPr>
      <w:r>
        <w:t xml:space="preserve">[28] ASTM C1585, Standard Test Method for Measurement of Rate of Absorption of Water by Hydraulic-Cement Concretes, ASTM International, West Conshohocken, PA.</w:t>
      </w:r>
    </w:p>
    <w:p>
      <w:pPr>
        <w:pStyle w:val="Reference"/>
      </w:pPr>
      <w:r>
        <w:t xml:space="preserve">[29] E. Hairer, G. Wanner, Solving Ordinary Differential Equations II: Stiff and Differential-Algebraic Problems, 2nd ed., Springer, Berlin, 1996.</w:t>
      </w:r>
    </w:p>
    <w:p>
      <w:pPr>
        <w:pStyle w:val="Reference"/>
      </w:pPr>
      <w:r>
        <w:t xml:space="preserve">[30] D.P. Kingma, J. Ba, Adam: A method for stochastic optimization, in: Proc. 3rd Int. Conf. Learn. Represent. (ICLR), San Diego, 2015. arXiv:1412.6980.</w:t>
      </w:r>
    </w:p>
    <w:p>
      <w:pPr>
        <w:pStyle w:val="Reference"/>
      </w:pPr>
      <w:r>
        <w:t xml:space="preserve">[31] L. Yang, X. Meng, G.E. Karniadakis, B-PINNs: Bayesian physics-informed neural networks for forward and inverse PDE problems with noisy data, J. Comput. Phys. 425 (2021) 109913.</w:t>
      </w:r>
    </w:p>
    <w:bookmarkEnd w:id="76"/>
    <w:sectPr>
      <w:footerReference w:type="default" r:id="rIdFtr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Claude (review)" w:date="2026-10-17T12:00:00Z">
    <w:p>
      <w:pPr>
        <w:pStyle w:val="CommentText"/>
      </w:pPr>
      <w:r>
        <w:rPr>
          <w:rStyle w:val="CommentReference"/>
        </w:rPr>
        <w:annotationRef/>
      </w:r>
      <w:r>
        <w:t xml:space="preserve">Highlights must be ≤ 85 characters each and are uploaded as a separate file in Elsevier journals. All five are within the limit.</w:t>
      </w:r>
    </w:p>
  </w:comment>
  <w:comment w:id="1" w:author="Claude (review)" w:date="2026-10-17T12:00:00Z">
    <w:p>
      <w:pPr>
        <w:pStyle w:val="CommentText"/>
      </w:pPr>
      <w:r>
        <w:rPr>
          <w:rStyle w:val="CommentReference"/>
        </w:rPr>
        <w:annotationRef/>
      </w:r>
      <w:r>
        <w:t xml:space="preserve">Please confirm two points with the source. (1) The curves were digitised from the figures of Zhuang et al.; say so explicitly and give the tool (e.g. WebPlotDigitizer). (2) Whether the lateral surface was sealed during drying is not stated. The model assumes drying through all faces (L = V/A = 12.5 mm); if the lateral face was sealed, use L = 25 mm and re-run (one parameter in physics.py). Because D scales with L², only the absolute values of the parameters change, not the comparisons.</w:t>
      </w:r>
    </w:p>
  </w:comment>
  <w:comment w:id="2" w:author="Claude (review)" w:date="2026-10-17T12:00:00Z">
    <w:p>
      <w:pPr>
        <w:pStyle w:val="CommentText"/>
      </w:pPr>
      <w:r>
        <w:rPr>
          <w:rStyle w:val="CommentReference"/>
        </w:rPr>
        <w:annotationRef/>
      </w:r>
      <w:r>
        <w:t xml:space="preserve">Re-digitising the w/b = 0.6 curves and S20-0.5 from Zhuang et al.’s figures (about 1–2 h with WebPlotDigitizer), or obtaining the raw data from the authors, would restore the full 28-mix programme. All results then update by re-running the scripts.</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defaultTabStop w:val="720"/>
  <w:characterSpacingControl w:val="doNotCompress"/>
  <w:footnotePr>
    <w:footnote w:id="-1"/>
    <w:footnote w:id="0"/>
  </w:footnotePr>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w="http://schemas.openxmlformats.org/wordprocessingml/2006/main">
  <w:docDefaults>
    <w:rPrDefault>
      <w:rPr>
        <w:rFonts w:ascii="Times New Roman" w:cs="Times New Roman" w:eastAsia="Times New Roman" w:hAnsi="Times New Roman"/>
        <w:sz w:val="22"/>
        <w:szCs w:val="22"/>
        <w:lang w:val="en-US"/>
      </w:rPr>
    </w:rPrDefault>
    <w:pPrDefault>
      <w:pPr>
        <w:spacing w:after="120" w:line="300" w:lineRule="auto"/>
      </w:pPr>
    </w:pPrDefault>
  </w:docDefaults>
  <w:style w:default="1" w:styleId="Normal" w:type="paragraph">
    <w:name w:val="Normal"/>
    <w:qFormat/>
    <w:pPr>
      <w:jc w:val="both"/>
    </w:pPr>
  </w:style>
  <w:style w:styleId="BodyText" w:type="paragraph">
    <w:name w:val="Body Text"/>
    <w:basedOn w:val="Normal"/>
    <w:qFormat/>
    <w:pPr>
      <w:spacing w:after="140" w:before="0"/>
      <w:jc w:val="both"/>
    </w:pPr>
  </w:style>
  <w:style w:styleId="FirstParagraph" w:type="paragraph">
    <w:name w:val="First Paragraph"/>
    <w:basedOn w:val="BodyText"/>
    <w:next w:val="BodyText"/>
    <w:qFormat/>
  </w:style>
  <w:style w:styleId="Compact" w:type="paragraph">
    <w:name w:val="Compact"/>
    <w:basedOn w:val="BodyText"/>
    <w:qFormat/>
    <w:pPr>
      <w:spacing w:after="40" w:before="20"/>
    </w:pPr>
  </w:style>
  <w:style w:styleId="Title" w:type="paragraph">
    <w:name w:val="Title"/>
    <w:basedOn w:val="Normal"/>
    <w:next w:val="BodyText"/>
    <w:qFormat/>
    <w:pPr>
      <w:keepNext/>
      <w:spacing w:after="240" w:before="240" w:line="276" w:lineRule="auto"/>
      <w:jc w:val="center"/>
    </w:pPr>
    <w:rPr>
      <w:b/>
      <w:bCs/>
      <w:sz w:val="32"/>
      <w:szCs w:val="32"/>
    </w:rPr>
  </w:style>
  <w:style w:styleId="Subtitle" w:type="paragraph">
    <w:name w:val="Subtitle"/>
    <w:basedOn w:val="Title"/>
    <w:qFormat/>
    <w:rPr>
      <w:sz w:val="26"/>
    </w:rPr>
  </w:style>
  <w:style w:styleId="Author" w:type="paragraph">
    <w:name w:val="Author"/>
    <w:basedOn w:val="Normal"/>
    <w:pPr>
      <w:jc w:val="center"/>
    </w:pPr>
  </w:style>
  <w:style w:styleId="Date" w:type="paragraph">
    <w:name w:val="Date"/>
    <w:basedOn w:val="Normal"/>
    <w:pPr>
      <w:jc w:val="center"/>
    </w:pPr>
  </w:style>
  <w:style w:customStyle="1" w:styleId="Authors" w:type="paragraph">
    <w:name w:val="Authors"/>
    <w:basedOn w:val="Normal"/>
    <w:qFormat/>
    <w:pPr>
      <w:spacing w:after="120"/>
      <w:jc w:val="center"/>
    </w:pPr>
    <w:rPr>
      <w:sz w:val="24"/>
    </w:rPr>
  </w:style>
  <w:style w:customStyle="1" w:styleId="Affiliation" w:type="paragraph">
    <w:name w:val="Affiliation"/>
    <w:basedOn w:val="Normal"/>
    <w:qFormat/>
    <w:pPr>
      <w:spacing w:after="360" w:line="252" w:lineRule="auto"/>
      <w:jc w:val="center"/>
    </w:pPr>
    <w:rPr>
      <w:i/>
      <w:sz w:val="19"/>
    </w:rPr>
  </w:style>
  <w:style w:customStyle="1" w:styleId="Reference" w:type="paragraph">
    <w:name w:val="Reference"/>
    <w:basedOn w:val="Normal"/>
    <w:qFormat/>
    <w:pPr>
      <w:spacing w:after="60" w:line="252" w:lineRule="auto"/>
      <w:ind w:hanging="454" w:left="454"/>
      <w:jc w:val="left"/>
    </w:pPr>
    <w:rPr>
      <w:sz w:val="19"/>
    </w:rPr>
  </w:style>
  <w:style w:styleId="AbstractTitle" w:type="paragraph">
    <w:name w:val="Abstract Title"/>
    <w:basedOn w:val="Normal"/>
    <w:pPr>
      <w:jc w:val="center"/>
    </w:pPr>
    <w:rPr>
      <w:b/>
    </w:rPr>
  </w:style>
  <w:style w:styleId="Abstract" w:type="paragraph">
    <w:name w:val="Abstract"/>
    <w:basedOn w:val="Normal"/>
  </w:style>
  <w:style w:styleId="Bibliography" w:type="paragraph">
    <w:name w:val="Bibliography"/>
    <w:basedOn w:val="Normal"/>
  </w:style>
  <w:style w:styleId="Heading1" w:type="paragraph">
    <w:name w:val="heading 1"/>
    <w:basedOn w:val="Normal"/>
    <w:next w:val="BodyText"/>
    <w:uiPriority w:val="9"/>
    <w:qFormat/>
    <w:pPr>
      <w:keepNext/>
      <w:keepLines/>
      <w:spacing w:after="140" w:before="360"/>
      <w:jc w:val="left"/>
      <w:outlineLvl w:val="0"/>
    </w:pPr>
    <w:rPr>
      <w:b/>
      <w:bCs/>
      <w:sz w:val="26"/>
      <w:szCs w:val="26"/>
    </w:rPr>
  </w:style>
  <w:style w:styleId="Heading2" w:type="paragraph">
    <w:name w:val="heading 2"/>
    <w:basedOn w:val="Normal"/>
    <w:next w:val="BodyText"/>
    <w:uiPriority w:val="9"/>
    <w:unhideWhenUsed/>
    <w:qFormat/>
    <w:pPr>
      <w:keepNext/>
      <w:keepLines/>
      <w:spacing w:after="100" w:before="240"/>
      <w:jc w:val="left"/>
      <w:outlineLvl w:val="1"/>
    </w:pPr>
    <w:rPr>
      <w:b/>
      <w:i/>
      <w:sz w:val="23"/>
    </w:rPr>
  </w:style>
  <w:style w:styleId="Heading3" w:type="paragraph">
    <w:name w:val="heading 3"/>
    <w:basedOn w:val="Normal"/>
    <w:next w:val="BodyText"/>
    <w:uiPriority w:val="9"/>
    <w:unhideWhenUsed/>
    <w:qFormat/>
    <w:pPr>
      <w:keepNext/>
      <w:spacing w:after="80" w:before="200"/>
      <w:outlineLvl w:val="2"/>
    </w:pPr>
    <w:rPr>
      <w:i/>
    </w:rPr>
  </w:style>
  <w:style w:styleId="BlockText" w:type="paragraph">
    <w:name w:val="Block Text"/>
    <w:basedOn w:val="BodyText"/>
    <w:next w:val="BodyText"/>
  </w:style>
  <w:style w:styleId="FootnoteText" w:type="paragraph">
    <w:name w:val="footnote text"/>
    <w:basedOn w:val="Normal"/>
    <w:rPr>
      <w:sz w:val="18"/>
    </w:rPr>
  </w:style>
  <w:style w:default="1" w:styleId="DefaultParagraphFont" w:type="character">
    <w:name w:val="Default Paragraph Font"/>
    <w:uiPriority w:val="1"/>
    <w:semiHidden/>
    <w:unhideWhenUsed/>
  </w:style>
  <w:style w:default="1" w:styleId="Table" w:type="table">
    <w:name w:val="Table"/>
    <w:basedOn w:val="TableNormal"/>
    <w:pPr>
      <w:spacing w:after="0" w:before="0" w:line="240" w:lineRule="auto"/>
      <w:jc w:val="left"/>
    </w:pPr>
    <w:rPr>
      <w:sz w:val="19"/>
    </w:rPr>
    <w:tblPr>
      <w:jc w:val="center"/>
      <w:tblBorders>
        <w:top w:color="000000" w:space="0" w:sz="8" w:val="single"/>
        <w:bottom w:color="000000" w:space="0" w:sz="8" w:val="single"/>
      </w:tblBorders>
      <w:tblCellMar>
        <w:top w:type="dxa" w:w="20"/>
        <w:left w:type="dxa" w:w="100"/>
        <w:bottom w:type="dxa" w:w="20"/>
        <w:right w:type="dxa" w:w="100"/>
      </w:tblCellMar>
    </w:tblPr>
    <w:tblStylePr w:type="firstRow">
      <w:rPr>
        <w:b/>
      </w:rPr>
      <w:tcPr>
        <w:tcBorders>
          <w:bottom w:color="000000" w:space="0" w:sz="4" w:val="single"/>
        </w:tcBorders>
        <w:vAlign w:val="bottom"/>
      </w:tcPr>
    </w:tblStylePr>
  </w:style>
  <w:style w:styleId="TableNormal" w:type="table">
    <w:name w:val="Normal Table"/>
    <w:uiPriority w:val="99"/>
    <w:semiHidden/>
    <w:unhideWhenUsed/>
    <w:tblPr>
      <w:tblInd w:type="dxa" w:w="0"/>
      <w:tblCellMar>
        <w:top w:type="dxa" w:w="0"/>
        <w:left w:type="dxa" w:w="108"/>
        <w:bottom w:type="dxa" w:w="0"/>
        <w:right w:type="dxa" w:w="108"/>
      </w:tblCellMar>
    </w:tblPr>
  </w:style>
  <w:style w:styleId="DefinitionTerm" w:type="paragraph">
    <w:name w:val="Definition Term"/>
    <w:basedOn w:val="Normal"/>
    <w:next w:val="Definition"/>
    <w:rPr>
      <w:b/>
    </w:rPr>
  </w:style>
  <w:style w:styleId="Definition" w:type="paragraph">
    <w:name w:val="Definition"/>
    <w:basedOn w:val="Normal"/>
  </w:style>
  <w:style w:styleId="Caption" w:type="paragraph">
    <w:name w:val="caption"/>
    <w:basedOn w:val="Normal"/>
    <w:link w:val="BodyTextChar"/>
    <w:pPr>
      <w:spacing w:after="240" w:before="60" w:line="252" w:lineRule="auto"/>
      <w:jc w:val="both"/>
    </w:pPr>
    <w:rPr>
      <w:sz w:val="19"/>
    </w:rPr>
  </w:style>
  <w:style w:customStyle="1" w:styleId="TableCaption" w:type="paragraph">
    <w:name w:val="Table Caption"/>
    <w:basedOn w:val="Caption"/>
    <w:pPr>
      <w:keepNext/>
      <w:spacing w:after="80" w:before="240"/>
      <w:jc w:val="left"/>
    </w:pPr>
  </w:style>
  <w:style w:customStyle="1" w:styleId="ImageCaption" w:type="paragraph">
    <w:name w:val="Image Caption"/>
    <w:basedOn w:val="Caption"/>
  </w:style>
  <w:style w:customStyle="1" w:styleId="Figure" w:type="paragraph">
    <w:name w:val="Figure"/>
    <w:basedOn w:val="Normal"/>
    <w:pPr>
      <w:keepNext/>
      <w:spacing w:after="0" w:before="200"/>
      <w:jc w:val="center"/>
    </w:pPr>
  </w:style>
  <w:style w:customStyle="1" w:styleId="CaptionedFigure" w:type="paragraph">
    <w:name w:val="Captioned Figure"/>
    <w:basedOn w:val="Figure"/>
    <w:pPr>
      <w:keepNext/>
    </w:pPr>
  </w:style>
  <w:style w:customStyle="1" w:styleId="BodyTextChar" w:type="character">
    <w:name w:val="Body Text Char"/>
    <w:link w:val="BodyText"/>
  </w:style>
  <w:style w:customStyle="1" w:styleId="VerbatimChar" w:type="character">
    <w:name w:val="Verbatim Char"/>
    <w:basedOn w:val="BodyTextChar"/>
    <w:rPr>
      <w:rFonts w:ascii="Consolas" w:hAnsi="Consolas"/>
      <w:sz w:val="20"/>
    </w:rPr>
  </w:style>
  <w:style w:customStyle="1" w:styleId="ToUpdate" w:type="character">
    <w:name w:val="To update"/>
    <w:basedOn w:val="DefaultParagraphFont"/>
    <w:qFormat/>
    <w:rPr>
      <w:highlight w:val="yellow"/>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rPr>
  </w:style>
  <w:style w:styleId="TOCHeading" w:type="paragraph">
    <w:name w:val="TOC Heading"/>
    <w:basedOn w:val="Heading1"/>
    <w:next w:val="BodyText"/>
    <w:uiPriority w:val="39"/>
    <w:unhideWhenUse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25" Target="media/rId25.png" /><Relationship Type="http://schemas.openxmlformats.org/officeDocument/2006/relationships/image" Id="rId58" Target="media/rId5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62" Target="media/rId62.png" /><Relationship Type="http://schemas.openxmlformats.org/officeDocument/2006/relationships/image" Id="rId44" Target="media/rId44.png" /><Relationship Type="http://schemas.openxmlformats.org/officeDocument/2006/relationships/image" Id="rId36" Target="media/rId36.pn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composition-aware physics-embedded neural network for moisture transport in concrete: identification, prediction for unseen mixes and comparison with physics-informed neural networks</dc:title>
  <dc:creator/>
  <cp:keywords/>
  <dcterms:created xsi:type="dcterms:W3CDTF">2026-10-18T20:29:31Z</dcterms:created>
  <dcterms:modified xsi:type="dcterms:W3CDTF">2026-10-18T20:29:31Z</dcterms:modified>
</cp:coreProperties>
</file>

<file path=docProps/custom.xml><?xml version="1.0" encoding="utf-8"?>
<Properties xmlns="http://schemas.openxmlformats.org/officeDocument/2006/custom-properties" xmlns:vt="http://schemas.openxmlformats.org/officeDocument/2006/docPropsVTypes"/>
</file>