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54.png" ContentType="image/png"/>
  <Override PartName="/word/media/rId25.png" ContentType="image/png"/>
  <Override PartName="/word/media/rId66.png" ContentType="image/png"/>
  <Override PartName="/word/media/rId70.png" ContentType="image/png"/>
  <Override PartName="/word/media/rId59.png" ContentType="image/png"/>
  <Override PartName="/word/media/rId31.png" ContentType="image/png"/>
  <Override PartName="/word/media/rId63.png" ContentType="image/png"/>
  <Override PartName="/word/media/rId50.png" ContentType="image/png"/>
  <Override PartName="/word/media/rId84.png" ContentType="image/png"/>
  <Override PartName="/word/media/rId47.png" ContentType="image/png"/>
  <Override PartName="/word/media/rId39.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Physics-embedded</w:t>
      </w:r>
      <w:r>
        <w:t xml:space="preserve"> </w:t>
      </w:r>
      <w:r>
        <w:t xml:space="preserve">neural</w:t>
      </w:r>
      <w:r>
        <w:t xml:space="preserve"> </w:t>
      </w:r>
      <w:r>
        <w:t xml:space="preserve">network</w:t>
      </w:r>
      <w:r>
        <w:t xml:space="preserve"> </w:t>
      </w:r>
      <w:r>
        <w:t xml:space="preserve">for</w:t>
      </w:r>
      <w:r>
        <w:t xml:space="preserve"> </w:t>
      </w:r>
      <w:r>
        <w:t xml:space="preserve">predicting</w:t>
      </w:r>
      <w:r>
        <w:t xml:space="preserve"> </w:t>
      </w:r>
      <w:r>
        <w:t xml:space="preserve">the</w:t>
      </w:r>
      <w:r>
        <w:t xml:space="preserve"> </w:t>
      </w:r>
      <w:r>
        <w:t xml:space="preserve">moisture</w:t>
      </w:r>
      <w:r>
        <w:t xml:space="preserve"> </w:t>
      </w:r>
      <w:r>
        <w:t xml:space="preserve">transport</w:t>
      </w:r>
      <w:r>
        <w:t xml:space="preserve"> </w:t>
      </w:r>
      <w:r>
        <w:t xml:space="preserve">properties</w:t>
      </w:r>
      <w:r>
        <w:t xml:space="preserve"> </w:t>
      </w:r>
      <w:r>
        <w:t xml:space="preserve">of</w:t>
      </w:r>
      <w:r>
        <w:t xml:space="preserve"> </w:t>
      </w:r>
      <w:r>
        <w:t xml:space="preserve">concrete</w:t>
      </w:r>
      <w:r>
        <w:t xml:space="preserve"> </w:t>
      </w:r>
      <w:r>
        <w:t xml:space="preserve">from</w:t>
      </w:r>
      <w:r>
        <w:t xml:space="preserve"> </w:t>
      </w:r>
      <w:r>
        <w:t xml:space="preserve">mix</w:t>
      </w:r>
      <w:r>
        <w:t xml:space="preserve"> </w:t>
      </w:r>
      <w:r>
        <w:t xml:space="preserve">composition,</w:t>
      </w:r>
      <w:r>
        <w:t xml:space="preserve"> </w:t>
      </w:r>
      <w:r>
        <w:t xml:space="preserve">with</w:t>
      </w:r>
      <w:r>
        <w:t xml:space="preserve"> </w:t>
      </w:r>
      <w:r>
        <w:t xml:space="preserve">a</w:t>
      </w:r>
      <w:r>
        <w:t xml:space="preserve"> </w:t>
      </w:r>
      <w:r>
        <w:t xml:space="preserve">comparison</w:t>
      </w:r>
      <w:r>
        <w:t xml:space="preserve"> </w:t>
      </w:r>
      <w:r>
        <w:t xml:space="preserve">to</w:t>
      </w:r>
      <w:r>
        <w:t xml:space="preserve"> </w:t>
      </w:r>
      <w:r>
        <w:t xml:space="preserve">physics-informed</w:t>
      </w:r>
      <w:r>
        <w:t xml:space="preserve"> </w:t>
      </w:r>
      <w:r>
        <w:t xml:space="preserve">neural</w:t>
      </w:r>
      <w:r>
        <w:t xml:space="preserve"> </w:t>
      </w:r>
      <w:r>
        <w:t xml:space="preserve">networks</w:t>
      </w:r>
    </w:p>
    <w:p>
      <w:pPr>
        <w:pStyle w:val="Authors"/>
      </w:pPr>
      <w:r>
        <w:t xml:space="preserve">Abderrahmane Sghuri</w:t>
      </w:r>
      <w:r>
        <w:rPr>
          <w:vertAlign w:val="superscript"/>
        </w:rPr>
        <w:t xml:space="preserve">a,b</w:t>
      </w:r>
      <w:r>
        <w:t xml:space="preserve">, Xuande Chen</w:t>
      </w:r>
      <w:r>
        <w:rPr>
          <w:vertAlign w:val="superscript"/>
        </w:rPr>
        <w:t xml:space="preserve">a,b,*</w:t>
      </w:r>
      <w:r>
        <w:t xml:space="preserve">, Xiaodong Wang</w:t>
      </w:r>
      <w:r>
        <w:rPr>
          <w:vertAlign w:val="superscript"/>
        </w:rPr>
        <w:t xml:space="preserve">a</w:t>
      </w:r>
    </w:p>
    <w:p>
      <w:pPr>
        <w:pStyle w:val="Affiliation"/>
      </w:pPr>
      <w:r>
        <w:rPr>
          <w:vertAlign w:val="superscript"/>
        </w:rPr>
        <w:t xml:space="preserve">a</w:t>
      </w:r>
      <w:r>
        <w:t xml:space="preserve"> </w:t>
      </w:r>
      <w:r>
        <w:t xml:space="preserve">Department of Mathematics, Computer Science and Engineering, Université du Québec à Rimouski (UQAR), Rimouski, QC, Canada</w:t>
      </w:r>
      <w:r>
        <w:br/>
      </w:r>
      <w:r>
        <w:rPr>
          <w:vertAlign w:val="superscript"/>
        </w:rPr>
        <w:t xml:space="preserve">b</w:t>
      </w:r>
      <w:r>
        <w:t xml:space="preserve"> </w:t>
      </w:r>
      <w:r>
        <w:t xml:space="preserve">Research Center on Concrete Infrastructures (CRIB), Québec, QC, Canada</w:t>
      </w:r>
      <w:r>
        <w:br/>
      </w:r>
      <w:r>
        <w:t xml:space="preserve">* Corresponding author:</w:t>
      </w:r>
      <w:r>
        <w:t xml:space="preserve"> </w:t>
      </w:r>
      <w:r>
        <w:rPr>
          <w:rStyle w:val="ToUpdate"/>
          <w:highlight w:val="yellow"/>
        </w:rPr>
        <w:t xml:space="preserve">[e-mail address]</w:t>
      </w:r>
    </w:p>
    <w:bookmarkStart w:id="20" w:name="highlights"/>
    <w:p>
      <w:pPr>
        <w:pStyle w:val="Heading1"/>
      </w:pPr>
      <w:r>
        <w:t xml:space="preserve">Highlights</w:t>
      </w:r>
    </w:p>
    <w:p>
      <w:pPr>
        <w:pStyle w:val="Compact"/>
        <w:numPr>
          <w:ilvl w:val="0"/>
          <w:numId w:val="1001"/>
        </w:numPr>
      </w:pPr>
      <w:r>
        <w:t xml:space="preserve">A small network maps concrete mix composition to moisture transport parameters.</w:t>
      </w:r>
    </w:p>
    <w:p>
      <w:pPr>
        <w:pStyle w:val="Compact"/>
        <w:numPr>
          <w:ilvl w:val="0"/>
          <w:numId w:val="1001"/>
        </w:numPr>
      </w:pPr>
      <w:r>
        <w:t xml:space="preserve">It is trained through a transport solver, so its predictions obey the governing PDE.</w:t>
      </w:r>
    </w:p>
    <w:p>
      <w:pPr>
        <w:pStyle w:val="Compact"/>
        <w:numPr>
          <w:ilvl w:val="0"/>
          <w:numId w:val="1001"/>
        </w:numPr>
      </w:pPr>
      <w:r>
        <w:t xml:space="preserve">Withheld mixes are predicted with R² = 0.9931, even with a binder family left out.</w:t>
      </w:r>
    </w:p>
    <w:p>
      <w:pPr>
        <w:pStyle w:val="Compact"/>
        <w:numPr>
          <w:ilvl w:val="0"/>
          <w:numId w:val="1001"/>
        </w:numPr>
      </w:pPr>
      <w:r>
        <w:t xml:space="preserve">A PINN fits the same data, but its parameters fail an independent solver check.</w:t>
      </w:r>
    </w:p>
    <w:p>
      <w:pPr>
        <w:pStyle w:val="Compact"/>
        <w:numPr>
          <w:ilvl w:val="0"/>
          <w:numId w:val="1001"/>
        </w:numPr>
      </w:pPr>
      <w:r>
        <w:t xml:space="preserve">Real disc geometry, identifiability and data errors are handled; the code is open.</w:t>
      </w:r>
    </w:p>
    <w:bookmarkEnd w:id="20"/>
    <w:bookmarkStart w:id="21" w:name="abstract"/>
    <w:p>
      <w:pPr>
        <w:pStyle w:val="Heading1"/>
      </w:pPr>
      <w:r>
        <w:t xml:space="preserve">Abstract</w:t>
      </w:r>
    </w:p>
    <w:p>
      <w:pPr>
        <w:pStyle w:val="FirstParagraph"/>
      </w:pPr>
      <w:r>
        <w:t xml:space="preserve">Drying tests on concrete usually record only the specimen mass, i.e. the average degree of saturation. Recovering transport properties from such curves is an ill-posed inverse problem, normally solved one mix at a time. We propose a physics-embedded neural network (PENN) in which a small network maps the mix composition (water-to-binder ratio, fly ash and slag contents) to the parameters of a nonlinear vapour–capillary diffusivity, and a solver of the moisture transport equation in the actual disc geometry converts these parameters into drying curves. Because the network is trained through the solver, every prediction satisfies the governing equation and a new mix needs only its composition. The method was tested on 932 drying measurements of 20 plain, binary and ternary concretes after correcting duplicated and time-shifted series in the source data. Only two parameters per mix, the reference diffusivity and the intrinsic permeability, proved identifiable. On six withheld mixes the PENN reached R² = 0.9931 (RMSE = 0.0137), a 32% lower error than a purely data-driven network and the same accuracy as classical identification combined with composition regression. When a whole binder family was withheld, the physics-based models kept R² ≥ 0.965 for every mix, whereas the data-driven network dropped to 0.22. A physics-informed neural network (PINN) trained on the same data reproduced the curves, but its parameters did not reproduce them in an independent solver (R² = 0.860). Embedding the solver, rather than penalising a residual, yields transferable and physically consistent transport parameters from routine gravimetric tests.</w:t>
      </w:r>
    </w:p>
    <w:p>
      <w:pPr>
        <w:pStyle w:val="BodyText"/>
      </w:pPr>
      <w:r>
        <w:rPr>
          <w:bCs/>
          <w:b/>
        </w:rPr>
        <w:t xml:space="preserve">Keywords:</w:t>
      </w:r>
      <w:r>
        <w:t xml:space="preserve"> </w:t>
      </w:r>
      <w:r>
        <w:t xml:space="preserve">Concrete; Moisture transport; Drying; Supplementary cementitious materials; Inverse analysis; Physics-embedded neural network; Physics-informed neural network</w:t>
      </w:r>
    </w:p>
    <w:bookmarkEnd w:id="21"/>
    <w:bookmarkStart w:id="22" w:name="introduction"/>
    <w:p>
      <w:pPr>
        <w:pStyle w:val="Heading1"/>
      </w:pPr>
      <w:r>
        <w:t xml:space="preserve">1 Introduction</w:t>
      </w:r>
    </w:p>
    <w:p>
      <w:pPr>
        <w:pStyle w:val="FirstParagraph"/>
      </w:pPr>
      <w:r>
        <w:t xml:space="preserve">Most deterioration processes in concrete depend on its moisture state. Water carries chlorides to the reinforcement, controls the rate of carbonation, drives freeze–thaw damage and alkali–silica reaction, and its loss causes drying shrinkage [1, 2]. Service-life models therefore need the moisture transport properties of the concrete in question, and these depend strongly on the water-to-binder ratio (w/b) and on supplementary cementitious materials (SCMs) such as fly ash and slag, which refine the pore structure [3, 4]. Moisture moves partly as liquid driven by capillary pressure and partly as vapour diffusing through the gas-filled pores, and the balance between the two changes with the local degree of saturation [5, 6].</w:t>
      </w:r>
    </w:p>
    <w:p>
      <w:pPr>
        <w:pStyle w:val="BodyText"/>
      </w:pPr>
      <w:r>
        <w:t xml:space="preserve">The simplest and most common laboratory measurement is gravimetric: a specimen is weighed while it dries or absorbs water, giving its average degree of saturation</w:t>
      </w:r>
      <w:r>
        <w:t xml:space="preserve"> </w:t>
      </w:r>
      <m:oMath>
        <m:sSub>
          <m:e>
            <m:r>
              <m:t>S</m:t>
            </m:r>
          </m:e>
          <m:sub>
            <m:r>
              <m:rPr>
                <m:nor/>
              </m:rPr>
              <m:t>avg</m:t>
            </m:r>
          </m:sub>
        </m:sSub>
        <m:d>
          <m:dPr>
            <m:begChr m:val="("/>
            <m:sepChr m:val=""/>
            <m:endChr m:val=")"/>
            <m:grow/>
          </m:dPr>
          <m:e>
            <m:r>
              <m:t>t</m:t>
            </m:r>
          </m:e>
        </m:d>
      </m:oMath>
      <w:r>
        <w:t xml:space="preserve"> </w:t>
      </w:r>
      <w:r>
        <w:t xml:space="preserve">[7, 8]. The test is cheap and robust, but the curve says nothing directly about the moisture profile inside the specimen or about the material functions that produce it. These are usually obtained by inverse analysis: a numerical model [6, 9–11] is run repeatedly and its parameters are adjusted until the simulated mass loss matches the measurement. Two difficulties are well known. The problem is ill-posed, since different parameter sets can reproduce the same curve [12, 13], and the calibration is carried out mix by mix, so that a new composition requires a new test and a new inverse analysis.</w:t>
      </w:r>
    </w:p>
    <w:p>
      <w:pPr>
        <w:pStyle w:val="BodyText"/>
      </w:pPr>
      <w:r>
        <w:t xml:space="preserve">Machine learning offers a way to link composition and transport behaviour across many mixes. Physics-informed neural networks (PINNs) are the most widely used option [14–16]. A PINN represents the unknown field with a neural network and adds the residual of the governing equation, computed by automatic differentiation [17], to the data misfit; unknown coefficients can be learned in the same optimisation. PINNs have been used to identify constitutive relations of unsaturated soils [18] and chloride diffusion coefficients of concrete and alkali-activated mortars [19, 20], and neural networks have recovered moisture diffusivities of concrete from synthetic profiles [21]. Their training, however, is known to be fragile for stiff transport problems: the optimiser can settle on fields that satisfy the residual almost everywhere while missing the initial condition or the early-time dynamics [22–24]. In an inverse setting this is hard to notice, because the network may still fit the measurements well.</w:t>
      </w:r>
    </w:p>
    <w:p>
      <w:pPr>
        <w:pStyle w:val="BodyText"/>
      </w:pPr>
      <w:r>
        <w:t xml:space="preserve">A different route is to keep a conventional numerical solver and place it inside the learning loop. In this differentiable-physics approach, the network predicts parameters or closures, the solver integrates the equations, and gradients flow back through the solver [25, 26]. The governing equation then holds to the accuracy of the discretisation, and the network only learns what is genuinely unknown. We are not aware of applications of this idea to moisture transport in cementitious materials, nor of studies that test PINN-identified moisture parameters against an independent solver.</w:t>
      </w:r>
    </w:p>
    <w:p>
      <w:pPr>
        <w:pStyle w:val="BodyText"/>
      </w:pPr>
      <w:r>
        <w:t xml:space="preserve">This paper develops such a physics-embedded neural network (PENN) for the drying of concrete and evaluates it against classical identification, a purely data-driven network and a PINN. The contributions are:</w:t>
      </w:r>
    </w:p>
    <w:p>
      <w:pPr>
        <w:pStyle w:val="Compact"/>
        <w:numPr>
          <w:ilvl w:val="0"/>
          <w:numId w:val="1002"/>
        </w:numPr>
      </w:pPr>
      <w:r>
        <w:t xml:space="preserve">a cleaned, documented version of a published drying database, with an analysis of which transport parameters can actually be identified from average-saturation curves;</w:t>
      </w:r>
    </w:p>
    <w:p>
      <w:pPr>
        <w:pStyle w:val="Compact"/>
        <w:numPr>
          <w:ilvl w:val="0"/>
          <w:numId w:val="1002"/>
        </w:numPr>
      </w:pPr>
      <w:r>
        <w:t xml:space="preserve">a PENN that predicts these parameters from mix composition and is trained through a solver of the transport equation in the real disc geometry;</w:t>
      </w:r>
    </w:p>
    <w:p>
      <w:pPr>
        <w:pStyle w:val="Compact"/>
        <w:numPr>
          <w:ilvl w:val="0"/>
          <w:numId w:val="1002"/>
        </w:numPr>
      </w:pPr>
      <w:r>
        <w:t xml:space="preserve">a validation on withheld mixes, by leave-one-mix-out and leave-one-binder-family-out cross-validation and under added measurement noise;</w:t>
      </w:r>
    </w:p>
    <w:p>
      <w:pPr>
        <w:pStyle w:val="Compact"/>
        <w:numPr>
          <w:ilvl w:val="0"/>
          <w:numId w:val="1002"/>
        </w:numPr>
      </w:pPr>
      <w:r>
        <w:t xml:space="preserve">a controlled comparison with a PINN, including an independent check of the identified parameters, which shows why the two approaches differ.</w:t>
      </w:r>
    </w:p>
    <w:p>
      <w:pPr>
        <w:pStyle w:val="FirstParagraph"/>
      </w:pPr>
      <w:r>
        <w:t xml:space="preserve">The database and its cleaning are described in Section 2, the transport model and its identifiability in Section 3, and the numerical and learning methods in Section 4. Section 5 presents the results, Section 6 discusses them and Section 7 concludes.</w:t>
      </w:r>
    </w:p>
    <w:bookmarkEnd w:id="22"/>
    <w:bookmarkStart w:id="29" w:name="experimental-database"/>
    <w:p>
      <w:pPr>
        <w:pStyle w:val="Heading1"/>
      </w:pPr>
      <w:r>
        <w:t xml:space="preserve">2 Experimental database</w:t>
      </w:r>
    </w:p>
    <w:bookmarkStart w:id="23" w:name="source-and-test-protocol"/>
    <w:p>
      <w:pPr>
        <w:pStyle w:val="Heading2"/>
      </w:pPr>
      <w:r>
        <w:t xml:space="preserve">2.1 Source and test protocol</w:t>
      </w:r>
    </w:p>
    <w:p>
      <w:pPr>
        <w:pStyle w:val="FirstParagraph"/>
      </w:pPr>
      <w:r>
        <w:t xml:space="preserve">The data come from the experimental programme of Zhuang et al. [8] on the drying and capillary absorption of concretes containing fly ash and slag. Discs 100 mm in diameter and 50 mm thick were cut from the central part of 100 mm × 150 mm cylinders, vacuum-saturated for 24 h and dried in an oven at 50 °C, following the conditioning procedure of ASTM C1585 [27]. The discs were weighed daily until the mass change over 24 h fell below 0.1%, and the degree of saturation was expressed relative to the saturated and oven-dry states.</w:t>
      </w:r>
      <w:r>
        <w:t xml:space="preserve"> </w:t>
      </w:r>
      <w:commentRangeStart w:id="0"/>
      <w:r>
        <w:t xml:space="preserve">The drying curves used here were digitised from the figures of that publication.</w:t>
      </w:r>
      <w:commentRangeEnd w:id="0"/>
      <w:r>
        <w:rPr>
          <w:rStyle w:val="CommentReference"/>
        </w:rPr>
        <w:commentReference w:id="0"/>
      </w:r>
    </w:p>
    <w:bookmarkEnd w:id="23"/>
    <w:bookmarkStart w:id="24" w:name="concrete-mixes"/>
    <w:p>
      <w:pPr>
        <w:pStyle w:val="Heading2"/>
      </w:pPr>
      <w:r>
        <w:t xml:space="preserve">2.2 Concrete mixes</w:t>
      </w:r>
    </w:p>
    <w:p>
      <w:pPr>
        <w:pStyle w:val="FirstParagraph"/>
      </w:pPr>
      <w:r>
        <w:t xml:space="preserve">The programme covers four w/b ratios (0.3–0.6) and seven binder systems: plain Portland cement (C), 20% and 40% fly ash (F20, F40), 20% and 40% slag (S20, S40), and ternary blends with 10% + 10% and 20% + 20% fly ash and slag (F10S10, F20S20). The proportions are given in Table 1.</w:t>
      </w:r>
    </w:p>
    <w:p>
      <w:pPr>
        <w:pStyle w:val="TableCaption"/>
      </w:pPr>
      <w:r>
        <w:rPr>
          <w:bCs/>
          <w:b/>
        </w:rPr>
        <w:t xml:space="preserve">Table 1.</w:t>
      </w:r>
      <w:r>
        <w:t xml:space="preserve"> </w:t>
      </w:r>
      <w:r>
        <w:t xml:space="preserve">Mix proportions of the concretes (kg/m³), after Zhuang et al. [8].</w:t>
      </w:r>
    </w:p>
    <w:tbl>
      <w:tblPr>
        <w:tblStyle w:val="Table"/>
        <w:tblW w:type="auto" w:w="0"/>
        <w:jc w:val="center"/>
        <w:tblLook w:firstRow="1" w:lastRow="0" w:firstColumn="0" w:lastColumn="0" w:noHBand="0" w:noVBand="0" w:val="0020"/>
        <w:tblCaption w:val="Table 1. Mix proportions of the concretes (kg/m³), after Zhuang et al. [8]."/>
      </w:tblPr>
      <w:tblGrid>
        <w:gridCol w:w="1320"/>
        <w:gridCol w:w="1320"/>
        <w:gridCol w:w="1320"/>
        <w:gridCol w:w="1320"/>
        <w:gridCol w:w="1320"/>
        <w:gridCol w:w="1320"/>
      </w:tblGrid>
      <w:tr>
        <w:trPr>
          <w:tblHeader w:val="true"/>
        </w:trPr>
        <w:tc>
          <w:tcPr/>
          <w:p>
            <w:pPr>
              <w:pStyle w:val="Compact"/>
              <w:jc w:val="left"/>
            </w:pPr>
            <w:r>
              <w:t xml:space="preserve">Mix</w:t>
            </w:r>
          </w:p>
        </w:tc>
        <w:tc>
          <w:tcPr/>
          <w:p>
            <w:pPr>
              <w:pStyle w:val="Compact"/>
              <w:jc w:val="center"/>
            </w:pPr>
            <w:r>
              <w:t xml:space="preserve">w/b</w:t>
            </w:r>
          </w:p>
        </w:tc>
        <w:tc>
          <w:tcPr/>
          <w:p>
            <w:pPr>
              <w:pStyle w:val="Compact"/>
              <w:jc w:val="center"/>
            </w:pPr>
            <w:r>
              <w:t xml:space="preserve">Water</w:t>
            </w:r>
          </w:p>
        </w:tc>
        <w:tc>
          <w:tcPr/>
          <w:p>
            <w:pPr>
              <w:pStyle w:val="Compact"/>
              <w:jc w:val="center"/>
            </w:pPr>
            <w:r>
              <w:t xml:space="preserve">Cement</w:t>
            </w:r>
          </w:p>
        </w:tc>
        <w:tc>
          <w:tcPr/>
          <w:p>
            <w:pPr>
              <w:pStyle w:val="Compact"/>
              <w:jc w:val="center"/>
            </w:pPr>
            <w:r>
              <w:t xml:space="preserve">Fly ash</w:t>
            </w:r>
          </w:p>
        </w:tc>
        <w:tc>
          <w:tcPr/>
          <w:p>
            <w:pPr>
              <w:pStyle w:val="Compact"/>
              <w:jc w:val="center"/>
            </w:pPr>
            <w:r>
              <w:t xml:space="preserve">Slag</w:t>
            </w:r>
          </w:p>
        </w:tc>
      </w:tr>
      <w:tr>
        <w:tc>
          <w:tcPr/>
          <w:p>
            <w:pPr>
              <w:pStyle w:val="Compact"/>
              <w:jc w:val="left"/>
            </w:pPr>
            <w:r>
              <w:t xml:space="preserve">C-0.3</w:t>
            </w:r>
          </w:p>
        </w:tc>
        <w:tc>
          <w:tcPr/>
          <w:p>
            <w:pPr>
              <w:pStyle w:val="Compact"/>
              <w:jc w:val="center"/>
            </w:pPr>
            <w:r>
              <w:t xml:space="preserve">0.3</w:t>
            </w:r>
          </w:p>
        </w:tc>
        <w:tc>
          <w:tcPr/>
          <w:p>
            <w:pPr>
              <w:pStyle w:val="Compact"/>
              <w:jc w:val="center"/>
            </w:pPr>
            <w:r>
              <w:t xml:space="preserve">179</w:t>
            </w:r>
          </w:p>
        </w:tc>
        <w:tc>
          <w:tcPr/>
          <w:p>
            <w:pPr>
              <w:pStyle w:val="Compact"/>
              <w:jc w:val="center"/>
            </w:pPr>
            <w:r>
              <w:t xml:space="preserve">596</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C-0.4</w:t>
            </w:r>
          </w:p>
        </w:tc>
        <w:tc>
          <w:tcPr/>
          <w:p>
            <w:pPr>
              <w:pStyle w:val="Compact"/>
              <w:jc w:val="center"/>
            </w:pPr>
            <w:r>
              <w:t xml:space="preserve">0.4</w:t>
            </w:r>
          </w:p>
        </w:tc>
        <w:tc>
          <w:tcPr/>
          <w:p>
            <w:pPr>
              <w:pStyle w:val="Compact"/>
              <w:jc w:val="center"/>
            </w:pPr>
            <w:r>
              <w:t xml:space="preserve">204</w:t>
            </w:r>
          </w:p>
        </w:tc>
        <w:tc>
          <w:tcPr/>
          <w:p>
            <w:pPr>
              <w:pStyle w:val="Compact"/>
              <w:jc w:val="center"/>
            </w:pPr>
            <w:r>
              <w:t xml:space="preserve">509</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C-0.5</w:t>
            </w:r>
          </w:p>
        </w:tc>
        <w:tc>
          <w:tcPr/>
          <w:p>
            <w:pPr>
              <w:pStyle w:val="Compact"/>
              <w:jc w:val="center"/>
            </w:pPr>
            <w:r>
              <w:t xml:space="preserve">0.5</w:t>
            </w:r>
          </w:p>
        </w:tc>
        <w:tc>
          <w:tcPr/>
          <w:p>
            <w:pPr>
              <w:pStyle w:val="Compact"/>
              <w:jc w:val="center"/>
            </w:pPr>
            <w:r>
              <w:t xml:space="preserve">226</w:t>
            </w:r>
          </w:p>
        </w:tc>
        <w:tc>
          <w:tcPr/>
          <w:p>
            <w:pPr>
              <w:pStyle w:val="Compact"/>
              <w:jc w:val="center"/>
            </w:pPr>
            <w:r>
              <w:t xml:space="preserve">451</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C-0.6</w:t>
            </w:r>
          </w:p>
        </w:tc>
        <w:tc>
          <w:tcPr/>
          <w:p>
            <w:pPr>
              <w:pStyle w:val="Compact"/>
              <w:jc w:val="center"/>
            </w:pPr>
            <w:r>
              <w:t xml:space="preserve">0.6</w:t>
            </w:r>
          </w:p>
        </w:tc>
        <w:tc>
          <w:tcPr/>
          <w:p>
            <w:pPr>
              <w:pStyle w:val="Compact"/>
              <w:jc w:val="center"/>
            </w:pPr>
            <w:r>
              <w:t xml:space="preserve">236</w:t>
            </w:r>
          </w:p>
        </w:tc>
        <w:tc>
          <w:tcPr/>
          <w:p>
            <w:pPr>
              <w:pStyle w:val="Compact"/>
              <w:jc w:val="center"/>
            </w:pPr>
            <w:r>
              <w:t xml:space="preserve">393</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F20-0.3</w:t>
            </w:r>
          </w:p>
        </w:tc>
        <w:tc>
          <w:tcPr/>
          <w:p>
            <w:pPr>
              <w:pStyle w:val="Compact"/>
              <w:jc w:val="center"/>
            </w:pPr>
            <w:r>
              <w:t xml:space="preserve">0.3</w:t>
            </w:r>
          </w:p>
        </w:tc>
        <w:tc>
          <w:tcPr/>
          <w:p>
            <w:pPr>
              <w:pStyle w:val="Compact"/>
              <w:jc w:val="center"/>
            </w:pPr>
            <w:r>
              <w:t xml:space="preserve">173</w:t>
            </w:r>
          </w:p>
        </w:tc>
        <w:tc>
          <w:tcPr/>
          <w:p>
            <w:pPr>
              <w:pStyle w:val="Compact"/>
              <w:jc w:val="center"/>
            </w:pPr>
            <w:r>
              <w:t xml:space="preserve">461</w:t>
            </w:r>
          </w:p>
        </w:tc>
        <w:tc>
          <w:tcPr/>
          <w:p>
            <w:pPr>
              <w:pStyle w:val="Compact"/>
              <w:jc w:val="center"/>
            </w:pPr>
            <w:r>
              <w:t xml:space="preserve">115</w:t>
            </w:r>
          </w:p>
        </w:tc>
        <w:tc>
          <w:tcPr/>
          <w:p>
            <w:pPr>
              <w:pStyle w:val="Compact"/>
              <w:jc w:val="center"/>
            </w:pPr>
            <w:r>
              <w:t xml:space="preserve">–</w:t>
            </w:r>
          </w:p>
        </w:tc>
      </w:tr>
      <w:tr>
        <w:tc>
          <w:tcPr/>
          <w:p>
            <w:pPr>
              <w:pStyle w:val="Compact"/>
              <w:jc w:val="left"/>
            </w:pPr>
            <w:r>
              <w:t xml:space="preserve">F20-0.4</w:t>
            </w:r>
          </w:p>
        </w:tc>
        <w:tc>
          <w:tcPr/>
          <w:p>
            <w:pPr>
              <w:pStyle w:val="Compact"/>
              <w:jc w:val="center"/>
            </w:pPr>
            <w:r>
              <w:t xml:space="preserve">0.4</w:t>
            </w:r>
          </w:p>
        </w:tc>
        <w:tc>
          <w:tcPr/>
          <w:p>
            <w:pPr>
              <w:pStyle w:val="Compact"/>
              <w:jc w:val="center"/>
            </w:pPr>
            <w:r>
              <w:t xml:space="preserve">200</w:t>
            </w:r>
          </w:p>
        </w:tc>
        <w:tc>
          <w:tcPr/>
          <w:p>
            <w:pPr>
              <w:pStyle w:val="Compact"/>
              <w:jc w:val="center"/>
            </w:pPr>
            <w:r>
              <w:t xml:space="preserve">399</w:t>
            </w:r>
          </w:p>
        </w:tc>
        <w:tc>
          <w:tcPr/>
          <w:p>
            <w:pPr>
              <w:pStyle w:val="Compact"/>
              <w:jc w:val="center"/>
            </w:pPr>
            <w:r>
              <w:t xml:space="preserve">100</w:t>
            </w:r>
          </w:p>
        </w:tc>
        <w:tc>
          <w:tcPr/>
          <w:p>
            <w:pPr>
              <w:pStyle w:val="Compact"/>
              <w:jc w:val="center"/>
            </w:pPr>
            <w:r>
              <w:t xml:space="preserve">–</w:t>
            </w:r>
          </w:p>
        </w:tc>
      </w:tr>
      <w:tr>
        <w:tc>
          <w:tcPr/>
          <w:p>
            <w:pPr>
              <w:pStyle w:val="Compact"/>
              <w:jc w:val="left"/>
            </w:pPr>
            <w:r>
              <w:t xml:space="preserve">F20-0.5</w:t>
            </w:r>
          </w:p>
        </w:tc>
        <w:tc>
          <w:tcPr/>
          <w:p>
            <w:pPr>
              <w:pStyle w:val="Compact"/>
              <w:jc w:val="center"/>
            </w:pPr>
            <w:r>
              <w:t xml:space="preserve">0.5</w:t>
            </w:r>
          </w:p>
        </w:tc>
        <w:tc>
          <w:tcPr/>
          <w:p>
            <w:pPr>
              <w:pStyle w:val="Compact"/>
              <w:jc w:val="center"/>
            </w:pPr>
            <w:r>
              <w:t xml:space="preserve">222</w:t>
            </w:r>
          </w:p>
        </w:tc>
        <w:tc>
          <w:tcPr/>
          <w:p>
            <w:pPr>
              <w:pStyle w:val="Compact"/>
              <w:jc w:val="center"/>
            </w:pPr>
            <w:r>
              <w:t xml:space="preserve">355</w:t>
            </w:r>
          </w:p>
        </w:tc>
        <w:tc>
          <w:tcPr/>
          <w:p>
            <w:pPr>
              <w:pStyle w:val="Compact"/>
              <w:jc w:val="center"/>
            </w:pPr>
            <w:r>
              <w:t xml:space="preserve">89</w:t>
            </w:r>
          </w:p>
        </w:tc>
        <w:tc>
          <w:tcPr/>
          <w:p>
            <w:pPr>
              <w:pStyle w:val="Compact"/>
              <w:jc w:val="center"/>
            </w:pPr>
            <w:r>
              <w:t xml:space="preserve">–</w:t>
            </w:r>
          </w:p>
        </w:tc>
      </w:tr>
      <w:tr>
        <w:tc>
          <w:tcPr/>
          <w:p>
            <w:pPr>
              <w:pStyle w:val="Compact"/>
              <w:jc w:val="left"/>
            </w:pPr>
            <w:r>
              <w:t xml:space="preserve">F20-0.6</w:t>
            </w:r>
          </w:p>
        </w:tc>
        <w:tc>
          <w:tcPr/>
          <w:p>
            <w:pPr>
              <w:pStyle w:val="Compact"/>
              <w:jc w:val="center"/>
            </w:pPr>
            <w:r>
              <w:t xml:space="preserve">0.6</w:t>
            </w:r>
          </w:p>
        </w:tc>
        <w:tc>
          <w:tcPr/>
          <w:p>
            <w:pPr>
              <w:pStyle w:val="Compact"/>
              <w:jc w:val="center"/>
            </w:pPr>
            <w:r>
              <w:t xml:space="preserve">233</w:t>
            </w:r>
          </w:p>
        </w:tc>
        <w:tc>
          <w:tcPr/>
          <w:p>
            <w:pPr>
              <w:pStyle w:val="Compact"/>
              <w:jc w:val="center"/>
            </w:pPr>
            <w:r>
              <w:t xml:space="preserve">311</w:t>
            </w:r>
          </w:p>
        </w:tc>
        <w:tc>
          <w:tcPr/>
          <w:p>
            <w:pPr>
              <w:pStyle w:val="Compact"/>
              <w:jc w:val="center"/>
            </w:pPr>
            <w:r>
              <w:t xml:space="preserve">78</w:t>
            </w:r>
          </w:p>
        </w:tc>
        <w:tc>
          <w:tcPr/>
          <w:p>
            <w:pPr>
              <w:pStyle w:val="Compact"/>
              <w:jc w:val="center"/>
            </w:pPr>
            <w:r>
              <w:t xml:space="preserve">–</w:t>
            </w:r>
          </w:p>
        </w:tc>
      </w:tr>
      <w:tr>
        <w:tc>
          <w:tcPr/>
          <w:p>
            <w:pPr>
              <w:pStyle w:val="Compact"/>
              <w:jc w:val="left"/>
            </w:pPr>
            <w:r>
              <w:t xml:space="preserve">F40-0.3</w:t>
            </w:r>
          </w:p>
        </w:tc>
        <w:tc>
          <w:tcPr/>
          <w:p>
            <w:pPr>
              <w:pStyle w:val="Compact"/>
              <w:jc w:val="center"/>
            </w:pPr>
            <w:r>
              <w:t xml:space="preserve">0.3</w:t>
            </w:r>
          </w:p>
        </w:tc>
        <w:tc>
          <w:tcPr/>
          <w:p>
            <w:pPr>
              <w:pStyle w:val="Compact"/>
              <w:jc w:val="center"/>
            </w:pPr>
            <w:r>
              <w:t xml:space="preserve">167</w:t>
            </w:r>
          </w:p>
        </w:tc>
        <w:tc>
          <w:tcPr/>
          <w:p>
            <w:pPr>
              <w:pStyle w:val="Compact"/>
              <w:jc w:val="center"/>
            </w:pPr>
            <w:r>
              <w:t xml:space="preserve">334</w:t>
            </w:r>
          </w:p>
        </w:tc>
        <w:tc>
          <w:tcPr/>
          <w:p>
            <w:pPr>
              <w:pStyle w:val="Compact"/>
              <w:jc w:val="center"/>
            </w:pPr>
            <w:r>
              <w:t xml:space="preserve">223</w:t>
            </w:r>
          </w:p>
        </w:tc>
        <w:tc>
          <w:tcPr/>
          <w:p>
            <w:pPr>
              <w:pStyle w:val="Compact"/>
              <w:jc w:val="center"/>
            </w:pPr>
            <w:r>
              <w:t xml:space="preserve">–</w:t>
            </w:r>
          </w:p>
        </w:tc>
      </w:tr>
      <w:tr>
        <w:tc>
          <w:tcPr/>
          <w:p>
            <w:pPr>
              <w:pStyle w:val="Compact"/>
              <w:jc w:val="left"/>
            </w:pPr>
            <w:r>
              <w:t xml:space="preserve">F40-0.4</w:t>
            </w:r>
          </w:p>
        </w:tc>
        <w:tc>
          <w:tcPr/>
          <w:p>
            <w:pPr>
              <w:pStyle w:val="Compact"/>
              <w:jc w:val="center"/>
            </w:pPr>
            <w:r>
              <w:t xml:space="preserve">0.4</w:t>
            </w:r>
          </w:p>
        </w:tc>
        <w:tc>
          <w:tcPr/>
          <w:p>
            <w:pPr>
              <w:pStyle w:val="Compact"/>
              <w:jc w:val="center"/>
            </w:pPr>
            <w:r>
              <w:t xml:space="preserve">197</w:t>
            </w:r>
          </w:p>
        </w:tc>
        <w:tc>
          <w:tcPr/>
          <w:p>
            <w:pPr>
              <w:pStyle w:val="Compact"/>
              <w:jc w:val="center"/>
            </w:pPr>
            <w:r>
              <w:t xml:space="preserve">296</w:t>
            </w:r>
          </w:p>
        </w:tc>
        <w:tc>
          <w:tcPr/>
          <w:p>
            <w:pPr>
              <w:pStyle w:val="Compact"/>
              <w:jc w:val="center"/>
            </w:pPr>
            <w:r>
              <w:t xml:space="preserve">197</w:t>
            </w:r>
          </w:p>
        </w:tc>
        <w:tc>
          <w:tcPr/>
          <w:p>
            <w:pPr>
              <w:pStyle w:val="Compact"/>
              <w:jc w:val="center"/>
            </w:pPr>
            <w:r>
              <w:t xml:space="preserve">–</w:t>
            </w:r>
          </w:p>
        </w:tc>
      </w:tr>
      <w:tr>
        <w:tc>
          <w:tcPr/>
          <w:p>
            <w:pPr>
              <w:pStyle w:val="Compact"/>
              <w:jc w:val="left"/>
            </w:pPr>
            <w:r>
              <w:t xml:space="preserve">F40-0.5</w:t>
            </w:r>
          </w:p>
        </w:tc>
        <w:tc>
          <w:tcPr/>
          <w:p>
            <w:pPr>
              <w:pStyle w:val="Compact"/>
              <w:jc w:val="center"/>
            </w:pPr>
            <w:r>
              <w:t xml:space="preserve">0.5</w:t>
            </w:r>
          </w:p>
        </w:tc>
        <w:tc>
          <w:tcPr/>
          <w:p>
            <w:pPr>
              <w:pStyle w:val="Compact"/>
              <w:jc w:val="center"/>
            </w:pPr>
            <w:r>
              <w:t xml:space="preserve">217</w:t>
            </w:r>
          </w:p>
        </w:tc>
        <w:tc>
          <w:tcPr/>
          <w:p>
            <w:pPr>
              <w:pStyle w:val="Compact"/>
              <w:jc w:val="center"/>
            </w:pPr>
            <w:r>
              <w:t xml:space="preserve">260</w:t>
            </w:r>
          </w:p>
        </w:tc>
        <w:tc>
          <w:tcPr/>
          <w:p>
            <w:pPr>
              <w:pStyle w:val="Compact"/>
              <w:jc w:val="center"/>
            </w:pPr>
            <w:r>
              <w:t xml:space="preserve">174</w:t>
            </w:r>
          </w:p>
        </w:tc>
        <w:tc>
          <w:tcPr/>
          <w:p>
            <w:pPr>
              <w:pStyle w:val="Compact"/>
              <w:jc w:val="center"/>
            </w:pPr>
            <w:r>
              <w:t xml:space="preserve">–</w:t>
            </w:r>
          </w:p>
        </w:tc>
      </w:tr>
      <w:tr>
        <w:tc>
          <w:tcPr/>
          <w:p>
            <w:pPr>
              <w:pStyle w:val="Compact"/>
              <w:jc w:val="left"/>
            </w:pPr>
            <w:r>
              <w:t xml:space="preserve">F40-0.6</w:t>
            </w:r>
          </w:p>
        </w:tc>
        <w:tc>
          <w:tcPr/>
          <w:p>
            <w:pPr>
              <w:pStyle w:val="Compact"/>
              <w:jc w:val="center"/>
            </w:pPr>
            <w:r>
              <w:t xml:space="preserve">0.6</w:t>
            </w:r>
          </w:p>
        </w:tc>
        <w:tc>
          <w:tcPr/>
          <w:p>
            <w:pPr>
              <w:pStyle w:val="Compact"/>
              <w:jc w:val="center"/>
            </w:pPr>
            <w:r>
              <w:t xml:space="preserve">231</w:t>
            </w:r>
          </w:p>
        </w:tc>
        <w:tc>
          <w:tcPr/>
          <w:p>
            <w:pPr>
              <w:pStyle w:val="Compact"/>
              <w:jc w:val="center"/>
            </w:pPr>
            <w:r>
              <w:t xml:space="preserve">231</w:t>
            </w:r>
          </w:p>
        </w:tc>
        <w:tc>
          <w:tcPr/>
          <w:p>
            <w:pPr>
              <w:pStyle w:val="Compact"/>
              <w:jc w:val="center"/>
            </w:pPr>
            <w:r>
              <w:t xml:space="preserve">154</w:t>
            </w:r>
          </w:p>
        </w:tc>
        <w:tc>
          <w:tcPr/>
          <w:p>
            <w:pPr>
              <w:pStyle w:val="Compact"/>
              <w:jc w:val="center"/>
            </w:pPr>
            <w:r>
              <w:t xml:space="preserve">–</w:t>
            </w:r>
          </w:p>
        </w:tc>
      </w:tr>
      <w:tr>
        <w:tc>
          <w:tcPr/>
          <w:p>
            <w:pPr>
              <w:pStyle w:val="Compact"/>
              <w:jc w:val="left"/>
            </w:pPr>
            <w:r>
              <w:t xml:space="preserve">S20-0.3</w:t>
            </w:r>
          </w:p>
        </w:tc>
        <w:tc>
          <w:tcPr/>
          <w:p>
            <w:pPr>
              <w:pStyle w:val="Compact"/>
              <w:jc w:val="center"/>
            </w:pPr>
            <w:r>
              <w:t xml:space="preserve">0.3</w:t>
            </w:r>
          </w:p>
        </w:tc>
        <w:tc>
          <w:tcPr/>
          <w:p>
            <w:pPr>
              <w:pStyle w:val="Compact"/>
              <w:jc w:val="center"/>
            </w:pPr>
            <w:r>
              <w:t xml:space="preserve">176</w:t>
            </w:r>
          </w:p>
        </w:tc>
        <w:tc>
          <w:tcPr/>
          <w:p>
            <w:pPr>
              <w:pStyle w:val="Compact"/>
              <w:jc w:val="center"/>
            </w:pPr>
            <w:r>
              <w:t xml:space="preserve">470</w:t>
            </w:r>
          </w:p>
        </w:tc>
        <w:tc>
          <w:tcPr/>
          <w:p>
            <w:pPr>
              <w:pStyle w:val="Compact"/>
              <w:jc w:val="center"/>
            </w:pPr>
            <w:r>
              <w:t xml:space="preserve">–</w:t>
            </w:r>
          </w:p>
        </w:tc>
        <w:tc>
          <w:tcPr/>
          <w:p>
            <w:pPr>
              <w:pStyle w:val="Compact"/>
              <w:jc w:val="center"/>
            </w:pPr>
            <w:r>
              <w:t xml:space="preserve">118</w:t>
            </w:r>
          </w:p>
        </w:tc>
      </w:tr>
      <w:tr>
        <w:tc>
          <w:tcPr/>
          <w:p>
            <w:pPr>
              <w:pStyle w:val="Compact"/>
              <w:jc w:val="left"/>
            </w:pPr>
            <w:r>
              <w:t xml:space="preserve">S20-0.4</w:t>
            </w:r>
          </w:p>
        </w:tc>
        <w:tc>
          <w:tcPr/>
          <w:p>
            <w:pPr>
              <w:pStyle w:val="Compact"/>
              <w:jc w:val="center"/>
            </w:pPr>
            <w:r>
              <w:t xml:space="preserve">0.4</w:t>
            </w:r>
          </w:p>
        </w:tc>
        <w:tc>
          <w:tcPr/>
          <w:p>
            <w:pPr>
              <w:pStyle w:val="Compact"/>
              <w:jc w:val="center"/>
            </w:pPr>
            <w:r>
              <w:t xml:space="preserve">205</w:t>
            </w:r>
          </w:p>
        </w:tc>
        <w:tc>
          <w:tcPr/>
          <w:p>
            <w:pPr>
              <w:pStyle w:val="Compact"/>
              <w:jc w:val="center"/>
            </w:pPr>
            <w:r>
              <w:t xml:space="preserve">409</w:t>
            </w:r>
          </w:p>
        </w:tc>
        <w:tc>
          <w:tcPr/>
          <w:p>
            <w:pPr>
              <w:pStyle w:val="Compact"/>
              <w:jc w:val="center"/>
            </w:pPr>
            <w:r>
              <w:t xml:space="preserve">–</w:t>
            </w:r>
          </w:p>
        </w:tc>
        <w:tc>
          <w:tcPr/>
          <w:p>
            <w:pPr>
              <w:pStyle w:val="Compact"/>
              <w:jc w:val="center"/>
            </w:pPr>
            <w:r>
              <w:t xml:space="preserve">102</w:t>
            </w:r>
          </w:p>
        </w:tc>
      </w:tr>
      <w:tr>
        <w:tc>
          <w:tcPr/>
          <w:p>
            <w:pPr>
              <w:pStyle w:val="Compact"/>
              <w:jc w:val="left"/>
            </w:pPr>
            <w:r>
              <w:t xml:space="preserve">S20-0.5</w:t>
            </w:r>
          </w:p>
        </w:tc>
        <w:tc>
          <w:tcPr/>
          <w:p>
            <w:pPr>
              <w:pStyle w:val="Compact"/>
              <w:jc w:val="center"/>
            </w:pPr>
            <w:r>
              <w:t xml:space="preserve">0.5</w:t>
            </w:r>
          </w:p>
        </w:tc>
        <w:tc>
          <w:tcPr/>
          <w:p>
            <w:pPr>
              <w:pStyle w:val="Compact"/>
              <w:jc w:val="center"/>
            </w:pPr>
            <w:r>
              <w:t xml:space="preserve">227</w:t>
            </w:r>
          </w:p>
        </w:tc>
        <w:tc>
          <w:tcPr/>
          <w:p>
            <w:pPr>
              <w:pStyle w:val="Compact"/>
              <w:jc w:val="center"/>
            </w:pPr>
            <w:r>
              <w:t xml:space="preserve">363</w:t>
            </w:r>
          </w:p>
        </w:tc>
        <w:tc>
          <w:tcPr/>
          <w:p>
            <w:pPr>
              <w:pStyle w:val="Compact"/>
              <w:jc w:val="center"/>
            </w:pPr>
            <w:r>
              <w:t xml:space="preserve">–</w:t>
            </w:r>
          </w:p>
        </w:tc>
        <w:tc>
          <w:tcPr/>
          <w:p>
            <w:pPr>
              <w:pStyle w:val="Compact"/>
              <w:jc w:val="center"/>
            </w:pPr>
            <w:r>
              <w:t xml:space="preserve">91</w:t>
            </w:r>
          </w:p>
        </w:tc>
      </w:tr>
      <w:tr>
        <w:tc>
          <w:tcPr/>
          <w:p>
            <w:pPr>
              <w:pStyle w:val="Compact"/>
              <w:jc w:val="left"/>
            </w:pPr>
            <w:r>
              <w:t xml:space="preserve">S20-0.6</w:t>
            </w:r>
          </w:p>
        </w:tc>
        <w:tc>
          <w:tcPr/>
          <w:p>
            <w:pPr>
              <w:pStyle w:val="Compact"/>
              <w:jc w:val="center"/>
            </w:pPr>
            <w:r>
              <w:t xml:space="preserve">0.6</w:t>
            </w:r>
          </w:p>
        </w:tc>
        <w:tc>
          <w:tcPr/>
          <w:p>
            <w:pPr>
              <w:pStyle w:val="Compact"/>
              <w:jc w:val="center"/>
            </w:pPr>
            <w:r>
              <w:t xml:space="preserve">237</w:t>
            </w:r>
          </w:p>
        </w:tc>
        <w:tc>
          <w:tcPr/>
          <w:p>
            <w:pPr>
              <w:pStyle w:val="Compact"/>
              <w:jc w:val="center"/>
            </w:pPr>
            <w:r>
              <w:t xml:space="preserve">316</w:t>
            </w:r>
          </w:p>
        </w:tc>
        <w:tc>
          <w:tcPr/>
          <w:p>
            <w:pPr>
              <w:pStyle w:val="Compact"/>
              <w:jc w:val="center"/>
            </w:pPr>
            <w:r>
              <w:t xml:space="preserve">–</w:t>
            </w:r>
          </w:p>
        </w:tc>
        <w:tc>
          <w:tcPr/>
          <w:p>
            <w:pPr>
              <w:pStyle w:val="Compact"/>
              <w:jc w:val="center"/>
            </w:pPr>
            <w:r>
              <w:t xml:space="preserve">79</w:t>
            </w:r>
          </w:p>
        </w:tc>
      </w:tr>
      <w:tr>
        <w:tc>
          <w:tcPr/>
          <w:p>
            <w:pPr>
              <w:pStyle w:val="Compact"/>
              <w:jc w:val="left"/>
            </w:pPr>
            <w:r>
              <w:t xml:space="preserve">S40-0.3</w:t>
            </w:r>
          </w:p>
        </w:tc>
        <w:tc>
          <w:tcPr/>
          <w:p>
            <w:pPr>
              <w:pStyle w:val="Compact"/>
              <w:jc w:val="center"/>
            </w:pPr>
            <w:r>
              <w:t xml:space="preserve">0.3</w:t>
            </w:r>
          </w:p>
        </w:tc>
        <w:tc>
          <w:tcPr/>
          <w:p>
            <w:pPr>
              <w:pStyle w:val="Compact"/>
              <w:jc w:val="center"/>
            </w:pPr>
            <w:r>
              <w:t xml:space="preserve">174</w:t>
            </w:r>
          </w:p>
        </w:tc>
        <w:tc>
          <w:tcPr/>
          <w:p>
            <w:pPr>
              <w:pStyle w:val="Compact"/>
              <w:jc w:val="center"/>
            </w:pPr>
            <w:r>
              <w:t xml:space="preserve">348</w:t>
            </w:r>
          </w:p>
        </w:tc>
        <w:tc>
          <w:tcPr/>
          <w:p>
            <w:pPr>
              <w:pStyle w:val="Compact"/>
              <w:jc w:val="center"/>
            </w:pPr>
            <w:r>
              <w:t xml:space="preserve">–</w:t>
            </w:r>
          </w:p>
        </w:tc>
        <w:tc>
          <w:tcPr/>
          <w:p>
            <w:pPr>
              <w:pStyle w:val="Compact"/>
              <w:jc w:val="center"/>
            </w:pPr>
            <w:r>
              <w:t xml:space="preserve">232</w:t>
            </w:r>
          </w:p>
        </w:tc>
      </w:tr>
      <w:tr>
        <w:tc>
          <w:tcPr/>
          <w:p>
            <w:pPr>
              <w:pStyle w:val="Compact"/>
              <w:jc w:val="left"/>
            </w:pPr>
            <w:r>
              <w:t xml:space="preserve">S40-0.4</w:t>
            </w:r>
          </w:p>
        </w:tc>
        <w:tc>
          <w:tcPr/>
          <w:p>
            <w:pPr>
              <w:pStyle w:val="Compact"/>
              <w:jc w:val="center"/>
            </w:pPr>
            <w:r>
              <w:t xml:space="preserve">0.4</w:t>
            </w:r>
          </w:p>
        </w:tc>
        <w:tc>
          <w:tcPr/>
          <w:p>
            <w:pPr>
              <w:pStyle w:val="Compact"/>
              <w:jc w:val="center"/>
            </w:pPr>
            <w:r>
              <w:t xml:space="preserve">205</w:t>
            </w:r>
          </w:p>
        </w:tc>
        <w:tc>
          <w:tcPr/>
          <w:p>
            <w:pPr>
              <w:pStyle w:val="Compact"/>
              <w:jc w:val="center"/>
            </w:pPr>
            <w:r>
              <w:t xml:space="preserve">307</w:t>
            </w:r>
          </w:p>
        </w:tc>
        <w:tc>
          <w:tcPr/>
          <w:p>
            <w:pPr>
              <w:pStyle w:val="Compact"/>
              <w:jc w:val="center"/>
            </w:pPr>
            <w:r>
              <w:t xml:space="preserve">–</w:t>
            </w:r>
          </w:p>
        </w:tc>
        <w:tc>
          <w:tcPr/>
          <w:p>
            <w:pPr>
              <w:pStyle w:val="Compact"/>
              <w:jc w:val="center"/>
            </w:pPr>
            <w:r>
              <w:t xml:space="preserve">205</w:t>
            </w:r>
          </w:p>
        </w:tc>
      </w:tr>
      <w:tr>
        <w:tc>
          <w:tcPr/>
          <w:p>
            <w:pPr>
              <w:pStyle w:val="Compact"/>
              <w:jc w:val="left"/>
            </w:pPr>
            <w:r>
              <w:t xml:space="preserve">S40-0.5</w:t>
            </w:r>
          </w:p>
        </w:tc>
        <w:tc>
          <w:tcPr/>
          <w:p>
            <w:pPr>
              <w:pStyle w:val="Compact"/>
              <w:jc w:val="center"/>
            </w:pPr>
            <w:r>
              <w:t xml:space="preserve">0.5</w:t>
            </w:r>
          </w:p>
        </w:tc>
        <w:tc>
          <w:tcPr/>
          <w:p>
            <w:pPr>
              <w:pStyle w:val="Compact"/>
              <w:jc w:val="center"/>
            </w:pPr>
            <w:r>
              <w:t xml:space="preserve">223</w:t>
            </w:r>
          </w:p>
        </w:tc>
        <w:tc>
          <w:tcPr/>
          <w:p>
            <w:pPr>
              <w:pStyle w:val="Compact"/>
              <w:jc w:val="center"/>
            </w:pPr>
            <w:r>
              <w:t xml:space="preserve">268</w:t>
            </w:r>
          </w:p>
        </w:tc>
        <w:tc>
          <w:tcPr/>
          <w:p>
            <w:pPr>
              <w:pStyle w:val="Compact"/>
              <w:jc w:val="center"/>
            </w:pPr>
            <w:r>
              <w:t xml:space="preserve">–</w:t>
            </w:r>
          </w:p>
        </w:tc>
        <w:tc>
          <w:tcPr/>
          <w:p>
            <w:pPr>
              <w:pStyle w:val="Compact"/>
              <w:jc w:val="center"/>
            </w:pPr>
            <w:r>
              <w:t xml:space="preserve">178</w:t>
            </w:r>
          </w:p>
        </w:tc>
      </w:tr>
      <w:tr>
        <w:tc>
          <w:tcPr/>
          <w:p>
            <w:pPr>
              <w:pStyle w:val="Compact"/>
              <w:jc w:val="left"/>
            </w:pPr>
            <w:r>
              <w:t xml:space="preserve">S40-0.6</w:t>
            </w:r>
          </w:p>
        </w:tc>
        <w:tc>
          <w:tcPr/>
          <w:p>
            <w:pPr>
              <w:pStyle w:val="Compact"/>
              <w:jc w:val="center"/>
            </w:pPr>
            <w:r>
              <w:t xml:space="preserve">0.6</w:t>
            </w:r>
          </w:p>
        </w:tc>
        <w:tc>
          <w:tcPr/>
          <w:p>
            <w:pPr>
              <w:pStyle w:val="Compact"/>
              <w:jc w:val="center"/>
            </w:pPr>
            <w:r>
              <w:t xml:space="preserve">237</w:t>
            </w:r>
          </w:p>
        </w:tc>
        <w:tc>
          <w:tcPr/>
          <w:p>
            <w:pPr>
              <w:pStyle w:val="Compact"/>
              <w:jc w:val="center"/>
            </w:pPr>
            <w:r>
              <w:t xml:space="preserve">237</w:t>
            </w:r>
          </w:p>
        </w:tc>
        <w:tc>
          <w:tcPr/>
          <w:p>
            <w:pPr>
              <w:pStyle w:val="Compact"/>
              <w:jc w:val="center"/>
            </w:pPr>
            <w:r>
              <w:t xml:space="preserve">–</w:t>
            </w:r>
          </w:p>
        </w:tc>
        <w:tc>
          <w:tcPr/>
          <w:p>
            <w:pPr>
              <w:pStyle w:val="Compact"/>
              <w:jc w:val="center"/>
            </w:pPr>
            <w:r>
              <w:t xml:space="preserve">158</w:t>
            </w:r>
          </w:p>
        </w:tc>
      </w:tr>
      <w:tr>
        <w:tc>
          <w:tcPr/>
          <w:p>
            <w:pPr>
              <w:pStyle w:val="Compact"/>
              <w:jc w:val="left"/>
            </w:pPr>
            <w:r>
              <w:t xml:space="preserve">F10S10-0.3</w:t>
            </w:r>
          </w:p>
        </w:tc>
        <w:tc>
          <w:tcPr/>
          <w:p>
            <w:pPr>
              <w:pStyle w:val="Compact"/>
              <w:jc w:val="center"/>
            </w:pPr>
            <w:r>
              <w:t xml:space="preserve">0.3</w:t>
            </w:r>
          </w:p>
        </w:tc>
        <w:tc>
          <w:tcPr/>
          <w:p>
            <w:pPr>
              <w:pStyle w:val="Compact"/>
              <w:jc w:val="center"/>
            </w:pPr>
            <w:r>
              <w:t xml:space="preserve">175</w:t>
            </w:r>
          </w:p>
        </w:tc>
        <w:tc>
          <w:tcPr/>
          <w:p>
            <w:pPr>
              <w:pStyle w:val="Compact"/>
              <w:jc w:val="center"/>
            </w:pPr>
            <w:r>
              <w:t xml:space="preserve">466</w:t>
            </w:r>
          </w:p>
        </w:tc>
        <w:tc>
          <w:tcPr/>
          <w:p>
            <w:pPr>
              <w:pStyle w:val="Compact"/>
              <w:jc w:val="center"/>
            </w:pPr>
            <w:r>
              <w:t xml:space="preserve">58</w:t>
            </w:r>
          </w:p>
        </w:tc>
        <w:tc>
          <w:tcPr/>
          <w:p>
            <w:pPr>
              <w:pStyle w:val="Compact"/>
              <w:jc w:val="center"/>
            </w:pPr>
            <w:r>
              <w:t xml:space="preserve">58</w:t>
            </w:r>
          </w:p>
        </w:tc>
      </w:tr>
      <w:tr>
        <w:tc>
          <w:tcPr/>
          <w:p>
            <w:pPr>
              <w:pStyle w:val="Compact"/>
              <w:jc w:val="left"/>
            </w:pPr>
            <w:r>
              <w:t xml:space="preserve">F10S10-0.4</w:t>
            </w:r>
          </w:p>
        </w:tc>
        <w:tc>
          <w:tcPr/>
          <w:p>
            <w:pPr>
              <w:pStyle w:val="Compact"/>
              <w:jc w:val="center"/>
            </w:pPr>
            <w:r>
              <w:t xml:space="preserve">0.4</w:t>
            </w:r>
          </w:p>
        </w:tc>
        <w:tc>
          <w:tcPr/>
          <w:p>
            <w:pPr>
              <w:pStyle w:val="Compact"/>
              <w:jc w:val="center"/>
            </w:pPr>
            <w:r>
              <w:t xml:space="preserve">202</w:t>
            </w:r>
          </w:p>
        </w:tc>
        <w:tc>
          <w:tcPr/>
          <w:p>
            <w:pPr>
              <w:pStyle w:val="Compact"/>
              <w:jc w:val="center"/>
            </w:pPr>
            <w:r>
              <w:t xml:space="preserve">403</w:t>
            </w:r>
          </w:p>
        </w:tc>
        <w:tc>
          <w:tcPr/>
          <w:p>
            <w:pPr>
              <w:pStyle w:val="Compact"/>
              <w:jc w:val="center"/>
            </w:pPr>
            <w:r>
              <w:t xml:space="preserve">50</w:t>
            </w:r>
          </w:p>
        </w:tc>
        <w:tc>
          <w:tcPr/>
          <w:p>
            <w:pPr>
              <w:pStyle w:val="Compact"/>
              <w:jc w:val="center"/>
            </w:pPr>
            <w:r>
              <w:t xml:space="preserve">50</w:t>
            </w:r>
          </w:p>
        </w:tc>
      </w:tr>
      <w:tr>
        <w:tc>
          <w:tcPr/>
          <w:p>
            <w:pPr>
              <w:pStyle w:val="Compact"/>
              <w:jc w:val="left"/>
            </w:pPr>
            <w:r>
              <w:t xml:space="preserve">F10S10-0.5</w:t>
            </w:r>
          </w:p>
        </w:tc>
        <w:tc>
          <w:tcPr/>
          <w:p>
            <w:pPr>
              <w:pStyle w:val="Compact"/>
              <w:jc w:val="center"/>
            </w:pPr>
            <w:r>
              <w:t xml:space="preserve">0.5</w:t>
            </w:r>
          </w:p>
        </w:tc>
        <w:tc>
          <w:tcPr/>
          <w:p>
            <w:pPr>
              <w:pStyle w:val="Compact"/>
              <w:jc w:val="center"/>
            </w:pPr>
            <w:r>
              <w:t xml:space="preserve">223</w:t>
            </w:r>
          </w:p>
        </w:tc>
        <w:tc>
          <w:tcPr/>
          <w:p>
            <w:pPr>
              <w:pStyle w:val="Compact"/>
              <w:jc w:val="center"/>
            </w:pPr>
            <w:r>
              <w:t xml:space="preserve">357</w:t>
            </w:r>
          </w:p>
        </w:tc>
        <w:tc>
          <w:tcPr/>
          <w:p>
            <w:pPr>
              <w:pStyle w:val="Compact"/>
              <w:jc w:val="center"/>
            </w:pPr>
            <w:r>
              <w:t xml:space="preserve">45</w:t>
            </w:r>
          </w:p>
        </w:tc>
        <w:tc>
          <w:tcPr/>
          <w:p>
            <w:pPr>
              <w:pStyle w:val="Compact"/>
              <w:jc w:val="center"/>
            </w:pPr>
            <w:r>
              <w:t xml:space="preserve">45</w:t>
            </w:r>
          </w:p>
        </w:tc>
      </w:tr>
      <w:tr>
        <w:tc>
          <w:tcPr/>
          <w:p>
            <w:pPr>
              <w:pStyle w:val="Compact"/>
              <w:jc w:val="left"/>
            </w:pPr>
            <w:r>
              <w:t xml:space="preserve">F10S10-0.6</w:t>
            </w:r>
          </w:p>
        </w:tc>
        <w:tc>
          <w:tcPr/>
          <w:p>
            <w:pPr>
              <w:pStyle w:val="Compact"/>
              <w:jc w:val="center"/>
            </w:pPr>
            <w:r>
              <w:t xml:space="preserve">0.6</w:t>
            </w:r>
          </w:p>
        </w:tc>
        <w:tc>
          <w:tcPr/>
          <w:p>
            <w:pPr>
              <w:pStyle w:val="Compact"/>
              <w:jc w:val="center"/>
            </w:pPr>
            <w:r>
              <w:t xml:space="preserve">236</w:t>
            </w:r>
          </w:p>
        </w:tc>
        <w:tc>
          <w:tcPr/>
          <w:p>
            <w:pPr>
              <w:pStyle w:val="Compact"/>
              <w:jc w:val="center"/>
            </w:pPr>
            <w:r>
              <w:t xml:space="preserve">315</w:t>
            </w:r>
          </w:p>
        </w:tc>
        <w:tc>
          <w:tcPr/>
          <w:p>
            <w:pPr>
              <w:pStyle w:val="Compact"/>
              <w:jc w:val="center"/>
            </w:pPr>
            <w:r>
              <w:t xml:space="preserve">39</w:t>
            </w:r>
          </w:p>
        </w:tc>
        <w:tc>
          <w:tcPr/>
          <w:p>
            <w:pPr>
              <w:pStyle w:val="Compact"/>
              <w:jc w:val="center"/>
            </w:pPr>
            <w:r>
              <w:t xml:space="preserve">39</w:t>
            </w:r>
          </w:p>
        </w:tc>
      </w:tr>
      <w:tr>
        <w:tc>
          <w:tcPr/>
          <w:p>
            <w:pPr>
              <w:pStyle w:val="Compact"/>
              <w:jc w:val="left"/>
            </w:pPr>
            <w:r>
              <w:t xml:space="preserve">F20S20-0.3</w:t>
            </w:r>
          </w:p>
        </w:tc>
        <w:tc>
          <w:tcPr/>
          <w:p>
            <w:pPr>
              <w:pStyle w:val="Compact"/>
              <w:jc w:val="center"/>
            </w:pPr>
            <w:r>
              <w:t xml:space="preserve">0.3</w:t>
            </w:r>
          </w:p>
        </w:tc>
        <w:tc>
          <w:tcPr/>
          <w:p>
            <w:pPr>
              <w:pStyle w:val="Compact"/>
              <w:jc w:val="center"/>
            </w:pPr>
            <w:r>
              <w:t xml:space="preserve">170</w:t>
            </w:r>
          </w:p>
        </w:tc>
        <w:tc>
          <w:tcPr/>
          <w:p>
            <w:pPr>
              <w:pStyle w:val="Compact"/>
              <w:jc w:val="center"/>
            </w:pPr>
            <w:r>
              <w:t xml:space="preserve">341</w:t>
            </w:r>
          </w:p>
        </w:tc>
        <w:tc>
          <w:tcPr/>
          <w:p>
            <w:pPr>
              <w:pStyle w:val="Compact"/>
              <w:jc w:val="center"/>
            </w:pPr>
            <w:r>
              <w:t xml:space="preserve">114</w:t>
            </w:r>
          </w:p>
        </w:tc>
        <w:tc>
          <w:tcPr/>
          <w:p>
            <w:pPr>
              <w:pStyle w:val="Compact"/>
              <w:jc w:val="center"/>
            </w:pPr>
            <w:r>
              <w:t xml:space="preserve">114</w:t>
            </w:r>
          </w:p>
        </w:tc>
      </w:tr>
      <w:tr>
        <w:tc>
          <w:tcPr/>
          <w:p>
            <w:pPr>
              <w:pStyle w:val="Compact"/>
              <w:jc w:val="left"/>
            </w:pPr>
            <w:r>
              <w:t xml:space="preserve">F20S20-0.4</w:t>
            </w:r>
          </w:p>
        </w:tc>
        <w:tc>
          <w:tcPr/>
          <w:p>
            <w:pPr>
              <w:pStyle w:val="Compact"/>
              <w:jc w:val="center"/>
            </w:pPr>
            <w:r>
              <w:t xml:space="preserve">0.4</w:t>
            </w:r>
          </w:p>
        </w:tc>
        <w:tc>
          <w:tcPr/>
          <w:p>
            <w:pPr>
              <w:pStyle w:val="Compact"/>
              <w:jc w:val="center"/>
            </w:pPr>
            <w:r>
              <w:t xml:space="preserve">196</w:t>
            </w:r>
          </w:p>
        </w:tc>
        <w:tc>
          <w:tcPr/>
          <w:p>
            <w:pPr>
              <w:pStyle w:val="Compact"/>
              <w:jc w:val="center"/>
            </w:pPr>
            <w:r>
              <w:t xml:space="preserve">295</w:t>
            </w:r>
          </w:p>
        </w:tc>
        <w:tc>
          <w:tcPr/>
          <w:p>
            <w:pPr>
              <w:pStyle w:val="Compact"/>
              <w:jc w:val="center"/>
            </w:pPr>
            <w:r>
              <w:t xml:space="preserve">98</w:t>
            </w:r>
          </w:p>
        </w:tc>
        <w:tc>
          <w:tcPr/>
          <w:p>
            <w:pPr>
              <w:pStyle w:val="Compact"/>
              <w:jc w:val="center"/>
            </w:pPr>
            <w:r>
              <w:t xml:space="preserve">98</w:t>
            </w:r>
          </w:p>
        </w:tc>
      </w:tr>
      <w:tr>
        <w:tc>
          <w:tcPr/>
          <w:p>
            <w:pPr>
              <w:pStyle w:val="Compact"/>
              <w:jc w:val="left"/>
            </w:pPr>
            <w:r>
              <w:t xml:space="preserve">F20S20-0.5</w:t>
            </w:r>
          </w:p>
        </w:tc>
        <w:tc>
          <w:tcPr/>
          <w:p>
            <w:pPr>
              <w:pStyle w:val="Compact"/>
              <w:jc w:val="center"/>
            </w:pPr>
            <w:r>
              <w:t xml:space="preserve">0.5</w:t>
            </w:r>
          </w:p>
        </w:tc>
        <w:tc>
          <w:tcPr/>
          <w:p>
            <w:pPr>
              <w:pStyle w:val="Compact"/>
              <w:jc w:val="center"/>
            </w:pPr>
            <w:r>
              <w:t xml:space="preserve">224</w:t>
            </w:r>
          </w:p>
        </w:tc>
        <w:tc>
          <w:tcPr/>
          <w:p>
            <w:pPr>
              <w:pStyle w:val="Compact"/>
              <w:jc w:val="center"/>
            </w:pPr>
            <w:r>
              <w:t xml:space="preserve">269</w:t>
            </w:r>
          </w:p>
        </w:tc>
        <w:tc>
          <w:tcPr/>
          <w:p>
            <w:pPr>
              <w:pStyle w:val="Compact"/>
              <w:jc w:val="center"/>
            </w:pPr>
            <w:r>
              <w:t xml:space="preserve">90</w:t>
            </w:r>
          </w:p>
        </w:tc>
        <w:tc>
          <w:tcPr/>
          <w:p>
            <w:pPr>
              <w:pStyle w:val="Compact"/>
              <w:jc w:val="center"/>
            </w:pPr>
            <w:r>
              <w:t xml:space="preserve">90</w:t>
            </w:r>
          </w:p>
        </w:tc>
      </w:tr>
      <w:tr>
        <w:tc>
          <w:tcPr/>
          <w:p>
            <w:pPr>
              <w:pStyle w:val="Compact"/>
              <w:jc w:val="left"/>
            </w:pPr>
            <w:r>
              <w:t xml:space="preserve">F20S20-0.6</w:t>
            </w:r>
          </w:p>
        </w:tc>
        <w:tc>
          <w:tcPr/>
          <w:p>
            <w:pPr>
              <w:pStyle w:val="Compact"/>
              <w:jc w:val="center"/>
            </w:pPr>
            <w:r>
              <w:t xml:space="preserve">0.6</w:t>
            </w:r>
          </w:p>
        </w:tc>
        <w:tc>
          <w:tcPr/>
          <w:p>
            <w:pPr>
              <w:pStyle w:val="Compact"/>
              <w:jc w:val="center"/>
            </w:pPr>
            <w:r>
              <w:t xml:space="preserve">241</w:t>
            </w:r>
          </w:p>
        </w:tc>
        <w:tc>
          <w:tcPr/>
          <w:p>
            <w:pPr>
              <w:pStyle w:val="Compact"/>
              <w:jc w:val="center"/>
            </w:pPr>
            <w:r>
              <w:t xml:space="preserve">241</w:t>
            </w:r>
          </w:p>
        </w:tc>
        <w:tc>
          <w:tcPr/>
          <w:p>
            <w:pPr>
              <w:pStyle w:val="Compact"/>
              <w:jc w:val="center"/>
            </w:pPr>
            <w:r>
              <w:t xml:space="preserve">80</w:t>
            </w:r>
          </w:p>
        </w:tc>
        <w:tc>
          <w:tcPr/>
          <w:p>
            <w:pPr>
              <w:pStyle w:val="Compact"/>
              <w:jc w:val="center"/>
            </w:pPr>
            <w:r>
              <w:t xml:space="preserve">80</w:t>
            </w:r>
          </w:p>
        </w:tc>
      </w:tr>
    </w:tbl>
    <w:bookmarkEnd w:id="24"/>
    <w:bookmarkStart w:id="28" w:name="data-cleaning"/>
    <w:p>
      <w:pPr>
        <w:pStyle w:val="Heading2"/>
      </w:pPr>
      <w:r>
        <w:t xml:space="preserve">2.3 Data cleaning</w:t>
      </w:r>
    </w:p>
    <w:p>
      <w:pPr>
        <w:pStyle w:val="FirstParagraph"/>
      </w:pPr>
      <w:r>
        <w:t xml:space="preserve">The digitised file contained 1,562 points for 27 mixes; S20-0.5 was missing. For most mixes it held two digitisations of the same drying curve: a short series with daily points up to 14 days and a long series extending to 40–100 days. Matching equal saturation values showed that the long series was shifted in time by 1.05 days (interquartile range 0.97–1.13 days over the 18 mixes in which the two series agreed). Only the short series is consistent with drying from</w:t>
      </w:r>
      <w:r>
        <w:t xml:space="preserve"> </w:t>
      </w:r>
      <m:oMath>
        <m:r>
          <m:t>t</m:t>
        </m:r>
        <m:r>
          <m:rPr>
            <m:sty m:val="p"/>
          </m:rPr>
          <m:t>=</m:t>
        </m:r>
        <m:r>
          <m:t>0</m:t>
        </m:r>
      </m:oMath>
      <w:r>
        <w:t xml:space="preserve">, since</w:t>
      </w:r>
      <w:r>
        <w:t xml:space="preserve"> </w:t>
      </w:r>
      <m:oMath>
        <m:r>
          <m:t>1</m:t>
        </m:r>
        <m:r>
          <m:rPr>
            <m:sty m:val="p"/>
          </m:rPr>
          <m:t>−</m:t>
        </m:r>
        <m:sSub>
          <m:e>
            <m:r>
              <m:t>S</m:t>
            </m:r>
          </m:e>
          <m:sub>
            <m:r>
              <m:rPr>
                <m:nor/>
              </m:rPr>
              <m:t>avg</m:t>
            </m:r>
          </m:sub>
        </m:sSub>
      </m:oMath>
      <w:r>
        <w:t xml:space="preserve"> </w:t>
      </w:r>
      <w:r>
        <w:t xml:space="preserve">grows as</w:t>
      </w:r>
      <w:r>
        <w:t xml:space="preserve"> </w:t>
      </w:r>
      <m:oMath>
        <m:rad>
          <m:radPr>
            <m:degHide m:val="on"/>
          </m:radPr>
          <m:deg/>
          <m:e>
            <m:r>
              <m:t>t</m:t>
            </m:r>
          </m:e>
        </m:rad>
      </m:oMath>
      <w:r>
        <w:t xml:space="preserve"> </w:t>
      </w:r>
      <w:r>
        <w:t xml:space="preserve">at early ages. Each curve was therefore rebuilt from the short series up to 14 days and the time-corrected long series beyond, which removed the duplicated points (Fig. 1a,b).</w:t>
      </w:r>
    </w:p>
    <w:p>
      <w:pPr>
        <w:pStyle w:val="BodyText"/>
      </w:pPr>
      <w:r>
        <w:t xml:space="preserve">The w/b = 0.6 series could not be repaired. The long series of S20-0.6 and S40-0.6 are identical copies, the short series of F20S20-0.6 mixes two curves, and the time offsets between the two series are erratic (Fig. 1c). The remaining w/b = 0.6 curves also dry more slowly at early ages than the corresponding w/b = 0.5 curves, which is implausible, and a classical fit of them drives the permeability to the lower bound of its admissible range. These mixes were excluded. The database used below contains 932 points for 20 mixes with w/b between 0.3 and 0.5. Every step is scripted and reported in the code repository.</w:t>
      </w:r>
    </w:p>
    <w:p>
      <w:pPr>
        <w:pStyle w:val="CaptionedFigure"/>
      </w:pPr>
      <w:r>
        <w:drawing>
          <wp:inline>
            <wp:extent cx="5334000" cy="2117703"/>
            <wp:effectExtent b="0" l="0" r="0" t="0"/>
            <wp:docPr descr="Fig. 1. Raw digitised series and cleaned curves. (a) C-0.4 and (b) F40-0.4: the long series is the short series shifted by about one day. (c) S40-0.6: the two series are inconsistent and the mix is excluded." title="" id="26" name="Picture"/>
            <a:graphic>
              <a:graphicData uri="http://schemas.openxmlformats.org/drawingml/2006/picture">
                <pic:pic>
                  <pic:nvPicPr>
                    <pic:cNvPr descr="fig3/fig_data_cleaning.png" id="27" name="Picture"/>
                    <pic:cNvPicPr>
                      <a:picLocks noChangeArrowheads="1" noChangeAspect="1"/>
                    </pic:cNvPicPr>
                  </pic:nvPicPr>
                  <pic:blipFill>
                    <a:blip r:embed="rId25"/>
                    <a:stretch>
                      <a:fillRect/>
                    </a:stretch>
                  </pic:blipFill>
                  <pic:spPr bwMode="auto">
                    <a:xfrm>
                      <a:off x="0" y="0"/>
                      <a:ext cx="5334000" cy="2117703"/>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Raw digitised series and cleaned curves. (a) C-0.4 and (b) F40-0.4: the long series is the short series shifted by about one day. (c) S40-0.6: the two series are inconsistent and the mix is excluded.</w:t>
      </w:r>
    </w:p>
    <w:bookmarkEnd w:id="28"/>
    <w:bookmarkEnd w:id="29"/>
    <w:bookmarkStart w:id="36" w:name="moisture-transport-model"/>
    <w:p>
      <w:pPr>
        <w:pStyle w:val="Heading1"/>
      </w:pPr>
      <w:r>
        <w:t xml:space="preserve">3 Moisture transport model</w:t>
      </w:r>
    </w:p>
    <w:bookmarkStart w:id="30" w:name="governing-equation-and-diffusivity"/>
    <w:p>
      <w:pPr>
        <w:pStyle w:val="Heading2"/>
      </w:pPr>
      <w:r>
        <w:t xml:space="preserve">3.1 Governing equation and diffusivity</w:t>
      </w:r>
    </w:p>
    <w:p>
      <w:pPr>
        <w:pStyle w:val="FirstParagraph"/>
      </w:pPr>
      <w:r>
        <w:t xml:space="preserve">Once hydration has largely stopped, sources and sinks of water can be neglected [3], and moisture conservation reads</w:t>
      </w:r>
    </w:p>
    <w:p>
      <w:pPr>
        <w:pStyle w:val="BodyText"/>
      </w:pPr>
      <m:oMathPara>
        <m:oMathParaPr>
          <m:jc m:val="center"/>
        </m:oMathParaPr>
        <m:oMath>
          <m:f>
            <m:fPr>
              <m:type m:val="bar"/>
            </m:fPr>
            <m:num>
              <m:r>
                <m:rPr>
                  <m:sty m:val="p"/>
                </m:rPr>
                <m:t>∂</m:t>
              </m:r>
              <m:r>
                <m:t>S</m:t>
              </m:r>
            </m:num>
            <m:den>
              <m:r>
                <m:rPr>
                  <m:sty m:val="p"/>
                </m:rPr>
                <m:t>∂</m:t>
              </m:r>
              <m:r>
                <m:t>t</m:t>
              </m:r>
            </m:den>
          </m:f>
          <m:r>
            <m:rPr>
              <m:sty m:val="p"/>
            </m:rPr>
            <m:t>=</m:t>
          </m:r>
          <m:r>
            <m:rPr>
              <m:sty m:val="p"/>
            </m:rPr>
            <m:t>∇</m:t>
          </m:r>
          <m:r>
            <m:rPr>
              <m:sty m:val="p"/>
            </m:rPr>
            <m:t>⋅</m:t>
          </m:r>
          <m:d>
            <m:dPr>
              <m:begChr m:val="["/>
              <m:sepChr m:val=""/>
              <m:endChr m:val="]"/>
              <m:grow/>
            </m:dPr>
            <m:e>
              <m:r>
                <m:t>D</m:t>
              </m:r>
              <m:d>
                <m:dPr>
                  <m:begChr m:val="("/>
                  <m:sepChr m:val=""/>
                  <m:endChr m:val=")"/>
                  <m:grow/>
                </m:dPr>
                <m:e>
                  <m:r>
                    <m:t>S</m:t>
                  </m:r>
                  <m:r>
                    <m:rPr>
                      <m:sty m:val="p"/>
                    </m:rPr>
                    <m:t>;</m:t>
                  </m:r>
                  <m:r>
                    <m:rPr>
                      <m:sty m:val="b"/>
                    </m:rPr>
                    <m:t>θ</m:t>
                  </m:r>
                </m:e>
              </m:d>
              <m:r>
                <m:t> </m:t>
              </m:r>
              <m:r>
                <m:rPr>
                  <m:sty m:val="p"/>
                </m:rPr>
                <m:t>∇</m:t>
              </m:r>
              <m:r>
                <m:t>S</m:t>
              </m:r>
            </m:e>
          </m:d>
          <m:r>
            <m:t>  </m:t>
          </m:r>
          <m:r>
            <m:t>  </m:t>
          </m:r>
          <m:d>
            <m:dPr>
              <m:begChr m:val="("/>
              <m:sepChr m:val=""/>
              <m:endChr m:val=")"/>
              <m:grow/>
            </m:dPr>
            <m:e>
              <m:r>
                <m:t>1</m:t>
              </m:r>
            </m:e>
          </m:d>
        </m:oMath>
      </m:oMathPara>
    </w:p>
    <w:p>
      <w:pPr>
        <w:pStyle w:val="FirstParagraph"/>
      </w:pPr>
      <w:r>
        <w:t xml:space="preserve">where</w:t>
      </w:r>
      <w:r>
        <w:t xml:space="preserve"> </w:t>
      </w:r>
      <m:oMath>
        <m:r>
          <m:t>S</m:t>
        </m:r>
        <m:r>
          <m:rPr>
            <m:sty m:val="p"/>
          </m:rPr>
          <m:t>∈</m:t>
        </m:r>
        <m:d>
          <m:dPr>
            <m:begChr m:val="["/>
            <m:sepChr m:val=""/>
            <m:endChr m:val="]"/>
            <m:grow/>
          </m:dPr>
          <m:e>
            <m:r>
              <m:t>0</m:t>
            </m:r>
            <m:r>
              <m:rPr>
                <m:sty m:val="p"/>
              </m:rPr>
              <m:t>,</m:t>
            </m:r>
            <m:r>
              <m:t>1</m:t>
            </m:r>
          </m:e>
        </m:d>
      </m:oMath>
      <w:r>
        <w:t xml:space="preserve"> </w:t>
      </w:r>
      <w:r>
        <w:t xml:space="preserve">is the degree of saturation and</w:t>
      </w:r>
      <w:r>
        <w:t xml:space="preserve"> </w:t>
      </w:r>
      <m:oMath>
        <m:r>
          <m:t>D</m:t>
        </m:r>
      </m:oMath>
      <w:r>
        <w:t xml:space="preserve"> </w:t>
      </w:r>
      <w:r>
        <w:t xml:space="preserve">[m²/s] the effective moisture diffusivity. We use the dual-regime diffusivity of Chen et al. [6], which blends a capillary and a vapour contribution:</w:t>
      </w:r>
    </w:p>
    <w:p>
      <w:pPr>
        <w:pStyle w:val="BodyText"/>
      </w:pPr>
      <m:oMathPara>
        <m:oMathParaPr>
          <m:jc m:val="center"/>
        </m:oMathParaPr>
        <m:oMath>
          <m:r>
            <m:t>D</m:t>
          </m:r>
          <m:d>
            <m:dPr>
              <m:begChr m:val="("/>
              <m:sepChr m:val=""/>
              <m:endChr m:val=")"/>
              <m:grow/>
            </m:dPr>
            <m:e>
              <m:r>
                <m:t>S</m:t>
              </m:r>
              <m:r>
                <m:rPr>
                  <m:sty m:val="p"/>
                </m:rPr>
                <m:t>;</m:t>
              </m:r>
              <m:r>
                <m:rPr>
                  <m:sty m:val="b"/>
                </m:rPr>
                <m:t>θ</m:t>
              </m:r>
            </m:e>
          </m:d>
          <m:r>
            <m:rPr>
              <m:sty m:val="p"/>
            </m:rPr>
            <m:t>=</m:t>
          </m:r>
          <m:r>
            <m:t>f</m:t>
          </m:r>
          <m:d>
            <m:dPr>
              <m:begChr m:val="("/>
              <m:sepChr m:val=""/>
              <m:endChr m:val=")"/>
              <m:grow/>
            </m:dPr>
            <m:e>
              <m:r>
                <m:t>S</m:t>
              </m:r>
            </m:e>
          </m:d>
          <m:r>
            <m:t> </m:t>
          </m:r>
          <m:sSub>
            <m:e>
              <m:r>
                <m:t>D</m:t>
              </m:r>
            </m:e>
            <m:sub>
              <m:r>
                <m:rPr>
                  <m:nor/>
                </m:rPr>
                <m:t>cap</m:t>
              </m:r>
            </m:sub>
          </m:sSub>
          <m:d>
            <m:dPr>
              <m:begChr m:val="("/>
              <m:sepChr m:val=""/>
              <m:endChr m:val=")"/>
              <m:grow/>
            </m:dPr>
            <m:e>
              <m:r>
                <m:t>S</m:t>
              </m:r>
            </m:e>
          </m:d>
          <m:r>
            <m:rPr>
              <m:sty m:val="p"/>
            </m:rPr>
            <m:t>+</m:t>
          </m:r>
          <m:d>
            <m:dPr>
              <m:begChr m:val="["/>
              <m:sepChr m:val=""/>
              <m:endChr m:val="]"/>
              <m:grow/>
            </m:dPr>
            <m:e>
              <m:r>
                <m:t>1</m:t>
              </m:r>
              <m:r>
                <m:rPr>
                  <m:sty m:val="p"/>
                </m:rPr>
                <m:t>−</m:t>
              </m:r>
              <m:r>
                <m:t>f</m:t>
              </m:r>
              <m:d>
                <m:dPr>
                  <m:begChr m:val="("/>
                  <m:sepChr m:val=""/>
                  <m:endChr m:val=")"/>
                  <m:grow/>
                </m:dPr>
                <m:e>
                  <m:r>
                    <m:t>S</m:t>
                  </m:r>
                </m:e>
              </m:d>
            </m:e>
          </m:d>
          <m:sSub>
            <m:e>
              <m:r>
                <m:t>D</m:t>
              </m:r>
            </m:e>
            <m:sub>
              <m:r>
                <m:rPr>
                  <m:nor/>
                </m:rPr>
                <m:t>vap</m:t>
              </m:r>
            </m:sub>
          </m:sSub>
          <m:d>
            <m:dPr>
              <m:begChr m:val="("/>
              <m:sepChr m:val=""/>
              <m:endChr m:val=")"/>
              <m:grow/>
            </m:dPr>
            <m:e>
              <m:r>
                <m:t>S</m:t>
              </m:r>
            </m:e>
          </m:d>
          <m:r>
            <m:t>  </m:t>
          </m:r>
          <m:r>
            <m:t>  </m:t>
          </m:r>
          <m:d>
            <m:dPr>
              <m:begChr m:val="("/>
              <m:sepChr m:val=""/>
              <m:endChr m:val=")"/>
              <m:grow/>
            </m:dPr>
            <m:e>
              <m:r>
                <m:t>2</m:t>
              </m:r>
            </m:e>
          </m:d>
        </m:oMath>
      </m:oMathPara>
    </w:p>
    <w:p>
      <w:pPr>
        <w:pStyle w:val="FirstParagraph"/>
      </w:pPr>
      <m:oMathPara>
        <m:oMathParaPr>
          <m:jc m:val="center"/>
        </m:oMathParaPr>
        <m:oMath>
          <m:sSub>
            <m:e>
              <m:r>
                <m:t>D</m:t>
              </m:r>
            </m:e>
            <m:sub>
              <m:r>
                <m:rPr>
                  <m:nor/>
                </m:rPr>
                <m:t>vap</m:t>
              </m:r>
            </m:sub>
          </m:sSub>
          <m:d>
            <m:dPr>
              <m:begChr m:val="("/>
              <m:sepChr m:val=""/>
              <m:endChr m:val=")"/>
              <m:grow/>
            </m:dPr>
            <m:e>
              <m:r>
                <m:t>S</m:t>
              </m:r>
            </m:e>
          </m:d>
          <m:r>
            <m:rPr>
              <m:sty m:val="p"/>
            </m:rPr>
            <m:t>=</m:t>
          </m:r>
          <m:sSub>
            <m:e>
              <m:r>
                <m:t>D</m:t>
              </m:r>
            </m:e>
            <m:sub>
              <m:r>
                <m:t>v</m:t>
              </m:r>
            </m:sub>
          </m:sSub>
          <m:d>
            <m:dPr>
              <m:begChr m:val="["/>
              <m:sepChr m:val=""/>
              <m:endChr m:val="]"/>
              <m:grow/>
            </m:dPr>
            <m:e>
              <m:sSub>
                <m:e>
                  <m:r>
                    <m:t>α</m:t>
                  </m:r>
                </m:e>
                <m:sub>
                  <m:r>
                    <m:t>0</m:t>
                  </m:r>
                </m:sub>
              </m:sSub>
              <m:r>
                <m:rPr>
                  <m:sty m:val="p"/>
                </m:rPr>
                <m:t>+</m:t>
              </m:r>
              <m:f>
                <m:fPr>
                  <m:type m:val="bar"/>
                </m:fPr>
                <m:num>
                  <m:r>
                    <m:t>1</m:t>
                  </m:r>
                  <m:r>
                    <m:rPr>
                      <m:sty m:val="p"/>
                    </m:rPr>
                    <m:t>−</m:t>
                  </m:r>
                  <m:sSub>
                    <m:e>
                      <m:r>
                        <m:t>α</m:t>
                      </m:r>
                    </m:e>
                    <m:sub>
                      <m:r>
                        <m:t>0</m:t>
                      </m:r>
                    </m:sub>
                  </m:sSub>
                </m:num>
                <m:den>
                  <m:r>
                    <m:t>1</m:t>
                  </m:r>
                  <m:r>
                    <m:rPr>
                      <m:sty m:val="p"/>
                    </m:rPr>
                    <m:t>+</m:t>
                  </m:r>
                  <m:sSup>
                    <m:e>
                      <m:d>
                        <m:dPr>
                          <m:begChr m:val="("/>
                          <m:sepChr m:val=""/>
                          <m:endChr m:val=")"/>
                          <m:grow/>
                        </m:dPr>
                        <m:e>
                          <m:f>
                            <m:fPr>
                              <m:type m:val="bar"/>
                            </m:fPr>
                            <m:num>
                              <m:r>
                                <m:t>1</m:t>
                              </m:r>
                              <m:r>
                                <m:rPr>
                                  <m:sty m:val="p"/>
                                </m:rPr>
                                <m:t>−</m:t>
                              </m:r>
                              <m:r>
                                <m:t>S</m:t>
                              </m:r>
                            </m:num>
                            <m:den>
                              <m:r>
                                <m:t>1</m:t>
                              </m:r>
                              <m:r>
                                <m:rPr>
                                  <m:sty m:val="p"/>
                                </m:rPr>
                                <m:t>−</m:t>
                              </m:r>
                              <m:sSub>
                                <m:e>
                                  <m:r>
                                    <m:t>S</m:t>
                                  </m:r>
                                </m:e>
                                <m:sub>
                                  <m:r>
                                    <m:t>c</m:t>
                                  </m:r>
                                </m:sub>
                              </m:sSub>
                            </m:den>
                          </m:f>
                        </m:e>
                      </m:d>
                    </m:e>
                    <m:sup>
                      <m:r>
                        <m:t>n</m:t>
                      </m:r>
                    </m:sup>
                  </m:sSup>
                </m:den>
              </m:f>
            </m:e>
          </m:d>
          <m:r>
            <m:t>  </m:t>
          </m:r>
          <m:r>
            <m:t>  </m:t>
          </m:r>
          <m:d>
            <m:dPr>
              <m:begChr m:val="("/>
              <m:sepChr m:val=""/>
              <m:endChr m:val=")"/>
              <m:grow/>
            </m:dPr>
            <m:e>
              <m:r>
                <m:t>3</m:t>
              </m:r>
            </m:e>
          </m:d>
        </m:oMath>
      </m:oMathPara>
    </w:p>
    <w:p>
      <w:pPr>
        <w:pStyle w:val="FirstParagraph"/>
      </w:pPr>
      <m:oMathPara>
        <m:oMathParaPr>
          <m:jc m:val="center"/>
        </m:oMathParaPr>
        <m:oMath>
          <m:sSub>
            <m:e>
              <m:r>
                <m:t>D</m:t>
              </m:r>
            </m:e>
            <m:sub>
              <m:r>
                <m:rPr>
                  <m:nor/>
                </m:rPr>
                <m:t>cap</m:t>
              </m:r>
            </m:sub>
          </m:sSub>
          <m:d>
            <m:dPr>
              <m:begChr m:val="("/>
              <m:sepChr m:val=""/>
              <m:endChr m:val=")"/>
              <m:grow/>
            </m:dPr>
            <m:e>
              <m:r>
                <m:t>S</m:t>
              </m:r>
            </m:e>
          </m:d>
          <m:r>
            <m:rPr>
              <m:sty m:val="p"/>
            </m:rPr>
            <m:t>=</m:t>
          </m:r>
          <m:f>
            <m:fPr>
              <m:type m:val="bar"/>
            </m:fPr>
            <m:num>
              <m:sSub>
                <m:e>
                  <m:r>
                    <m:t>K</m:t>
                  </m:r>
                </m:e>
                <m:sub>
                  <m:r>
                    <m:rPr>
                      <m:nor/>
                    </m:rPr>
                    <m:t>int</m:t>
                  </m:r>
                </m:sub>
              </m:sSub>
            </m:num>
            <m:den>
              <m:sSub>
                <m:e>
                  <m:r>
                    <m:t>η</m:t>
                  </m:r>
                </m:e>
                <m:sub>
                  <m:r>
                    <m:t>l</m:t>
                  </m:r>
                </m:sub>
              </m:sSub>
            </m:den>
          </m:f>
          <m:d>
            <m:dPr>
              <m:begChr m:val="|"/>
              <m:sepChr m:val=""/>
              <m:endChr m:val="|"/>
              <m:grow/>
            </m:dPr>
            <m:e>
              <m:f>
                <m:fPr>
                  <m:type m:val="bar"/>
                </m:fPr>
                <m:num>
                  <m:r>
                    <m:rPr>
                      <m:sty m:val="p"/>
                    </m:rPr>
                    <m:t>∂</m:t>
                  </m:r>
                  <m:sSub>
                    <m:e>
                      <m:r>
                        <m:t>P</m:t>
                      </m:r>
                    </m:e>
                    <m:sub>
                      <m:r>
                        <m:t>c</m:t>
                      </m:r>
                    </m:sub>
                  </m:sSub>
                </m:num>
                <m:den>
                  <m:r>
                    <m:rPr>
                      <m:sty m:val="p"/>
                    </m:rPr>
                    <m:t>∂</m:t>
                  </m:r>
                  <m:r>
                    <m:t>S</m:t>
                  </m:r>
                </m:den>
              </m:f>
            </m:e>
          </m:d>
          <m:r>
            <m:rPr>
              <m:sty m:val="p"/>
            </m:rPr>
            <m:t>,</m:t>
          </m:r>
          <m:r>
            <m:t>  </m:t>
          </m:r>
          <m:f>
            <m:fPr>
              <m:type m:val="bar"/>
            </m:fPr>
            <m:num>
              <m:r>
                <m:rPr>
                  <m:sty m:val="p"/>
                </m:rPr>
                <m:t>∂</m:t>
              </m:r>
              <m:sSub>
                <m:e>
                  <m:r>
                    <m:t>P</m:t>
                  </m:r>
                </m:e>
                <m:sub>
                  <m:r>
                    <m:t>c</m:t>
                  </m:r>
                </m:sub>
              </m:sSub>
            </m:num>
            <m:den>
              <m:r>
                <m:rPr>
                  <m:sty m:val="p"/>
                </m:rPr>
                <m:t>∂</m:t>
              </m:r>
              <m:r>
                <m:t>S</m:t>
              </m:r>
            </m:den>
          </m:f>
          <m:r>
            <m:rPr>
              <m:sty m:val="p"/>
            </m:rPr>
            <m:t>=</m:t>
          </m:r>
          <m:r>
            <m:rPr>
              <m:sty m:val="p"/>
            </m:rPr>
            <m:t>−</m:t>
          </m:r>
          <m:r>
            <m:t>β</m:t>
          </m:r>
          <m:r>
            <m:t> </m:t>
          </m:r>
          <m:sSub>
            <m:e>
              <m:r>
                <m:t>P</m:t>
              </m:r>
            </m:e>
            <m:sub>
              <m:r>
                <m:t>c</m:t>
              </m:r>
              <m:r>
                <m:t>0</m:t>
              </m:r>
            </m:sub>
          </m:sSub>
          <m:r>
            <m:t> </m:t>
          </m:r>
          <m:sSup>
            <m:e>
              <m:r>
                <m:t>S</m:t>
              </m:r>
            </m:e>
            <m:sup>
              <m:r>
                <m:rPr>
                  <m:sty m:val="p"/>
                </m:rPr>
                <m:t>−</m:t>
              </m:r>
              <m:r>
                <m:t>β</m:t>
              </m:r>
              <m:r>
                <m:rPr>
                  <m:sty m:val="p"/>
                </m:rPr>
                <m:t>−</m:t>
              </m:r>
              <m:r>
                <m:t>1</m:t>
              </m:r>
            </m:sup>
          </m:sSup>
          <m:r>
            <m:t>  </m:t>
          </m:r>
          <m:r>
            <m:t>  </m:t>
          </m:r>
          <m:d>
            <m:dPr>
              <m:begChr m:val="("/>
              <m:sepChr m:val=""/>
              <m:endChr m:val=")"/>
              <m:grow/>
            </m:dPr>
            <m:e>
              <m:r>
                <m:t>4</m:t>
              </m:r>
            </m:e>
          </m:d>
        </m:oMath>
      </m:oMathPara>
    </w:p>
    <w:p>
      <w:pPr>
        <w:pStyle w:val="FirstParagraph"/>
      </w:pPr>
      <m:oMathPara>
        <m:oMathParaPr>
          <m:jc m:val="center"/>
        </m:oMathParaPr>
        <m:oMath>
          <m:r>
            <m:t>f</m:t>
          </m:r>
          <m:d>
            <m:dPr>
              <m:begChr m:val="("/>
              <m:sepChr m:val=""/>
              <m:endChr m:val=")"/>
              <m:grow/>
            </m:dPr>
            <m:e>
              <m:r>
                <m:t>S</m:t>
              </m:r>
            </m:e>
          </m:d>
          <m:r>
            <m:rPr>
              <m:sty m:val="p"/>
            </m:rPr>
            <m:t>=</m:t>
          </m:r>
          <m:f>
            <m:fPr>
              <m:type m:val="bar"/>
            </m:fPr>
            <m:num>
              <m:r>
                <m:t>1</m:t>
              </m:r>
            </m:num>
            <m:den>
              <m:r>
                <m:t>1</m:t>
              </m:r>
              <m:r>
                <m:rPr>
                  <m:sty m:val="p"/>
                </m:rPr>
                <m:t>+</m:t>
              </m:r>
              <m:r>
                <m:rPr>
                  <m:sty m:val="p"/>
                </m:rPr>
                <m:t>exp</m:t>
              </m:r>
              <m:d>
                <m:dPr>
                  <m:begChr m:val="["/>
                  <m:sepChr m:val=""/>
                  <m:endChr m:val="]"/>
                  <m:grow/>
                </m:dPr>
                <m:e>
                  <m:r>
                    <m:rPr>
                      <m:sty m:val="p"/>
                    </m:rPr>
                    <m:t>−</m:t>
                  </m:r>
                  <m:r>
                    <m:t>k</m:t>
                  </m:r>
                  <m:r>
                    <m:t> </m:t>
                  </m:r>
                  <m:d>
                    <m:dPr>
                      <m:begChr m:val="("/>
                      <m:sepChr m:val=""/>
                      <m:endChr m:val=")"/>
                      <m:grow/>
                    </m:dPr>
                    <m:e>
                      <m:r>
                        <m:t>S</m:t>
                      </m:r>
                      <m:r>
                        <m:rPr>
                          <m:sty m:val="p"/>
                        </m:rPr>
                        <m:t>−</m:t>
                      </m:r>
                      <m:sSub>
                        <m:e>
                          <m:r>
                            <m:t>S</m:t>
                          </m:r>
                        </m:e>
                        <m:sub>
                          <m:r>
                            <m:rPr>
                              <m:nor/>
                            </m:rPr>
                            <m:t>cap</m:t>
                          </m:r>
                        </m:sub>
                      </m:sSub>
                    </m:e>
                  </m:d>
                </m:e>
              </m:d>
            </m:den>
          </m:f>
          <m:r>
            <m:t>  </m:t>
          </m:r>
          <m:r>
            <m:t>  </m:t>
          </m:r>
          <m:d>
            <m:dPr>
              <m:begChr m:val="("/>
              <m:sepChr m:val=""/>
              <m:endChr m:val=")"/>
              <m:grow/>
            </m:dPr>
            <m:e>
              <m:r>
                <m:t>5</m:t>
              </m:r>
            </m:e>
          </m:d>
        </m:oMath>
      </m:oMathPara>
    </w:p>
    <w:p>
      <w:pPr>
        <w:pStyle w:val="FirstParagraph"/>
      </w:pPr>
      <w:r>
        <w:t xml:space="preserve">Equation (3) has the sigmoidal form proposed by Bažant and Najjar [9], with</w:t>
      </w:r>
      <w:r>
        <w:t xml:space="preserve"> </w:t>
      </w:r>
      <m:oMath>
        <m:sSub>
          <m:e>
            <m:r>
              <m:t>D</m:t>
            </m:r>
          </m:e>
          <m:sub>
            <m:r>
              <m:t>v</m:t>
            </m:r>
          </m:sub>
        </m:sSub>
      </m:oMath>
      <w:r>
        <w:t xml:space="preserve"> </w:t>
      </w:r>
      <w:r>
        <w:t xml:space="preserve">the reference diffusivity,</w:t>
      </w:r>
      <w:r>
        <w:t xml:space="preserve"> </w:t>
      </w:r>
      <m:oMath>
        <m:sSub>
          <m:e>
            <m:r>
              <m:t>α</m:t>
            </m:r>
          </m:e>
          <m:sub>
            <m:r>
              <m:t>0</m:t>
            </m:r>
          </m:sub>
        </m:sSub>
      </m:oMath>
      <w:r>
        <w:t xml:space="preserve"> </w:t>
      </w:r>
      <w:r>
        <w:t xml:space="preserve">the ratio of minimum to maximum diffusivity,</w:t>
      </w:r>
      <w:r>
        <w:t xml:space="preserve"> </w:t>
      </w:r>
      <m:oMath>
        <m:r>
          <m:t>n</m:t>
        </m:r>
      </m:oMath>
      <w:r>
        <w:t xml:space="preserve"> </w:t>
      </w:r>
      <w:r>
        <w:t xml:space="preserve">a shape exponent and</w:t>
      </w:r>
      <w:r>
        <w:t xml:space="preserve"> </w:t>
      </w:r>
      <m:oMath>
        <m:sSub>
          <m:e>
            <m:r>
              <m:t>S</m:t>
            </m:r>
          </m:e>
          <m:sub>
            <m:r>
              <m:t>c</m:t>
            </m:r>
          </m:sub>
        </m:sSub>
      </m:oMath>
      <w:r>
        <w:t xml:space="preserve"> </w:t>
      </w:r>
      <w:r>
        <w:t xml:space="preserve">the transition saturation. In Eq. (4),</w:t>
      </w:r>
      <w:r>
        <w:t xml:space="preserve"> </w:t>
      </w:r>
      <m:oMath>
        <m:sSub>
          <m:e>
            <m:r>
              <m:t>K</m:t>
            </m:r>
          </m:e>
          <m:sub>
            <m:r>
              <m:rPr>
                <m:nor/>
              </m:rPr>
              <m:t>int</m:t>
            </m:r>
          </m:sub>
        </m:sSub>
      </m:oMath>
      <w:r>
        <w:t xml:space="preserve"> </w:t>
      </w:r>
      <w:r>
        <w:t xml:space="preserve">is the intrinsic permeability,</w:t>
      </w:r>
      <w:r>
        <w:t xml:space="preserve"> </w:t>
      </w:r>
      <m:oMath>
        <m:sSub>
          <m:e>
            <m:r>
              <m:t>η</m:t>
            </m:r>
          </m:e>
          <m:sub>
            <m:r>
              <m:t>l</m:t>
            </m:r>
          </m:sub>
        </m:sSub>
      </m:oMath>
      <w:r>
        <w:t xml:space="preserve"> </w:t>
      </w:r>
      <w:r>
        <w:t xml:space="preserve">the viscosity of water,</w:t>
      </w:r>
      <w:r>
        <w:t xml:space="preserve"> </w:t>
      </w:r>
      <m:oMath>
        <m:sSub>
          <m:e>
            <m:r>
              <m:t>P</m:t>
            </m:r>
          </m:e>
          <m:sub>
            <m:r>
              <m:t>c</m:t>
            </m:r>
            <m:r>
              <m:t>0</m:t>
            </m:r>
          </m:sub>
        </m:sSub>
      </m:oMath>
      <w:r>
        <w:t xml:space="preserve"> </w:t>
      </w:r>
      <w:r>
        <w:t xml:space="preserve">a reference capillary pressure and</w:t>
      </w:r>
      <w:r>
        <w:t xml:space="preserve"> </w:t>
      </w:r>
      <m:oMath>
        <m:r>
          <m:t>β</m:t>
        </m:r>
      </m:oMath>
      <w:r>
        <w:t xml:space="preserve"> </w:t>
      </w:r>
      <w:r>
        <w:t xml:space="preserve">an exponent. The switching function (5) makes vapour transport dominant at low saturation and capillary transport dominant at high saturation. The fixed constants are listed in Table 2.</w:t>
      </w:r>
    </w:p>
    <w:p>
      <w:pPr>
        <w:pStyle w:val="TableCaption"/>
      </w:pPr>
      <w:r>
        <w:rPr>
          <w:bCs/>
          <w:b/>
        </w:rPr>
        <w:t xml:space="preserve">Table 2.</w:t>
      </w:r>
      <w:r>
        <w:t xml:space="preserve"> </w:t>
      </w:r>
      <w:r>
        <w:t xml:space="preserve">Fixed constants of the transport model.</w:t>
      </w:r>
    </w:p>
    <w:tbl>
      <w:tblPr>
        <w:tblStyle w:val="Table"/>
        <w:tblW w:type="pct" w:w="5000"/>
        <w:jc w:val="center"/>
        <w:tblLook w:firstRow="1" w:lastRow="0" w:firstColumn="0" w:lastColumn="0" w:noHBand="0" w:noVBand="0" w:val="0020"/>
        <w:tblCaption w:val="Table 2. Fixed constants of the transport model."/>
      </w:tblPr>
      <w:tblGrid>
        <w:gridCol w:w="990"/>
        <w:gridCol w:w="4101"/>
        <w:gridCol w:w="1697"/>
        <w:gridCol w:w="1131"/>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center"/>
            </w:pPr>
            <w:r>
              <w:t xml:space="preserve">Value</w:t>
            </w:r>
          </w:p>
        </w:tc>
        <w:tc>
          <w:tcPr/>
          <w:p>
            <w:pPr>
              <w:pStyle w:val="Compact"/>
              <w:jc w:val="center"/>
            </w:pPr>
            <w:r>
              <w:t xml:space="preserve">Source</w:t>
            </w:r>
          </w:p>
        </w:tc>
      </w:tr>
      <w:tr>
        <w:tc>
          <w:tcPr/>
          <w:p>
            <w:pPr>
              <w:pStyle w:val="Compact"/>
              <w:jc w:val="left"/>
            </w:pPr>
            <m:oMath>
              <m:r>
                <m:t>R</m:t>
              </m:r>
            </m:oMath>
            <w:r>
              <w:t xml:space="preserve">,</w:t>
            </w:r>
            <w:r>
              <w:t xml:space="preserve"> </w:t>
            </w:r>
            <m:oMath>
              <m:r>
                <m:t>H</m:t>
              </m:r>
            </m:oMath>
          </w:p>
        </w:tc>
        <w:tc>
          <w:tcPr/>
          <w:p>
            <w:pPr>
              <w:pStyle w:val="Compact"/>
              <w:jc w:val="left"/>
            </w:pPr>
            <w:r>
              <w:t xml:space="preserve">Disc radius and half-thickness</w:t>
            </w:r>
          </w:p>
        </w:tc>
        <w:tc>
          <w:tcPr/>
          <w:p>
            <w:pPr>
              <w:pStyle w:val="Compact"/>
              <w:jc w:val="center"/>
            </w:pPr>
            <w:r>
              <w:t xml:space="preserve">50 mm, 25 mm</w:t>
            </w:r>
          </w:p>
        </w:tc>
        <w:tc>
          <w:tcPr/>
          <w:p>
            <w:pPr>
              <w:pStyle w:val="Compact"/>
              <w:jc w:val="center"/>
            </w:pPr>
            <w:r>
              <w:t xml:space="preserve">[8]</w:t>
            </w:r>
          </w:p>
        </w:tc>
      </w:tr>
      <w:tr>
        <w:tc>
          <w:tcPr/>
          <w:p>
            <w:pPr>
              <w:pStyle w:val="Compact"/>
              <w:jc w:val="left"/>
            </w:pPr>
            <m:oMath>
              <m:r>
                <m:t>T</m:t>
              </m:r>
            </m:oMath>
          </w:p>
        </w:tc>
        <w:tc>
          <w:tcPr/>
          <w:p>
            <w:pPr>
              <w:pStyle w:val="Compact"/>
              <w:jc w:val="left"/>
            </w:pPr>
            <w:r>
              <w:t xml:space="preserve">Drying temperature</w:t>
            </w:r>
          </w:p>
        </w:tc>
        <w:tc>
          <w:tcPr/>
          <w:p>
            <w:pPr>
              <w:pStyle w:val="Compact"/>
              <w:jc w:val="center"/>
            </w:pPr>
            <w:r>
              <w:t xml:space="preserve">50 °C</w:t>
            </w:r>
          </w:p>
        </w:tc>
        <w:tc>
          <w:tcPr/>
          <w:p>
            <w:pPr>
              <w:pStyle w:val="Compact"/>
              <w:jc w:val="center"/>
            </w:pPr>
            <w:r>
              <w:t xml:space="preserve">[8]</w:t>
            </w:r>
          </w:p>
        </w:tc>
      </w:tr>
      <w:tr>
        <w:tc>
          <w:tcPr/>
          <w:p>
            <w:pPr>
              <w:pStyle w:val="Compact"/>
              <w:jc w:val="left"/>
            </w:pPr>
            <m:oMath>
              <m:sSub>
                <m:e>
                  <m:r>
                    <m:t>η</m:t>
                  </m:r>
                </m:e>
                <m:sub>
                  <m:r>
                    <m:t>l</m:t>
                  </m:r>
                </m:sub>
              </m:sSub>
            </m:oMath>
          </w:p>
        </w:tc>
        <w:tc>
          <w:tcPr/>
          <w:p>
            <w:pPr>
              <w:pStyle w:val="Compact"/>
              <w:jc w:val="left"/>
            </w:pPr>
            <w:r>
              <w:t xml:space="preserve">Viscosity of water at 50 °C</w:t>
            </w:r>
          </w:p>
        </w:tc>
        <w:tc>
          <w:tcPr/>
          <w:p>
            <w:pPr>
              <w:pStyle w:val="Compact"/>
              <w:jc w:val="center"/>
            </w:pPr>
            <w:r>
              <w:t xml:space="preserve">5.47 × 10⁻⁴ Pa·s</w:t>
            </w:r>
          </w:p>
        </w:tc>
        <w:tc>
          <w:tcPr/>
          <w:p>
            <w:pPr>
              <w:pStyle w:val="Compact"/>
              <w:jc w:val="center"/>
            </w:pPr>
            <w:r>
              <w:t xml:space="preserve">–</w:t>
            </w:r>
          </w:p>
        </w:tc>
      </w:tr>
      <w:tr>
        <w:tc>
          <w:tcPr/>
          <w:p>
            <w:pPr>
              <w:pStyle w:val="Compact"/>
              <w:jc w:val="left"/>
            </w:pPr>
            <m:oMath>
              <m:sSub>
                <m:e>
                  <m:r>
                    <m:t>P</m:t>
                  </m:r>
                </m:e>
                <m:sub>
                  <m:r>
                    <m:t>c</m:t>
                  </m:r>
                  <m:r>
                    <m:t>0</m:t>
                  </m:r>
                </m:sub>
              </m:sSub>
            </m:oMath>
          </w:p>
        </w:tc>
        <w:tc>
          <w:tcPr/>
          <w:p>
            <w:pPr>
              <w:pStyle w:val="Compact"/>
              <w:jc w:val="left"/>
            </w:pPr>
            <w:r>
              <w:t xml:space="preserve">Reference capillary pressure</w:t>
            </w:r>
          </w:p>
        </w:tc>
        <w:tc>
          <w:tcPr/>
          <w:p>
            <w:pPr>
              <w:pStyle w:val="Compact"/>
              <w:jc w:val="center"/>
            </w:pPr>
            <w:r>
              <w:t xml:space="preserve">5 MPa</w:t>
            </w:r>
          </w:p>
        </w:tc>
        <w:tc>
          <w:tcPr/>
          <w:p>
            <w:pPr>
              <w:pStyle w:val="Compact"/>
              <w:jc w:val="center"/>
            </w:pPr>
            <w:r>
              <w:t xml:space="preserve">[6]</w:t>
            </w:r>
          </w:p>
        </w:tc>
      </w:tr>
      <w:tr>
        <w:tc>
          <w:tcPr/>
          <w:p>
            <w:pPr>
              <w:pStyle w:val="Compact"/>
              <w:jc w:val="left"/>
            </w:pPr>
            <m:oMath>
              <m:r>
                <m:t>β</m:t>
              </m:r>
            </m:oMath>
          </w:p>
        </w:tc>
        <w:tc>
          <w:tcPr/>
          <w:p>
            <w:pPr>
              <w:pStyle w:val="Compact"/>
              <w:jc w:val="left"/>
            </w:pPr>
            <w:r>
              <w:t xml:space="preserve">Capillary pressure exponent</w:t>
            </w:r>
          </w:p>
        </w:tc>
        <w:tc>
          <w:tcPr/>
          <w:p>
            <w:pPr>
              <w:pStyle w:val="Compact"/>
              <w:jc w:val="center"/>
            </w:pPr>
            <w:r>
              <w:t xml:space="preserve">2.5</w:t>
            </w:r>
          </w:p>
        </w:tc>
        <w:tc>
          <w:tcPr/>
          <w:p>
            <w:pPr>
              <w:pStyle w:val="Compact"/>
              <w:jc w:val="center"/>
            </w:pPr>
            <w:r>
              <w:t xml:space="preserve">[6]</w:t>
            </w:r>
          </w:p>
        </w:tc>
      </w:tr>
      <w:tr>
        <w:tc>
          <w:tcPr/>
          <w:p>
            <w:pPr>
              <w:pStyle w:val="Compact"/>
              <w:jc w:val="left"/>
            </w:pPr>
            <m:oMath>
              <m:sSub>
                <m:e>
                  <m:r>
                    <m:t>S</m:t>
                  </m:r>
                </m:e>
                <m:sub>
                  <m:r>
                    <m:t>c</m:t>
                  </m:r>
                </m:sub>
              </m:sSub>
            </m:oMath>
          </w:p>
        </w:tc>
        <w:tc>
          <w:tcPr/>
          <w:p>
            <w:pPr>
              <w:pStyle w:val="Compact"/>
              <w:jc w:val="left"/>
            </w:pPr>
            <w:r>
              <w:t xml:space="preserve">Transition saturation in Eq. (3)</w:t>
            </w:r>
          </w:p>
        </w:tc>
        <w:tc>
          <w:tcPr/>
          <w:p>
            <w:pPr>
              <w:pStyle w:val="Compact"/>
              <w:jc w:val="center"/>
            </w:pPr>
            <w:r>
              <w:t xml:space="preserve">0.80</w:t>
            </w:r>
          </w:p>
        </w:tc>
        <w:tc>
          <w:tcPr/>
          <w:p>
            <w:pPr>
              <w:pStyle w:val="Compact"/>
              <w:jc w:val="center"/>
            </w:pPr>
            <w:r>
              <w:t xml:space="preserve">[6]</w:t>
            </w:r>
          </w:p>
        </w:tc>
      </w:tr>
      <w:tr>
        <w:tc>
          <w:tcPr/>
          <w:p>
            <w:pPr>
              <w:pStyle w:val="Compact"/>
              <w:jc w:val="left"/>
            </w:pPr>
            <m:oMath>
              <m:sSub>
                <m:e>
                  <m:r>
                    <m:t>S</m:t>
                  </m:r>
                </m:e>
                <m:sub>
                  <m:r>
                    <m:rPr>
                      <m:nor/>
                    </m:rPr>
                    <m:t>cap</m:t>
                  </m:r>
                </m:sub>
              </m:sSub>
            </m:oMath>
            <w:r>
              <w:t xml:space="preserve">,</w:t>
            </w:r>
            <w:r>
              <w:t xml:space="preserve"> </w:t>
            </w:r>
            <m:oMath>
              <m:r>
                <m:t>k</m:t>
              </m:r>
            </m:oMath>
          </w:p>
        </w:tc>
        <w:tc>
          <w:tcPr/>
          <w:p>
            <w:pPr>
              <w:pStyle w:val="Compact"/>
              <w:jc w:val="left"/>
            </w:pPr>
            <w:r>
              <w:t xml:space="preserve">Switching saturation and steepness</w:t>
            </w:r>
          </w:p>
        </w:tc>
        <w:tc>
          <w:tcPr/>
          <w:p>
            <w:pPr>
              <w:pStyle w:val="Compact"/>
              <w:jc w:val="center"/>
            </w:pPr>
            <w:r>
              <w:t xml:space="preserve">0.75, 50</w:t>
            </w:r>
          </w:p>
        </w:tc>
        <w:tc>
          <w:tcPr/>
          <w:p>
            <w:pPr>
              <w:pStyle w:val="Compact"/>
              <w:jc w:val="center"/>
            </w:pPr>
            <w:r>
              <w:t xml:space="preserve">[6]</w:t>
            </w:r>
          </w:p>
        </w:tc>
      </w:tr>
      <w:tr>
        <w:tc>
          <w:tcPr/>
          <w:p>
            <w:pPr>
              <w:pStyle w:val="Compact"/>
              <w:jc w:val="left"/>
            </w:pPr>
            <m:oMath>
              <m:sSub>
                <m:e>
                  <m:r>
                    <m:t>α</m:t>
                  </m:r>
                </m:e>
                <m:sub>
                  <m:r>
                    <m:t>0</m:t>
                  </m:r>
                </m:sub>
              </m:sSub>
            </m:oMath>
          </w:p>
        </w:tc>
        <w:tc>
          <w:tcPr/>
          <w:p>
            <w:pPr>
              <w:pStyle w:val="Compact"/>
              <w:jc w:val="left"/>
            </w:pPr>
            <w:r>
              <w:t xml:space="preserve">Minimum-to-maximum diffusivity ratio</w:t>
            </w:r>
          </w:p>
        </w:tc>
        <w:tc>
          <w:tcPr/>
          <w:p>
            <w:pPr>
              <w:pStyle w:val="Compact"/>
              <w:jc w:val="center"/>
            </w:pPr>
            <w:r>
              <w:t xml:space="preserve">0.05</w:t>
            </w:r>
          </w:p>
        </w:tc>
        <w:tc>
          <w:tcPr/>
          <w:p>
            <w:pPr>
              <w:pStyle w:val="Compact"/>
              <w:jc w:val="center"/>
            </w:pPr>
            <w:r>
              <w:t xml:space="preserve">Section 3.3</w:t>
            </w:r>
          </w:p>
        </w:tc>
      </w:tr>
      <w:tr>
        <w:tc>
          <w:tcPr/>
          <w:p>
            <w:pPr>
              <w:pStyle w:val="Compact"/>
              <w:jc w:val="left"/>
            </w:pPr>
            <m:oMath>
              <m:r>
                <m:t>n</m:t>
              </m:r>
            </m:oMath>
          </w:p>
        </w:tc>
        <w:tc>
          <w:tcPr/>
          <w:p>
            <w:pPr>
              <w:pStyle w:val="Compact"/>
              <w:jc w:val="left"/>
            </w:pPr>
            <w:r>
              <w:t xml:space="preserve">Shape exponent, shared by all mixes</w:t>
            </w:r>
          </w:p>
        </w:tc>
        <w:tc>
          <w:tcPr/>
          <w:p>
            <w:pPr>
              <w:pStyle w:val="Compact"/>
              <w:jc w:val="center"/>
            </w:pPr>
            <w:r>
              <w:t xml:space="preserve">8</w:t>
            </w:r>
          </w:p>
        </w:tc>
        <w:tc>
          <w:tcPr/>
          <w:p>
            <w:pPr>
              <w:pStyle w:val="Compact"/>
              <w:jc w:val="center"/>
            </w:pPr>
            <w:r>
              <w:t xml:space="preserve">Section 3.3</w:t>
            </w:r>
          </w:p>
        </w:tc>
      </w:tr>
    </w:tbl>
    <w:bookmarkEnd w:id="30"/>
    <w:bookmarkStart w:id="34" w:name="X4beadbd745b30ec3fc1d90769696ccf961c02e2"/>
    <w:p>
      <w:pPr>
        <w:pStyle w:val="Heading2"/>
      </w:pPr>
      <w:r>
        <w:t xml:space="preserve">3.2 Specimen geometry and boundary conditions</w:t>
      </w:r>
    </w:p>
    <w:p>
      <w:pPr>
        <w:pStyle w:val="FirstParagraph"/>
      </w:pPr>
      <w:r>
        <w:t xml:space="preserve">The discs dry through their two flat faces and their lateral surface. Using the axis and the mid-plane as planes of symmetry, Eq. (1) is solved on</w:t>
      </w:r>
      <w:r>
        <w:t xml:space="preserve"> </w:t>
      </w:r>
      <m:oMath>
        <m:r>
          <m:t>0</m:t>
        </m:r>
        <m:r>
          <m:rPr>
            <m:sty m:val="p"/>
          </m:rPr>
          <m:t>≤</m:t>
        </m:r>
        <m:r>
          <m:t>r</m:t>
        </m:r>
        <m:r>
          <m:rPr>
            <m:sty m:val="p"/>
          </m:rPr>
          <m:t>≤</m:t>
        </m:r>
        <m:r>
          <m:t>R</m:t>
        </m:r>
      </m:oMath>
      <w:r>
        <w:t xml:space="preserve">,</w:t>
      </w:r>
      <w:r>
        <w:t xml:space="preserve"> </w:t>
      </w:r>
      <m:oMath>
        <m:r>
          <m:t>0</m:t>
        </m:r>
        <m:r>
          <m:rPr>
            <m:sty m:val="p"/>
          </m:rPr>
          <m:t>≤</m:t>
        </m:r>
        <m:r>
          <m:t>z</m:t>
        </m:r>
        <m:r>
          <m:rPr>
            <m:sty m:val="p"/>
          </m:rPr>
          <m:t>≤</m:t>
        </m:r>
        <m:r>
          <m:t>H</m:t>
        </m:r>
      </m:oMath>
      <w:r>
        <w:t xml:space="preserve"> </w:t>
      </w:r>
      <w:r>
        <w:t xml:space="preserve">with</w:t>
      </w:r>
    </w:p>
    <w:p>
      <w:pPr>
        <w:pStyle w:val="BodyText"/>
      </w:pPr>
      <m:oMathPara>
        <m:oMathParaPr>
          <m:jc m:val="center"/>
        </m:oMathParaPr>
        <m:oMath>
          <m:r>
            <m:t>S</m:t>
          </m:r>
          <m:d>
            <m:dPr>
              <m:begChr m:val="("/>
              <m:sepChr m:val=""/>
              <m:endChr m:val=")"/>
              <m:grow/>
            </m:dPr>
            <m:e>
              <m:r>
                <m:t>r</m:t>
              </m:r>
              <m:r>
                <m:rPr>
                  <m:sty m:val="p"/>
                </m:rPr>
                <m:t>,</m:t>
              </m:r>
              <m:r>
                <m:t>z</m:t>
              </m:r>
              <m:r>
                <m:rPr>
                  <m:sty m:val="p"/>
                </m:rPr>
                <m:t>,</m:t>
              </m:r>
              <m:r>
                <m:t>0</m:t>
              </m:r>
            </m:e>
          </m:d>
          <m:r>
            <m:rPr>
              <m:sty m:val="p"/>
            </m:rPr>
            <m:t>=</m:t>
          </m:r>
          <m:r>
            <m:t>1</m:t>
          </m:r>
          <m:r>
            <m:rPr>
              <m:sty m:val="p"/>
            </m:rPr>
            <m:t>,</m:t>
          </m:r>
          <m:r>
            <m:t>  </m:t>
          </m:r>
          <m:r>
            <m:t>S</m:t>
          </m:r>
          <m:d>
            <m:dPr>
              <m:begChr m:val="("/>
              <m:sepChr m:val=""/>
              <m:endChr m:val=")"/>
              <m:grow/>
            </m:dPr>
            <m:e>
              <m:r>
                <m:t>R</m:t>
              </m:r>
              <m:r>
                <m:rPr>
                  <m:sty m:val="p"/>
                </m:rPr>
                <m:t>,</m:t>
              </m:r>
              <m:r>
                <m:t>z</m:t>
              </m:r>
              <m:r>
                <m:rPr>
                  <m:sty m:val="p"/>
                </m:rPr>
                <m:t>,</m:t>
              </m:r>
              <m:r>
                <m:t>t</m:t>
              </m:r>
            </m:e>
          </m:d>
          <m:r>
            <m:rPr>
              <m:sty m:val="p"/>
            </m:rPr>
            <m:t>=</m:t>
          </m:r>
          <m:r>
            <m:t>S</m:t>
          </m:r>
          <m:d>
            <m:dPr>
              <m:begChr m:val="("/>
              <m:sepChr m:val=""/>
              <m:endChr m:val=")"/>
              <m:grow/>
            </m:dPr>
            <m:e>
              <m:r>
                <m:t>r</m:t>
              </m:r>
              <m:r>
                <m:rPr>
                  <m:sty m:val="p"/>
                </m:rPr>
                <m:t>,</m:t>
              </m:r>
              <m:r>
                <m:t>H</m:t>
              </m:r>
              <m:r>
                <m:rPr>
                  <m:sty m:val="p"/>
                </m:rPr>
                <m:t>,</m:t>
              </m:r>
              <m:r>
                <m:t>t</m:t>
              </m:r>
            </m:e>
          </m:d>
          <m:r>
            <m:rPr>
              <m:sty m:val="p"/>
            </m:rPr>
            <m:t>=</m:t>
          </m:r>
          <m:r>
            <m:t>0</m:t>
          </m:r>
          <m:r>
            <m:rPr>
              <m:sty m:val="p"/>
            </m:rPr>
            <m:t>,</m:t>
          </m:r>
          <m:r>
            <m:t>  </m:t>
          </m:r>
          <m:f>
            <m:fPr>
              <m:type m:val="bar"/>
            </m:fPr>
            <m:num>
              <m:r>
                <m:rPr>
                  <m:sty m:val="p"/>
                </m:rPr>
                <m:t>∂</m:t>
              </m:r>
              <m:r>
                <m:t>S</m:t>
              </m:r>
            </m:num>
            <m:den>
              <m:r>
                <m:rPr>
                  <m:sty m:val="p"/>
                </m:rPr>
                <m:t>∂</m:t>
              </m:r>
              <m:r>
                <m:t>r</m:t>
              </m:r>
            </m:den>
          </m:f>
          <m:d>
            <m:dPr>
              <m:begChr m:val="("/>
              <m:sepChr m:val=""/>
              <m:endChr m:val=")"/>
              <m:grow/>
            </m:dPr>
            <m:e>
              <m:r>
                <m:t>0</m:t>
              </m:r>
              <m:r>
                <m:rPr>
                  <m:sty m:val="p"/>
                </m:rPr>
                <m:t>,</m:t>
              </m:r>
              <m:r>
                <m:t>z</m:t>
              </m:r>
              <m:r>
                <m:rPr>
                  <m:sty m:val="p"/>
                </m:rPr>
                <m:t>,</m:t>
              </m:r>
              <m:r>
                <m:t>t</m:t>
              </m:r>
            </m:e>
          </m:d>
          <m:r>
            <m:rPr>
              <m:sty m:val="p"/>
            </m:rPr>
            <m:t>=</m:t>
          </m:r>
          <m:f>
            <m:fPr>
              <m:type m:val="bar"/>
            </m:fPr>
            <m:num>
              <m:r>
                <m:rPr>
                  <m:sty m:val="p"/>
                </m:rPr>
                <m:t>∂</m:t>
              </m:r>
              <m:r>
                <m:t>S</m:t>
              </m:r>
            </m:num>
            <m:den>
              <m:r>
                <m:rPr>
                  <m:sty m:val="p"/>
                </m:rPr>
                <m:t>∂</m:t>
              </m:r>
              <m:r>
                <m:t>z</m:t>
              </m:r>
            </m:den>
          </m:f>
          <m:d>
            <m:dPr>
              <m:begChr m:val="("/>
              <m:sepChr m:val=""/>
              <m:endChr m:val=")"/>
              <m:grow/>
            </m:dPr>
            <m:e>
              <m:r>
                <m:t>r</m:t>
              </m:r>
              <m:r>
                <m:rPr>
                  <m:sty m:val="p"/>
                </m:rPr>
                <m:t>,</m:t>
              </m:r>
              <m:r>
                <m:t>0</m:t>
              </m:r>
              <m:r>
                <m:rPr>
                  <m:sty m:val="p"/>
                </m:rPr>
                <m:t>,</m:t>
              </m:r>
              <m:r>
                <m:t>t</m:t>
              </m:r>
            </m:e>
          </m:d>
          <m:r>
            <m:rPr>
              <m:sty m:val="p"/>
            </m:rPr>
            <m:t>=</m:t>
          </m:r>
          <m:r>
            <m:t>0</m:t>
          </m:r>
          <m:r>
            <m:t>  </m:t>
          </m:r>
          <m:r>
            <m:t>  </m:t>
          </m:r>
          <m:d>
            <m:dPr>
              <m:begChr m:val="("/>
              <m:sepChr m:val=""/>
              <m:endChr m:val=")"/>
              <m:grow/>
            </m:dPr>
            <m:e>
              <m:r>
                <m:t>6</m:t>
              </m:r>
            </m:e>
          </m:d>
        </m:oMath>
      </m:oMathPara>
    </w:p>
    <w:p>
      <w:pPr>
        <w:pStyle w:val="FirstParagraph"/>
      </w:pPr>
      <w:r>
        <w:t xml:space="preserve">The specimen starts fully saturated, and the exposed surfaces are assumed to reach the oven-dry state immediately, which defines</w:t>
      </w:r>
      <w:r>
        <w:t xml:space="preserve"> </w:t>
      </w:r>
      <m:oMath>
        <m:r>
          <m:t>S</m:t>
        </m:r>
        <m:r>
          <m:rPr>
            <m:sty m:val="p"/>
          </m:rPr>
          <m:t>=</m:t>
        </m:r>
        <m:r>
          <m:t>0</m:t>
        </m:r>
      </m:oMath>
      <w:r>
        <w:t xml:space="preserve">. The quantity compared with the measurements is the volume average</w:t>
      </w:r>
    </w:p>
    <w:p>
      <w:pPr>
        <w:pStyle w:val="BodyText"/>
      </w:pPr>
      <m:oMathPara>
        <m:oMathParaPr>
          <m:jc m:val="center"/>
        </m:oMathParaPr>
        <m:oMath>
          <m:sSub>
            <m:e>
              <m:r>
                <m:t>S</m:t>
              </m:r>
            </m:e>
            <m:sub>
              <m:r>
                <m:rPr>
                  <m:nor/>
                </m:rPr>
                <m:t>avg</m:t>
              </m:r>
            </m:sub>
          </m:sSub>
          <m:d>
            <m:dPr>
              <m:begChr m:val="("/>
              <m:sepChr m:val=""/>
              <m:endChr m:val=")"/>
              <m:grow/>
            </m:dPr>
            <m:e>
              <m:r>
                <m:t>t</m:t>
              </m:r>
            </m:e>
          </m:d>
          <m:r>
            <m:rPr>
              <m:sty m:val="p"/>
            </m:rPr>
            <m:t>=</m:t>
          </m:r>
          <m:f>
            <m:fPr>
              <m:type m:val="bar"/>
            </m:fPr>
            <m:num>
              <m:r>
                <m:t>2</m:t>
              </m:r>
            </m:num>
            <m:den>
              <m:sSup>
                <m:e>
                  <m:r>
                    <m:t>R</m:t>
                  </m:r>
                </m:e>
                <m:sup>
                  <m:r>
                    <m:t>2</m:t>
                  </m:r>
                </m:sup>
              </m:sSup>
              <m:r>
                <m:t>H</m:t>
              </m:r>
            </m:den>
          </m:f>
          <m:nary>
            <m:naryPr>
              <m:chr m:val="∫"/>
              <m:limLoc m:val="subSup"/>
              <m:subHide m:val="off"/>
              <m:supHide m:val="off"/>
            </m:naryPr>
            <m:sub>
              <m:r>
                <m:t>0</m:t>
              </m:r>
            </m:sub>
            <m:sup>
              <m:r>
                <m:t>H</m:t>
              </m:r>
            </m:sup>
            <m:e>
              <m:r>
                <m:t>​</m:t>
              </m:r>
            </m:e>
          </m:nary>
          <m:r>
            <m:t>​</m:t>
          </m:r>
          <m:nary>
            <m:naryPr>
              <m:chr m:val="∫"/>
              <m:limLoc m:val="subSup"/>
              <m:subHide m:val="off"/>
              <m:supHide m:val="off"/>
            </m:naryPr>
            <m:sub>
              <m:r>
                <m:t>0</m:t>
              </m:r>
            </m:sub>
            <m:sup>
              <m:r>
                <m:t>R</m:t>
              </m:r>
            </m:sup>
            <m:e>
              <m:r>
                <m:t>S</m:t>
              </m:r>
            </m:e>
          </m:nary>
          <m:d>
            <m:dPr>
              <m:begChr m:val="("/>
              <m:sepChr m:val=""/>
              <m:endChr m:val=")"/>
              <m:grow/>
            </m:dPr>
            <m:e>
              <m:r>
                <m:t>r</m:t>
              </m:r>
              <m:r>
                <m:rPr>
                  <m:sty m:val="p"/>
                </m:rPr>
                <m:t>,</m:t>
              </m:r>
              <m:r>
                <m:t>z</m:t>
              </m:r>
              <m:r>
                <m:rPr>
                  <m:sty m:val="p"/>
                </m:rPr>
                <m:t>,</m:t>
              </m:r>
              <m:r>
                <m:t>t</m:t>
              </m:r>
            </m:e>
          </m:d>
          <m:r>
            <m:t> </m:t>
          </m:r>
          <m:r>
            <m:t>r</m:t>
          </m:r>
          <m:r>
            <m:t> </m:t>
          </m:r>
          <m:r>
            <m:rPr>
              <m:sty m:val="p"/>
            </m:rPr>
            <m:t>d</m:t>
          </m:r>
          <m:r>
            <m:t>r</m:t>
          </m:r>
          <m:r>
            <m:t> </m:t>
          </m:r>
          <m:r>
            <m:rPr>
              <m:sty m:val="p"/>
            </m:rPr>
            <m:t>d</m:t>
          </m:r>
          <m:r>
            <m:t>z</m:t>
          </m:r>
          <m:r>
            <m:t>  </m:t>
          </m:r>
          <m:r>
            <m:t>  </m:t>
          </m:r>
          <m:d>
            <m:dPr>
              <m:begChr m:val="("/>
              <m:sepChr m:val=""/>
              <m:endChr m:val=")"/>
              <m:grow/>
            </m:dPr>
            <m:e>
              <m:r>
                <m:t>7</m:t>
              </m:r>
            </m:e>
          </m:d>
        </m:oMath>
      </m:oMathPara>
    </w:p>
    <w:p>
      <w:pPr>
        <w:pStyle w:val="FirstParagraph"/>
      </w:pPr>
      <w:r>
        <w:t xml:space="preserve">A one-dimensional slab whose half-thickness equals the volume-to-surface ratio,</w:t>
      </w:r>
      <w:r>
        <w:t xml:space="preserve"> </w:t>
      </w:r>
      <m:oMath>
        <m:r>
          <m:t>L</m:t>
        </m:r>
        <m:r>
          <m:rPr>
            <m:sty m:val="p"/>
          </m:rPr>
          <m:t>=</m:t>
        </m:r>
        <m:r>
          <m:t>V</m:t>
        </m:r>
        <m:r>
          <m:rPr>
            <m:sty m:val="p"/>
          </m:rPr>
          <m:t>/</m:t>
        </m:r>
        <m:r>
          <m:t>A</m:t>
        </m:r>
        <m:r>
          <m:rPr>
            <m:sty m:val="p"/>
          </m:rPr>
          <m:t>=</m:t>
        </m:r>
        <m:r>
          <m:t>12.5</m:t>
        </m:r>
      </m:oMath>
      <w:r>
        <w:t xml:space="preserve"> </w:t>
      </w:r>
      <w:r>
        <w:t xml:space="preserve">mm, is a common simplification. It reproduces the early-time drying rate of the disc but not its later stages, because the corners of the disc dry from two sides. With the same parameters, the slab curve departs from the disc curve by up to 0.13 in</w:t>
      </w:r>
      <w:r>
        <w:t xml:space="preserve"> </w:t>
      </w:r>
      <m:oMath>
        <m:sSub>
          <m:e>
            <m:r>
              <m:t>S</m:t>
            </m:r>
          </m:e>
          <m:sub>
            <m:r>
              <m:rPr>
                <m:nor/>
              </m:rPr>
              <m:t>avg</m:t>
            </m:r>
          </m:sub>
        </m:sSub>
      </m:oMath>
      <w:r>
        <w:t xml:space="preserve"> </w:t>
      </w:r>
      <w:r>
        <w:t xml:space="preserve">(Fig. 2). A slab model can still be fitted to the disc curves (RMSE ≤ 0.011), but it then returns parameters that are biased by −0.33 to −0.25 decades in</w:t>
      </w:r>
      <w:r>
        <w:t xml:space="preserve"> </w:t>
      </w:r>
      <m:oMath>
        <m:sSub>
          <m:e>
            <m:r>
              <m:t>D</m:t>
            </m:r>
          </m:e>
          <m:sub>
            <m:r>
              <m:t>v</m:t>
            </m:r>
          </m:sub>
        </m:sSub>
      </m:oMath>
      <w:r>
        <w:t xml:space="preserve"> </w:t>
      </w:r>
      <w:r>
        <w:t xml:space="preserve">and 0.05 to +0.55 decades in</w:t>
      </w:r>
      <w:r>
        <w:t xml:space="preserve"> </w:t>
      </w:r>
      <m:oMath>
        <m:sSub>
          <m:e>
            <m:r>
              <m:t>K</m:t>
            </m:r>
          </m:e>
          <m:sub>
            <m:r>
              <m:rPr>
                <m:nor/>
              </m:rPr>
              <m:t>int</m:t>
            </m:r>
          </m:sub>
        </m:sSub>
      </m:oMath>
      <w:r>
        <w:t xml:space="preserve">. The disc geometry is therefore used for all results on transport parameters. The slab is kept only for the controlled comparison with the PINN in Section 5.5, where both methods use the same simplified model.</w:t>
      </w:r>
    </w:p>
    <w:p>
      <w:pPr>
        <w:pStyle w:val="CaptionedFigure"/>
      </w:pPr>
      <w:r>
        <w:drawing>
          <wp:inline>
            <wp:extent cx="5334000" cy="2511058"/>
            <wp:effectExtent b="0" l="0" r="0" t="0"/>
            <wp:docPr descr="Fig. 2. Disc model and one-dimensional slab. (a, b) Measured average saturation, disc model fitted to the data, and slab model (L = V/A) run with the same parameters. (c) Saturation in the disc (one quarter of the cross-section) after 7 days for C-0.4; the corner dries from two sides." title="" id="32" name="Picture"/>
            <a:graphic>
              <a:graphicData uri="http://schemas.openxmlformats.org/drawingml/2006/picture">
                <pic:pic>
                  <pic:nvPicPr>
                    <pic:cNvPr descr="fig3/fig_geometry.png" id="33" name="Picture"/>
                    <pic:cNvPicPr>
                      <a:picLocks noChangeArrowheads="1" noChangeAspect="1"/>
                    </pic:cNvPicPr>
                  </pic:nvPicPr>
                  <pic:blipFill>
                    <a:blip r:embed="rId31"/>
                    <a:stretch>
                      <a:fillRect/>
                    </a:stretch>
                  </pic:blipFill>
                  <pic:spPr bwMode="auto">
                    <a:xfrm>
                      <a:off x="0" y="0"/>
                      <a:ext cx="5334000" cy="2511058"/>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Disc model and one-dimensional slab. (a, b) Measured average saturation, disc model fitted to the data, and slab model (</w:t>
      </w:r>
      <m:oMath>
        <m:r>
          <m:t>L</m:t>
        </m:r>
        <m:r>
          <m:rPr>
            <m:sty m:val="p"/>
          </m:rPr>
          <m:t>=</m:t>
        </m:r>
        <m:r>
          <m:t>V</m:t>
        </m:r>
        <m:r>
          <m:rPr>
            <m:sty m:val="p"/>
          </m:rPr>
          <m:t>/</m:t>
        </m:r>
        <m:r>
          <m:t>A</m:t>
        </m:r>
      </m:oMath>
      <w:r>
        <w:t xml:space="preserve">) run with the same parameters. (c) Saturation in the disc (one quarter of the cross-section) after 7 days for C-0.4; the corner dries from two sides.</w:t>
      </w:r>
    </w:p>
    <w:bookmarkEnd w:id="34"/>
    <w:bookmarkStart w:id="35" w:name="identifiability"/>
    <w:p>
      <w:pPr>
        <w:pStyle w:val="Heading2"/>
      </w:pPr>
      <w:r>
        <w:t xml:space="preserve">3.3 Identifiability</w:t>
      </w:r>
    </w:p>
    <w:p>
      <w:pPr>
        <w:pStyle w:val="FirstParagraph"/>
      </w:pPr>
      <w:r>
        <w:t xml:space="preserve">An average-saturation curve cannot determine many parameters at once. We fitted the disc model to four representative mixes with three parameter sets (Table 3). When</w:t>
      </w:r>
      <w:r>
        <w:t xml:space="preserve"> </w:t>
      </w:r>
      <m:oMath>
        <m:sSub>
          <m:e>
            <m:r>
              <m:t>D</m:t>
            </m:r>
          </m:e>
          <m:sub>
            <m:r>
              <m:t>v</m:t>
            </m:r>
          </m:sub>
        </m:sSub>
      </m:oMath>
      <w:r>
        <w:t xml:space="preserve">,</w:t>
      </w:r>
      <w:r>
        <w:t xml:space="preserve"> </w:t>
      </w:r>
      <m:oMath>
        <m:sSub>
          <m:e>
            <m:r>
              <m:t>α</m:t>
            </m:r>
          </m:e>
          <m:sub>
            <m:r>
              <m:t>0</m:t>
            </m:r>
          </m:sub>
        </m:sSub>
      </m:oMath>
      <w:r>
        <w:t xml:space="preserve"> </w:t>
      </w:r>
      <w:r>
        <w:t xml:space="preserve">and</w:t>
      </w:r>
      <w:r>
        <w:t xml:space="preserve"> </w:t>
      </w:r>
      <m:oMath>
        <m:sSub>
          <m:e>
            <m:r>
              <m:t>K</m:t>
            </m:r>
          </m:e>
          <m:sub>
            <m:r>
              <m:rPr>
                <m:nor/>
              </m:rPr>
              <m:t>int</m:t>
            </m:r>
          </m:sub>
        </m:sSub>
      </m:oMath>
      <w:r>
        <w:t xml:space="preserve"> </w:t>
      </w:r>
      <w:r>
        <w:t xml:space="preserve">are fitted together,</w:t>
      </w:r>
      <w:r>
        <w:t xml:space="preserve"> </w:t>
      </w:r>
      <m:oMath>
        <m:sSub>
          <m:e>
            <m:r>
              <m:t>D</m:t>
            </m:r>
          </m:e>
          <m:sub>
            <m:r>
              <m:t>v</m:t>
            </m:r>
          </m:sub>
        </m:sSub>
      </m:oMath>
      <w:r>
        <w:t xml:space="preserve"> </w:t>
      </w:r>
      <w:r>
        <w:t xml:space="preserve">and</w:t>
      </w:r>
      <w:r>
        <w:t xml:space="preserve"> </w:t>
      </w:r>
      <m:oMath>
        <m:sSub>
          <m:e>
            <m:r>
              <m:t>α</m:t>
            </m:r>
          </m:e>
          <m:sub>
            <m:r>
              <m:t>0</m:t>
            </m:r>
          </m:sub>
        </m:sSub>
      </m:oMath>
      <w:r>
        <w:t xml:space="preserve"> </w:t>
      </w:r>
      <w:r>
        <w:t xml:space="preserve">are perfectly correlated (</w:t>
      </w:r>
      <m:oMath>
        <m:r>
          <m:rPr>
            <m:sty m:val="p"/>
          </m:rPr>
          <m:t>|</m:t>
        </m:r>
        <m:r>
          <m:t>ρ</m:t>
        </m:r>
        <m:r>
          <m:rPr>
            <m:sty m:val="p"/>
          </m:rPr>
          <m:t>|</m:t>
        </m:r>
      </m:oMath>
      <w:r>
        <w:t xml:space="preserve"> </w:t>
      </w:r>
      <w:r>
        <w:t xml:space="preserve">= 1.00) and the Jacobian is ill-conditioned (condition number 4 × 10</w:t>
      </w:r>
      <w:r>
        <w:rPr>
          <w:vertAlign w:val="superscript"/>
        </w:rPr>
        <w:t xml:space="preserve">2</w:t>
      </w:r>
      <w:r>
        <w:t xml:space="preserve"> </w:t>
      </w:r>
      <w:r>
        <w:t xml:space="preserve">to 2 × 10</w:t>
      </w:r>
      <w:r>
        <w:rPr>
          <w:vertAlign w:val="superscript"/>
        </w:rPr>
        <w:t xml:space="preserve">3</w:t>
      </w:r>
      <w:r>
        <w:t xml:space="preserve">). Adding</w:t>
      </w:r>
      <w:r>
        <w:t xml:space="preserve"> </w:t>
      </w:r>
      <m:oMath>
        <m:r>
          <m:t>n</m:t>
        </m:r>
      </m:oMath>
      <w:r>
        <w:t xml:space="preserve"> </w:t>
      </w:r>
      <w:r>
        <w:t xml:space="preserve">hardly improves the fit and leaves parameter pairs correlated above 0.99. With</w:t>
      </w:r>
      <w:r>
        <w:t xml:space="preserve"> </w:t>
      </w:r>
      <m:oMath>
        <m:sSub>
          <m:e>
            <m:r>
              <m:t>α</m:t>
            </m:r>
          </m:e>
          <m:sub>
            <m:r>
              <m:t>0</m:t>
            </m:r>
          </m:sub>
        </m:sSub>
      </m:oMath>
      <w:r>
        <w:t xml:space="preserve"> </w:t>
      </w:r>
      <w:r>
        <w:t xml:space="preserve">and</w:t>
      </w:r>
      <w:r>
        <w:t xml:space="preserve"> </w:t>
      </w:r>
      <m:oMath>
        <m:r>
          <m:t>n</m:t>
        </m:r>
      </m:oMath>
      <w:r>
        <w:t xml:space="preserve"> </w:t>
      </w:r>
      <w:r>
        <w:t xml:space="preserve">fixed,</w:t>
      </w:r>
      <w:r>
        <w:t xml:space="preserve"> </w:t>
      </w:r>
      <m:oMath>
        <m:sSub>
          <m:e>
            <m:r>
              <m:t>D</m:t>
            </m:r>
          </m:e>
          <m:sub>
            <m:r>
              <m:t>v</m:t>
            </m:r>
          </m:sub>
        </m:sSub>
      </m:oMath>
      <w:r>
        <w:t xml:space="preserve"> </w:t>
      </w:r>
      <w:r>
        <w:t xml:space="preserve">and</w:t>
      </w:r>
      <w:r>
        <w:t xml:space="preserve"> </w:t>
      </w:r>
      <m:oMath>
        <m:sSub>
          <m:e>
            <m:r>
              <m:t>K</m:t>
            </m:r>
          </m:e>
          <m:sub>
            <m:r>
              <m:rPr>
                <m:nor/>
              </m:rPr>
              <m:t>int</m:t>
            </m:r>
          </m:sub>
        </m:sSub>
      </m:oMath>
      <w:r>
        <w:t xml:space="preserve"> </w:t>
      </w:r>
      <w:r>
        <w:t xml:space="preserve">are well determined: their correlation is 0.72–0.82 and the condition number 12–16. We therefore identify</w:t>
      </w:r>
      <w:r>
        <w:t xml:space="preserve"> </w:t>
      </w:r>
      <m:oMath>
        <m:r>
          <m:rPr>
            <m:sty m:val="b"/>
          </m:rPr>
          <m:t>θ</m:t>
        </m:r>
        <m:r>
          <m:rPr>
            <m:sty m:val="p"/>
          </m:rPr>
          <m:t>=</m:t>
        </m:r>
        <m:d>
          <m:dPr>
            <m:begChr m:val="["/>
            <m:sepChr m:val=""/>
            <m:endChr m:val="]"/>
            <m:grow/>
          </m:dPr>
          <m:e>
            <m:sSub>
              <m:e>
                <m:r>
                  <m:rPr>
                    <m:sty m:val="p"/>
                  </m:rPr>
                  <m:t>log</m:t>
                </m:r>
              </m:e>
              <m:sub>
                <m:r>
                  <m:t>10</m:t>
                </m:r>
              </m:sub>
            </m:sSub>
            <m:sSub>
              <m:e>
                <m:r>
                  <m:t>D</m:t>
                </m:r>
              </m:e>
              <m:sub>
                <m:r>
                  <m:t>v</m:t>
                </m:r>
              </m:sub>
            </m:sSub>
            <m:r>
              <m:rPr>
                <m:sty m:val="p"/>
              </m:rPr>
              <m:t>,</m:t>
            </m:r>
            <m:sSub>
              <m:e>
                <m:r>
                  <m:rPr>
                    <m:sty m:val="p"/>
                  </m:rPr>
                  <m:t>log</m:t>
                </m:r>
              </m:e>
              <m:sub>
                <m:r>
                  <m:t>10</m:t>
                </m:r>
              </m:sub>
            </m:sSub>
            <m:sSub>
              <m:e>
                <m:r>
                  <m:t>K</m:t>
                </m:r>
              </m:e>
              <m:sub>
                <m:r>
                  <m:rPr>
                    <m:nor/>
                  </m:rPr>
                  <m:t>int</m:t>
                </m:r>
              </m:sub>
            </m:sSub>
          </m:e>
        </m:d>
      </m:oMath>
      <w:r>
        <w:t xml:space="preserve"> </w:t>
      </w:r>
      <w:r>
        <w:t xml:space="preserve">for each mix. Because</w:t>
      </w:r>
      <w:r>
        <w:t xml:space="preserve"> </w:t>
      </w:r>
      <m:oMath>
        <m:sSub>
          <m:e>
            <m:r>
              <m:t>D</m:t>
            </m:r>
          </m:e>
          <m:sub>
            <m:r>
              <m:t>v</m:t>
            </m:r>
          </m:sub>
        </m:sSub>
      </m:oMath>
      <w:r>
        <w:t xml:space="preserve"> </w:t>
      </w:r>
      <w:r>
        <w:t xml:space="preserve">and</w:t>
      </w:r>
      <w:r>
        <w:t xml:space="preserve"> </w:t>
      </w:r>
      <m:oMath>
        <m:sSub>
          <m:e>
            <m:r>
              <m:t>α</m:t>
            </m:r>
          </m:e>
          <m:sub>
            <m:r>
              <m:t>0</m:t>
            </m:r>
          </m:sub>
        </m:sSub>
      </m:oMath>
      <w:r>
        <w:t xml:space="preserve"> </w:t>
      </w:r>
      <w:r>
        <w:t xml:space="preserve">cannot be separated, the identified</w:t>
      </w:r>
      <w:r>
        <w:t xml:space="preserve"> </w:t>
      </w:r>
      <m:oMath>
        <m:sSub>
          <m:e>
            <m:r>
              <m:t>D</m:t>
            </m:r>
          </m:e>
          <m:sub>
            <m:r>
              <m:t>v</m:t>
            </m:r>
          </m:sub>
        </m:sSub>
      </m:oMath>
      <w:r>
        <w:t xml:space="preserve"> </w:t>
      </w:r>
      <w:r>
        <w:t xml:space="preserve">is conditional on</w:t>
      </w:r>
      <w:r>
        <w:t xml:space="preserve"> </w:t>
      </w:r>
      <m:oMath>
        <m:sSub>
          <m:e>
            <m:r>
              <m:t>α</m:t>
            </m:r>
          </m:e>
          <m:sub>
            <m:r>
              <m:t>0</m:t>
            </m:r>
          </m:sub>
        </m:sSub>
        <m:r>
          <m:rPr>
            <m:sty m:val="p"/>
          </m:rPr>
          <m:t>=</m:t>
        </m:r>
        <m:r>
          <m:t>0.05</m:t>
        </m:r>
      </m:oMath>
      <w:r>
        <w:t xml:space="preserve">.</w:t>
      </w:r>
    </w:p>
    <w:p>
      <w:pPr>
        <w:pStyle w:val="BodyText"/>
      </w:pPr>
      <w:r>
        <w:t xml:space="preserve">The shared exponent</w:t>
      </w:r>
      <w:r>
        <w:t xml:space="preserve"> </w:t>
      </w:r>
      <m:oMath>
        <m:r>
          <m:t>n</m:t>
        </m:r>
      </m:oMath>
      <w:r>
        <w:t xml:space="preserve"> </w:t>
      </w:r>
      <w:r>
        <w:t xml:space="preserve">was chosen by profiling:</w:t>
      </w:r>
      <w:r>
        <w:t xml:space="preserve"> </w:t>
      </w:r>
      <m:oMath>
        <m:sSub>
          <m:e>
            <m:r>
              <m:t>D</m:t>
            </m:r>
          </m:e>
          <m:sub>
            <m:r>
              <m:t>v</m:t>
            </m:r>
          </m:sub>
        </m:sSub>
      </m:oMath>
      <w:r>
        <w:t xml:space="preserve"> </w:t>
      </w:r>
      <w:r>
        <w:t xml:space="preserve">and</w:t>
      </w:r>
      <w:r>
        <w:t xml:space="preserve"> </w:t>
      </w:r>
      <m:oMath>
        <m:sSub>
          <m:e>
            <m:r>
              <m:t>K</m:t>
            </m:r>
          </m:e>
          <m:sub>
            <m:r>
              <m:rPr>
                <m:nor/>
              </m:rPr>
              <m:t>int</m:t>
            </m:r>
          </m:sub>
        </m:sSub>
      </m:oMath>
      <w:r>
        <w:t xml:space="preserve"> </w:t>
      </w:r>
      <w:r>
        <w:t xml:space="preserve">were fitted to six mixes for</w:t>
      </w:r>
      <w:r>
        <w:t xml:space="preserve"> </w:t>
      </w:r>
      <m:oMath>
        <m:r>
          <m:t>n</m:t>
        </m:r>
      </m:oMath>
      <w:r>
        <w:t xml:space="preserve"> </w:t>
      </w:r>
      <w:r>
        <w:t xml:space="preserve">between 1.5 and 16. The total misfit decreases with</w:t>
      </w:r>
      <w:r>
        <w:t xml:space="preserve"> </w:t>
      </w:r>
      <m:oMath>
        <m:r>
          <m:t>n</m:t>
        </m:r>
      </m:oMath>
      <w:r>
        <w:t xml:space="preserve"> </w:t>
      </w:r>
      <w:r>
        <w:t xml:space="preserve">and levels off beyond</w:t>
      </w:r>
      <w:r>
        <w:t xml:space="preserve"> </w:t>
      </w:r>
      <m:oMath>
        <m:r>
          <m:t>n</m:t>
        </m:r>
        <m:r>
          <m:rPr>
            <m:sty m:val="p"/>
          </m:rPr>
          <m:t>≈</m:t>
        </m:r>
        <m:r>
          <m:t>8</m:t>
        </m:r>
      </m:oMath>
      <w:r>
        <w:t xml:space="preserve">; it is 31% lower at</w:t>
      </w:r>
      <w:r>
        <w:t xml:space="preserve"> </w:t>
      </w:r>
      <m:oMath>
        <m:r>
          <m:t>n</m:t>
        </m:r>
        <m:r>
          <m:rPr>
            <m:sty m:val="p"/>
          </m:rPr>
          <m:t>=</m:t>
        </m:r>
        <m:r>
          <m:t>8</m:t>
        </m:r>
      </m:oMath>
      <w:r>
        <w:t xml:space="preserve"> </w:t>
      </w:r>
      <w:r>
        <w:t xml:space="preserve">than at</w:t>
      </w:r>
      <w:r>
        <w:t xml:space="preserve"> </w:t>
      </w:r>
      <m:oMath>
        <m:r>
          <m:t>n</m:t>
        </m:r>
        <m:r>
          <m:rPr>
            <m:sty m:val="p"/>
          </m:rPr>
          <m:t>=</m:t>
        </m:r>
        <m:r>
          <m:t>2</m:t>
        </m:r>
      </m:oMath>
      <w:r>
        <w:t xml:space="preserve">, and only 2% lower at</w:t>
      </w:r>
      <w:r>
        <w:t xml:space="preserve"> </w:t>
      </w:r>
      <m:oMath>
        <m:r>
          <m:t>n</m:t>
        </m:r>
        <m:r>
          <m:rPr>
            <m:sty m:val="p"/>
          </m:rPr>
          <m:t>=</m:t>
        </m:r>
        <m:r>
          <m:t>16</m:t>
        </m:r>
      </m:oMath>
      <w:r>
        <w:t xml:space="preserve">. We use</w:t>
      </w:r>
      <w:r>
        <w:t xml:space="preserve"> </w:t>
      </w:r>
      <m:oMath>
        <m:r>
          <m:t>n</m:t>
        </m:r>
        <m:r>
          <m:rPr>
            <m:sty m:val="p"/>
          </m:rPr>
          <m:t>=</m:t>
        </m:r>
        <m:r>
          <m:t>8</m:t>
        </m:r>
      </m:oMath>
      <w:r>
        <w:t xml:space="preserve">, which lies in the range 6–16 reported by Bažant and Najjar [9].</w:t>
      </w:r>
    </w:p>
    <w:p>
      <w:pPr>
        <w:pStyle w:val="TableCaption"/>
      </w:pPr>
      <w:r>
        <w:rPr>
          <w:bCs/>
          <w:b/>
        </w:rPr>
        <w:t xml:space="preserve">Table 3.</w:t>
      </w:r>
      <w:r>
        <w:t xml:space="preserve"> </w:t>
      </w:r>
      <w:r>
        <w:t xml:space="preserve">Identifiability study with the disc model (</w:t>
      </w:r>
      <m:oMath>
        <m:r>
          <m:t>n</m:t>
        </m:r>
        <m:r>
          <m:rPr>
            <m:sty m:val="p"/>
          </m:rPr>
          <m:t>=</m:t>
        </m:r>
        <m:r>
          <m:t>8</m:t>
        </m:r>
      </m:oMath>
      <w:r>
        <w:t xml:space="preserve"> </w:t>
      </w:r>
      <w:r>
        <w:t xml:space="preserve">when not identified): fit quality, largest parameter correlation and condition number of the Jacobian.</w:t>
      </w:r>
    </w:p>
    <w:tbl>
      <w:tblPr>
        <w:tblStyle w:val="Table"/>
        <w:tblW w:type="pct" w:w="5000"/>
        <w:jc w:val="center"/>
        <w:tblLook w:firstRow="1" w:lastRow="0" w:firstColumn="0" w:lastColumn="0" w:noHBand="0" w:noVBand="0" w:val="0020"/>
        <w:tblCaption w:val="Table 3. Identifiability study with the disc model (n = 8 when not identified): fit quality, largest parameter correlation and condition number of the Jacobian."/>
      </w:tblPr>
      <w:tblGrid>
        <w:gridCol w:w="1066"/>
        <w:gridCol w:w="3198"/>
        <w:gridCol w:w="913"/>
        <w:gridCol w:w="913"/>
        <w:gridCol w:w="913"/>
        <w:gridCol w:w="913"/>
      </w:tblGrid>
      <w:tr>
        <w:trPr>
          <w:tblHeader w:val="true"/>
        </w:trPr>
        <w:tc>
          <w:tcPr/>
          <w:p>
            <w:pPr>
              <w:pStyle w:val="Compact"/>
              <w:jc w:val="left"/>
            </w:pPr>
            <w:r>
              <w:t xml:space="preserve">Mix</w:t>
            </w:r>
          </w:p>
        </w:tc>
        <w:tc>
          <w:tcPr/>
          <w:p>
            <w:pPr>
              <w:pStyle w:val="Compact"/>
              <w:jc w:val="left"/>
            </w:pPr>
            <w:r>
              <w:t xml:space="preserve">Identified</w:t>
            </w:r>
          </w:p>
        </w:tc>
        <w:tc>
          <w:tcPr/>
          <w:p>
            <w:pPr>
              <w:pStyle w:val="Compact"/>
              <w:jc w:val="center"/>
            </w:pPr>
            <m:oMath>
              <m:sSup>
                <m:e>
                  <m:r>
                    <m:t>R</m:t>
                  </m:r>
                </m:e>
                <m:sup>
                  <m:r>
                    <m:t>2</m:t>
                  </m:r>
                </m:sup>
              </m:sSup>
            </m:oMath>
          </w:p>
        </w:tc>
        <w:tc>
          <w:tcPr/>
          <w:p>
            <w:pPr>
              <w:pStyle w:val="Compact"/>
              <w:jc w:val="center"/>
            </w:pPr>
            <w:r>
              <w:t xml:space="preserve">RMSE</w:t>
            </w:r>
          </w:p>
        </w:tc>
        <w:tc>
          <w:tcPr/>
          <w:p>
            <w:pPr>
              <w:pStyle w:val="Compact"/>
              <w:jc w:val="center"/>
            </w:pPr>
            <w:r>
              <w:t xml:space="preserve">max</w:t>
            </w:r>
            <w:r>
              <w:t xml:space="preserve"> </w:t>
            </w:r>
            <m:oMath>
              <m:r>
                <m:rPr>
                  <m:sty m:val="p"/>
                </m:rPr>
                <m:t>|</m:t>
              </m:r>
              <m:r>
                <m:t>ρ</m:t>
              </m:r>
              <m:r>
                <m:rPr>
                  <m:sty m:val="p"/>
                </m:rPr>
                <m:t>|</m:t>
              </m:r>
            </m:oMath>
          </w:p>
        </w:tc>
        <w:tc>
          <w:tcPr/>
          <w:p>
            <w:pPr>
              <w:pStyle w:val="Compact"/>
              <w:jc w:val="center"/>
            </w:pPr>
            <w:r>
              <w:t xml:space="preserve">cond(</w:t>
            </w:r>
            <m:oMath>
              <m:r>
                <m:rPr>
                  <m:sty m:val="b"/>
                </m:rPr>
                <m:t>J</m:t>
              </m:r>
            </m:oMath>
            <w:r>
              <w:t xml:space="preserve">)</w:t>
            </w:r>
          </w:p>
        </w:tc>
      </w:tr>
      <w:tr>
        <w:tc>
          <w:tcPr/>
          <w:p>
            <w:pPr>
              <w:pStyle w:val="Compact"/>
              <w:jc w:val="left"/>
            </w:pPr>
            <w:r>
              <w:t xml:space="preserve">C-0.4</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sSub>
                <m:e>
                  <m:r>
                    <m:t>K</m:t>
                  </m:r>
                </m:e>
                <m:sub>
                  <m:r>
                    <m:rPr>
                      <m:nor/>
                    </m:rPr>
                    <m:t>int</m:t>
                  </m:r>
                </m:sub>
              </m:sSub>
            </m:oMath>
          </w:p>
        </w:tc>
        <w:tc>
          <w:tcPr/>
          <w:p>
            <w:pPr>
              <w:pStyle w:val="Compact"/>
              <w:jc w:val="center"/>
            </w:pPr>
            <w:r>
              <w:t xml:space="preserve">0.9974</w:t>
            </w:r>
          </w:p>
        </w:tc>
        <w:tc>
          <w:tcPr/>
          <w:p>
            <w:pPr>
              <w:pStyle w:val="Compact"/>
              <w:jc w:val="center"/>
            </w:pPr>
            <w:r>
              <w:t xml:space="preserve">0.0074</w:t>
            </w:r>
          </w:p>
        </w:tc>
        <w:tc>
          <w:tcPr/>
          <w:p>
            <w:pPr>
              <w:pStyle w:val="Compact"/>
              <w:jc w:val="center"/>
            </w:pPr>
            <w:r>
              <w:t xml:space="preserve">1.00</w:t>
            </w:r>
          </w:p>
        </w:tc>
        <w:tc>
          <w:tcPr/>
          <w:p>
            <w:pPr>
              <w:pStyle w:val="Compact"/>
              <w:jc w:val="center"/>
            </w:pPr>
            <w:r>
              <w:t xml:space="preserve">1.3 × 10</w:t>
            </w:r>
            <w:r>
              <w:rPr>
                <w:vertAlign w:val="superscript"/>
              </w:rPr>
              <w:t xml:space="preserve">3</w:t>
            </w:r>
          </w:p>
        </w:tc>
      </w:tr>
      <w:tr>
        <w:tc>
          <w:tcPr/>
          <w:p>
            <w:pPr>
              <w:pStyle w:val="Compact"/>
              <w:jc w:val="left"/>
            </w:pPr>
            <w:r>
              <w:t xml:space="preserve">C-0.4</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r>
                <m:t>n</m:t>
              </m:r>
            </m:oMath>
            <w:r>
              <w:t xml:space="preserve">,</w:t>
            </w:r>
            <w:r>
              <w:t xml:space="preserve"> </w:t>
            </w:r>
            <m:oMath>
              <m:sSub>
                <m:e>
                  <m:r>
                    <m:t>K</m:t>
                  </m:r>
                </m:e>
                <m:sub>
                  <m:r>
                    <m:rPr>
                      <m:nor/>
                    </m:rPr>
                    <m:t>int</m:t>
                  </m:r>
                </m:sub>
              </m:sSub>
            </m:oMath>
          </w:p>
        </w:tc>
        <w:tc>
          <w:tcPr/>
          <w:p>
            <w:pPr>
              <w:pStyle w:val="Compact"/>
              <w:jc w:val="center"/>
            </w:pPr>
            <w:r>
              <w:t xml:space="preserve">0.9989</w:t>
            </w:r>
          </w:p>
        </w:tc>
        <w:tc>
          <w:tcPr/>
          <w:p>
            <w:pPr>
              <w:pStyle w:val="Compact"/>
              <w:jc w:val="center"/>
            </w:pPr>
            <w:r>
              <w:t xml:space="preserve">0.0048</w:t>
            </w:r>
          </w:p>
        </w:tc>
        <w:tc>
          <w:tcPr/>
          <w:p>
            <w:pPr>
              <w:pStyle w:val="Compact"/>
              <w:jc w:val="center"/>
            </w:pPr>
            <w:r>
              <w:t xml:space="preserve">1.00</w:t>
            </w:r>
          </w:p>
        </w:tc>
        <w:tc>
          <w:tcPr/>
          <w:p>
            <w:pPr>
              <w:pStyle w:val="Compact"/>
              <w:jc w:val="center"/>
            </w:pPr>
            <w:r>
              <w:t xml:space="preserve">1.1 × 10</w:t>
            </w:r>
            <w:r>
              <w:rPr>
                <w:vertAlign w:val="superscript"/>
              </w:rPr>
              <w:t xml:space="preserve">4</w:t>
            </w:r>
          </w:p>
        </w:tc>
      </w:tr>
      <w:tr>
        <w:tc>
          <w:tcPr/>
          <w:p>
            <w:pPr>
              <w:pStyle w:val="Compact"/>
              <w:jc w:val="left"/>
            </w:pPr>
            <w:r>
              <w:t xml:space="preserve">C-0.4</w:t>
            </w:r>
          </w:p>
        </w:tc>
        <w:tc>
          <w:tcPr/>
          <w:p>
            <w:pPr>
              <w:pStyle w:val="Compact"/>
              <w:jc w:val="left"/>
            </w:pPr>
            <m:oMath>
              <m:sSub>
                <m:e>
                  <m:r>
                    <m:t>D</m:t>
                  </m:r>
                </m:e>
                <m:sub>
                  <m:r>
                    <m:t>v</m:t>
                  </m:r>
                </m:sub>
              </m:sSub>
            </m:oMath>
            <w:r>
              <w:t xml:space="preserve">,</w:t>
            </w:r>
            <w:r>
              <w:t xml:space="preserve"> </w:t>
            </w:r>
            <m:oMath>
              <m:sSub>
                <m:e>
                  <m:r>
                    <m:t>K</m:t>
                  </m:r>
                </m:e>
                <m:sub>
                  <m:r>
                    <m:rPr>
                      <m:nor/>
                    </m:rPr>
                    <m:t>int</m:t>
                  </m:r>
                </m:sub>
              </m:sSub>
            </m:oMath>
          </w:p>
        </w:tc>
        <w:tc>
          <w:tcPr/>
          <w:p>
            <w:pPr>
              <w:pStyle w:val="Compact"/>
              <w:jc w:val="center"/>
            </w:pPr>
            <w:r>
              <w:t xml:space="preserve">0.9975</w:t>
            </w:r>
          </w:p>
        </w:tc>
        <w:tc>
          <w:tcPr/>
          <w:p>
            <w:pPr>
              <w:pStyle w:val="Compact"/>
              <w:jc w:val="center"/>
            </w:pPr>
            <w:r>
              <w:t xml:space="preserve">0.0073</w:t>
            </w:r>
          </w:p>
        </w:tc>
        <w:tc>
          <w:tcPr/>
          <w:p>
            <w:pPr>
              <w:pStyle w:val="Compact"/>
              <w:jc w:val="center"/>
            </w:pPr>
            <w:r>
              <w:t xml:space="preserve">0.77</w:t>
            </w:r>
          </w:p>
        </w:tc>
        <w:tc>
          <w:tcPr/>
          <w:p>
            <w:pPr>
              <w:pStyle w:val="Compact"/>
              <w:jc w:val="center"/>
            </w:pPr>
            <w:r>
              <w:t xml:space="preserve">14</w:t>
            </w:r>
          </w:p>
        </w:tc>
      </w:tr>
      <w:tr>
        <w:tc>
          <w:tcPr/>
          <w:p>
            <w:pPr>
              <w:pStyle w:val="Compact"/>
              <w:jc w:val="left"/>
            </w:pPr>
            <w:r>
              <w:t xml:space="preserve">F20-0.3</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sSub>
                <m:e>
                  <m:r>
                    <m:t>K</m:t>
                  </m:r>
                </m:e>
                <m:sub>
                  <m:r>
                    <m:rPr>
                      <m:nor/>
                    </m:rPr>
                    <m:t>int</m:t>
                  </m:r>
                </m:sub>
              </m:sSub>
            </m:oMath>
          </w:p>
        </w:tc>
        <w:tc>
          <w:tcPr/>
          <w:p>
            <w:pPr>
              <w:pStyle w:val="Compact"/>
              <w:jc w:val="center"/>
            </w:pPr>
            <w:r>
              <w:t xml:space="preserve">0.9985</w:t>
            </w:r>
          </w:p>
        </w:tc>
        <w:tc>
          <w:tcPr/>
          <w:p>
            <w:pPr>
              <w:pStyle w:val="Compact"/>
              <w:jc w:val="center"/>
            </w:pPr>
            <w:r>
              <w:t xml:space="preserve">0.0061</w:t>
            </w:r>
          </w:p>
        </w:tc>
        <w:tc>
          <w:tcPr/>
          <w:p>
            <w:pPr>
              <w:pStyle w:val="Compact"/>
              <w:jc w:val="center"/>
            </w:pPr>
            <w:r>
              <w:t xml:space="preserve">1.00</w:t>
            </w:r>
          </w:p>
        </w:tc>
        <w:tc>
          <w:tcPr/>
          <w:p>
            <w:pPr>
              <w:pStyle w:val="Compact"/>
              <w:jc w:val="center"/>
            </w:pPr>
            <w:r>
              <w:t xml:space="preserve">1.5 × 10</w:t>
            </w:r>
            <w:r>
              <w:rPr>
                <w:vertAlign w:val="superscript"/>
              </w:rPr>
              <w:t xml:space="preserve">3</w:t>
            </w:r>
          </w:p>
        </w:tc>
      </w:tr>
      <w:tr>
        <w:tc>
          <w:tcPr/>
          <w:p>
            <w:pPr>
              <w:pStyle w:val="Compact"/>
              <w:jc w:val="left"/>
            </w:pPr>
            <w:r>
              <w:t xml:space="preserve">F20-0.3</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r>
                <m:t>n</m:t>
              </m:r>
            </m:oMath>
            <w:r>
              <w:t xml:space="preserve">,</w:t>
            </w:r>
            <w:r>
              <w:t xml:space="preserve"> </w:t>
            </w:r>
            <m:oMath>
              <m:sSub>
                <m:e>
                  <m:r>
                    <m:t>K</m:t>
                  </m:r>
                </m:e>
                <m:sub>
                  <m:r>
                    <m:rPr>
                      <m:nor/>
                    </m:rPr>
                    <m:t>int</m:t>
                  </m:r>
                </m:sub>
              </m:sSub>
            </m:oMath>
          </w:p>
        </w:tc>
        <w:tc>
          <w:tcPr/>
          <w:p>
            <w:pPr>
              <w:pStyle w:val="Compact"/>
              <w:jc w:val="center"/>
            </w:pPr>
            <w:r>
              <w:t xml:space="preserve">0.9985</w:t>
            </w:r>
          </w:p>
        </w:tc>
        <w:tc>
          <w:tcPr/>
          <w:p>
            <w:pPr>
              <w:pStyle w:val="Compact"/>
              <w:jc w:val="center"/>
            </w:pPr>
            <w:r>
              <w:t xml:space="preserve">0.0061</w:t>
            </w:r>
          </w:p>
        </w:tc>
        <w:tc>
          <w:tcPr/>
          <w:p>
            <w:pPr>
              <w:pStyle w:val="Compact"/>
              <w:jc w:val="center"/>
            </w:pPr>
            <w:r>
              <w:t xml:space="preserve">1.00</w:t>
            </w:r>
          </w:p>
        </w:tc>
        <w:tc>
          <w:tcPr/>
          <w:p>
            <w:pPr>
              <w:pStyle w:val="Compact"/>
              <w:jc w:val="center"/>
            </w:pPr>
            <w:r>
              <w:t xml:space="preserve">1.5 × 10</w:t>
            </w:r>
            <w:r>
              <w:rPr>
                <w:vertAlign w:val="superscript"/>
              </w:rPr>
              <w:t xml:space="preserve">6</w:t>
            </w:r>
          </w:p>
        </w:tc>
      </w:tr>
      <w:tr>
        <w:tc>
          <w:tcPr/>
          <w:p>
            <w:pPr>
              <w:pStyle w:val="Compact"/>
              <w:jc w:val="left"/>
            </w:pPr>
            <w:r>
              <w:t xml:space="preserve">F20-0.3</w:t>
            </w:r>
          </w:p>
        </w:tc>
        <w:tc>
          <w:tcPr/>
          <w:p>
            <w:pPr>
              <w:pStyle w:val="Compact"/>
              <w:jc w:val="left"/>
            </w:pPr>
            <m:oMath>
              <m:sSub>
                <m:e>
                  <m:r>
                    <m:t>D</m:t>
                  </m:r>
                </m:e>
                <m:sub>
                  <m:r>
                    <m:t>v</m:t>
                  </m:r>
                </m:sub>
              </m:sSub>
            </m:oMath>
            <w:r>
              <w:t xml:space="preserve">,</w:t>
            </w:r>
            <w:r>
              <w:t xml:space="preserve"> </w:t>
            </w:r>
            <m:oMath>
              <m:sSub>
                <m:e>
                  <m:r>
                    <m:t>K</m:t>
                  </m:r>
                </m:e>
                <m:sub>
                  <m:r>
                    <m:rPr>
                      <m:nor/>
                    </m:rPr>
                    <m:t>int</m:t>
                  </m:r>
                </m:sub>
              </m:sSub>
            </m:oMath>
          </w:p>
        </w:tc>
        <w:tc>
          <w:tcPr/>
          <w:p>
            <w:pPr>
              <w:pStyle w:val="Compact"/>
              <w:jc w:val="center"/>
            </w:pPr>
            <w:r>
              <w:t xml:space="preserve">0.9984</w:t>
            </w:r>
          </w:p>
        </w:tc>
        <w:tc>
          <w:tcPr/>
          <w:p>
            <w:pPr>
              <w:pStyle w:val="Compact"/>
              <w:jc w:val="center"/>
            </w:pPr>
            <w:r>
              <w:t xml:space="preserve">0.0063</w:t>
            </w:r>
          </w:p>
        </w:tc>
        <w:tc>
          <w:tcPr/>
          <w:p>
            <w:pPr>
              <w:pStyle w:val="Compact"/>
              <w:jc w:val="center"/>
            </w:pPr>
            <w:r>
              <w:t xml:space="preserve">0.82</w:t>
            </w:r>
          </w:p>
        </w:tc>
        <w:tc>
          <w:tcPr/>
          <w:p>
            <w:pPr>
              <w:pStyle w:val="Compact"/>
              <w:jc w:val="center"/>
            </w:pPr>
            <w:r>
              <w:t xml:space="preserve">12</w:t>
            </w:r>
          </w:p>
        </w:tc>
      </w:tr>
      <w:tr>
        <w:tc>
          <w:tcPr/>
          <w:p>
            <w:pPr>
              <w:pStyle w:val="Compact"/>
              <w:jc w:val="left"/>
            </w:pPr>
            <w:r>
              <w:t xml:space="preserve">S40-0.5</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sSub>
                <m:e>
                  <m:r>
                    <m:t>K</m:t>
                  </m:r>
                </m:e>
                <m:sub>
                  <m:r>
                    <m:rPr>
                      <m:nor/>
                    </m:rPr>
                    <m:t>int</m:t>
                  </m:r>
                </m:sub>
              </m:sSub>
            </m:oMath>
          </w:p>
        </w:tc>
        <w:tc>
          <w:tcPr/>
          <w:p>
            <w:pPr>
              <w:pStyle w:val="Compact"/>
              <w:jc w:val="center"/>
            </w:pPr>
            <w:r>
              <w:t xml:space="preserve">0.9988</w:t>
            </w:r>
          </w:p>
        </w:tc>
        <w:tc>
          <w:tcPr/>
          <w:p>
            <w:pPr>
              <w:pStyle w:val="Compact"/>
              <w:jc w:val="center"/>
            </w:pPr>
            <w:r>
              <w:t xml:space="preserve">0.0053</w:t>
            </w:r>
          </w:p>
        </w:tc>
        <w:tc>
          <w:tcPr/>
          <w:p>
            <w:pPr>
              <w:pStyle w:val="Compact"/>
              <w:jc w:val="center"/>
            </w:pPr>
            <w:r>
              <w:t xml:space="preserve">1.00</w:t>
            </w:r>
          </w:p>
        </w:tc>
        <w:tc>
          <w:tcPr/>
          <w:p>
            <w:pPr>
              <w:pStyle w:val="Compact"/>
              <w:jc w:val="center"/>
            </w:pPr>
            <w:r>
              <w:t xml:space="preserve">1.2 × 10</w:t>
            </w:r>
            <w:r>
              <w:rPr>
                <w:vertAlign w:val="superscript"/>
              </w:rPr>
              <w:t xml:space="preserve">3</w:t>
            </w:r>
          </w:p>
        </w:tc>
      </w:tr>
      <w:tr>
        <w:tc>
          <w:tcPr/>
          <w:p>
            <w:pPr>
              <w:pStyle w:val="Compact"/>
              <w:jc w:val="left"/>
            </w:pPr>
            <w:r>
              <w:t xml:space="preserve">S40-0.5</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r>
                <m:t>n</m:t>
              </m:r>
            </m:oMath>
            <w:r>
              <w:t xml:space="preserve">,</w:t>
            </w:r>
            <w:r>
              <w:t xml:space="preserve"> </w:t>
            </w:r>
            <m:oMath>
              <m:sSub>
                <m:e>
                  <m:r>
                    <m:t>K</m:t>
                  </m:r>
                </m:e>
                <m:sub>
                  <m:r>
                    <m:rPr>
                      <m:nor/>
                    </m:rPr>
                    <m:t>int</m:t>
                  </m:r>
                </m:sub>
              </m:sSub>
            </m:oMath>
          </w:p>
        </w:tc>
        <w:tc>
          <w:tcPr/>
          <w:p>
            <w:pPr>
              <w:pStyle w:val="Compact"/>
              <w:jc w:val="center"/>
            </w:pPr>
            <w:r>
              <w:t xml:space="preserve">0.9994</w:t>
            </w:r>
          </w:p>
        </w:tc>
        <w:tc>
          <w:tcPr/>
          <w:p>
            <w:pPr>
              <w:pStyle w:val="Compact"/>
              <w:jc w:val="center"/>
            </w:pPr>
            <w:r>
              <w:t xml:space="preserve">0.0036</w:t>
            </w:r>
          </w:p>
        </w:tc>
        <w:tc>
          <w:tcPr/>
          <w:p>
            <w:pPr>
              <w:pStyle w:val="Compact"/>
              <w:jc w:val="center"/>
            </w:pPr>
            <w:r>
              <w:t xml:space="preserve">0.99</w:t>
            </w:r>
          </w:p>
        </w:tc>
        <w:tc>
          <w:tcPr/>
          <w:p>
            <w:pPr>
              <w:pStyle w:val="Compact"/>
              <w:jc w:val="center"/>
            </w:pPr>
            <w:r>
              <w:t xml:space="preserve">2.0 × 10</w:t>
            </w:r>
            <w:r>
              <w:rPr>
                <w:vertAlign w:val="superscript"/>
              </w:rPr>
              <w:t xml:space="preserve">4</w:t>
            </w:r>
          </w:p>
        </w:tc>
      </w:tr>
      <w:tr>
        <w:tc>
          <w:tcPr/>
          <w:p>
            <w:pPr>
              <w:pStyle w:val="Compact"/>
              <w:jc w:val="left"/>
            </w:pPr>
            <w:r>
              <w:t xml:space="preserve">S40-0.5</w:t>
            </w:r>
          </w:p>
        </w:tc>
        <w:tc>
          <w:tcPr/>
          <w:p>
            <w:pPr>
              <w:pStyle w:val="Compact"/>
              <w:jc w:val="left"/>
            </w:pPr>
            <m:oMath>
              <m:sSub>
                <m:e>
                  <m:r>
                    <m:t>D</m:t>
                  </m:r>
                </m:e>
                <m:sub>
                  <m:r>
                    <m:t>v</m:t>
                  </m:r>
                </m:sub>
              </m:sSub>
            </m:oMath>
            <w:r>
              <w:t xml:space="preserve">,</w:t>
            </w:r>
            <w:r>
              <w:t xml:space="preserve"> </w:t>
            </w:r>
            <m:oMath>
              <m:sSub>
                <m:e>
                  <m:r>
                    <m:t>K</m:t>
                  </m:r>
                </m:e>
                <m:sub>
                  <m:r>
                    <m:rPr>
                      <m:nor/>
                    </m:rPr>
                    <m:t>int</m:t>
                  </m:r>
                </m:sub>
              </m:sSub>
            </m:oMath>
          </w:p>
        </w:tc>
        <w:tc>
          <w:tcPr/>
          <w:p>
            <w:pPr>
              <w:pStyle w:val="Compact"/>
              <w:jc w:val="center"/>
            </w:pPr>
            <w:r>
              <w:t xml:space="preserve">0.9988</w:t>
            </w:r>
          </w:p>
        </w:tc>
        <w:tc>
          <w:tcPr/>
          <w:p>
            <w:pPr>
              <w:pStyle w:val="Compact"/>
              <w:jc w:val="center"/>
            </w:pPr>
            <w:r>
              <w:t xml:space="preserve">0.0052</w:t>
            </w:r>
          </w:p>
        </w:tc>
        <w:tc>
          <w:tcPr/>
          <w:p>
            <w:pPr>
              <w:pStyle w:val="Compact"/>
              <w:jc w:val="center"/>
            </w:pPr>
            <w:r>
              <w:t xml:space="preserve">0.82</w:t>
            </w:r>
          </w:p>
        </w:tc>
        <w:tc>
          <w:tcPr/>
          <w:p>
            <w:pPr>
              <w:pStyle w:val="Compact"/>
              <w:jc w:val="center"/>
            </w:pPr>
            <w:r>
              <w:t xml:space="preserve">16</w:t>
            </w:r>
          </w:p>
        </w:tc>
      </w:tr>
      <w:tr>
        <w:tc>
          <w:tcPr/>
          <w:p>
            <w:pPr>
              <w:pStyle w:val="Compact"/>
              <w:jc w:val="left"/>
            </w:pPr>
            <w:r>
              <w:t xml:space="preserve">F20S20-0.5</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sSub>
                <m:e>
                  <m:r>
                    <m:t>K</m:t>
                  </m:r>
                </m:e>
                <m:sub>
                  <m:r>
                    <m:rPr>
                      <m:nor/>
                    </m:rPr>
                    <m:t>int</m:t>
                  </m:r>
                </m:sub>
              </m:sSub>
            </m:oMath>
          </w:p>
        </w:tc>
        <w:tc>
          <w:tcPr/>
          <w:p>
            <w:pPr>
              <w:pStyle w:val="Compact"/>
              <w:jc w:val="center"/>
            </w:pPr>
            <w:r>
              <w:t xml:space="preserve">0.9993</w:t>
            </w:r>
          </w:p>
        </w:tc>
        <w:tc>
          <w:tcPr/>
          <w:p>
            <w:pPr>
              <w:pStyle w:val="Compact"/>
              <w:jc w:val="center"/>
            </w:pPr>
            <w:r>
              <w:t xml:space="preserve">0.0038</w:t>
            </w:r>
          </w:p>
        </w:tc>
        <w:tc>
          <w:tcPr/>
          <w:p>
            <w:pPr>
              <w:pStyle w:val="Compact"/>
              <w:jc w:val="center"/>
            </w:pPr>
            <w:r>
              <w:t xml:space="preserve">1.00</w:t>
            </w:r>
          </w:p>
        </w:tc>
        <w:tc>
          <w:tcPr/>
          <w:p>
            <w:pPr>
              <w:pStyle w:val="Compact"/>
              <w:jc w:val="center"/>
            </w:pPr>
            <w:r>
              <w:t xml:space="preserve">4.4 × 10</w:t>
            </w:r>
            <w:r>
              <w:rPr>
                <w:vertAlign w:val="superscript"/>
              </w:rPr>
              <w:t xml:space="preserve">2</w:t>
            </w:r>
          </w:p>
        </w:tc>
      </w:tr>
      <w:tr>
        <w:tc>
          <w:tcPr/>
          <w:p>
            <w:pPr>
              <w:pStyle w:val="Compact"/>
              <w:jc w:val="left"/>
            </w:pPr>
            <w:r>
              <w:t xml:space="preserve">F20S20-0.5</w:t>
            </w:r>
          </w:p>
        </w:tc>
        <w:tc>
          <w:tcPr/>
          <w:p>
            <w:pPr>
              <w:pStyle w:val="Compact"/>
              <w:jc w:val="left"/>
            </w:pPr>
            <m:oMath>
              <m:sSub>
                <m:e>
                  <m:r>
                    <m:t>D</m:t>
                  </m:r>
                </m:e>
                <m:sub>
                  <m:r>
                    <m:t>v</m:t>
                  </m:r>
                </m:sub>
              </m:sSub>
            </m:oMath>
            <w:r>
              <w:t xml:space="preserve">,</w:t>
            </w:r>
            <w:r>
              <w:t xml:space="preserve"> </w:t>
            </w:r>
            <m:oMath>
              <m:sSub>
                <m:e>
                  <m:r>
                    <m:t>α</m:t>
                  </m:r>
                </m:e>
                <m:sub>
                  <m:r>
                    <m:t>0</m:t>
                  </m:r>
                </m:sub>
              </m:sSub>
            </m:oMath>
            <w:r>
              <w:t xml:space="preserve">,</w:t>
            </w:r>
            <w:r>
              <w:t xml:space="preserve"> </w:t>
            </w:r>
            <m:oMath>
              <m:r>
                <m:t>n</m:t>
              </m:r>
            </m:oMath>
            <w:r>
              <w:t xml:space="preserve">,</w:t>
            </w:r>
            <w:r>
              <w:t xml:space="preserve"> </w:t>
            </w:r>
            <m:oMath>
              <m:sSub>
                <m:e>
                  <m:r>
                    <m:t>K</m:t>
                  </m:r>
                </m:e>
                <m:sub>
                  <m:r>
                    <m:rPr>
                      <m:nor/>
                    </m:rPr>
                    <m:t>int</m:t>
                  </m:r>
                </m:sub>
              </m:sSub>
            </m:oMath>
          </w:p>
        </w:tc>
        <w:tc>
          <w:tcPr/>
          <w:p>
            <w:pPr>
              <w:pStyle w:val="Compact"/>
              <w:jc w:val="center"/>
            </w:pPr>
            <w:r>
              <w:t xml:space="preserve">0.9993</w:t>
            </w:r>
          </w:p>
        </w:tc>
        <w:tc>
          <w:tcPr/>
          <w:p>
            <w:pPr>
              <w:pStyle w:val="Compact"/>
              <w:jc w:val="center"/>
            </w:pPr>
            <w:r>
              <w:t xml:space="preserve">0.0038</w:t>
            </w:r>
          </w:p>
        </w:tc>
        <w:tc>
          <w:tcPr/>
          <w:p>
            <w:pPr>
              <w:pStyle w:val="Compact"/>
              <w:jc w:val="center"/>
            </w:pPr>
            <w:r>
              <w:t xml:space="preserve">1.00</w:t>
            </w:r>
          </w:p>
        </w:tc>
        <w:tc>
          <w:tcPr/>
          <w:p>
            <w:pPr>
              <w:pStyle w:val="Compact"/>
              <w:jc w:val="center"/>
            </w:pPr>
            <w:r>
              <w:t xml:space="preserve">4.3 × 10</w:t>
            </w:r>
            <w:r>
              <w:rPr>
                <w:vertAlign w:val="superscript"/>
              </w:rPr>
              <w:t xml:space="preserve">3</w:t>
            </w:r>
          </w:p>
        </w:tc>
      </w:tr>
      <w:tr>
        <w:tc>
          <w:tcPr/>
          <w:p>
            <w:pPr>
              <w:pStyle w:val="Compact"/>
              <w:jc w:val="left"/>
            </w:pPr>
            <w:r>
              <w:t xml:space="preserve">F20S20-0.5</w:t>
            </w:r>
          </w:p>
        </w:tc>
        <w:tc>
          <w:tcPr/>
          <w:p>
            <w:pPr>
              <w:pStyle w:val="Compact"/>
              <w:jc w:val="left"/>
            </w:pPr>
            <m:oMath>
              <m:sSub>
                <m:e>
                  <m:r>
                    <m:t>D</m:t>
                  </m:r>
                </m:e>
                <m:sub>
                  <m:r>
                    <m:t>v</m:t>
                  </m:r>
                </m:sub>
              </m:sSub>
            </m:oMath>
            <w:r>
              <w:t xml:space="preserve">,</w:t>
            </w:r>
            <w:r>
              <w:t xml:space="preserve"> </w:t>
            </w:r>
            <m:oMath>
              <m:sSub>
                <m:e>
                  <m:r>
                    <m:t>K</m:t>
                  </m:r>
                </m:e>
                <m:sub>
                  <m:r>
                    <m:rPr>
                      <m:nor/>
                    </m:rPr>
                    <m:t>int</m:t>
                  </m:r>
                </m:sub>
              </m:sSub>
            </m:oMath>
          </w:p>
        </w:tc>
        <w:tc>
          <w:tcPr/>
          <w:p>
            <w:pPr>
              <w:pStyle w:val="Compact"/>
              <w:jc w:val="center"/>
            </w:pPr>
            <w:r>
              <w:t xml:space="preserve">0.9993</w:t>
            </w:r>
          </w:p>
        </w:tc>
        <w:tc>
          <w:tcPr/>
          <w:p>
            <w:pPr>
              <w:pStyle w:val="Compact"/>
              <w:jc w:val="center"/>
            </w:pPr>
            <w:r>
              <w:t xml:space="preserve">0.0038</w:t>
            </w:r>
          </w:p>
        </w:tc>
        <w:tc>
          <w:tcPr/>
          <w:p>
            <w:pPr>
              <w:pStyle w:val="Compact"/>
              <w:jc w:val="center"/>
            </w:pPr>
            <w:r>
              <w:t xml:space="preserve">0.72</w:t>
            </w:r>
          </w:p>
        </w:tc>
        <w:tc>
          <w:tcPr/>
          <w:p>
            <w:pPr>
              <w:pStyle w:val="Compact"/>
              <w:jc w:val="center"/>
            </w:pPr>
            <w:r>
              <w:t xml:space="preserve">12</w:t>
            </w:r>
          </w:p>
        </w:tc>
      </w:tr>
    </w:tbl>
    <w:bookmarkEnd w:id="35"/>
    <w:bookmarkEnd w:id="36"/>
    <w:bookmarkStart w:id="45" w:name="methods"/>
    <w:p>
      <w:pPr>
        <w:pStyle w:val="Heading1"/>
      </w:pPr>
      <w:r>
        <w:t xml:space="preserve">4 Methods</w:t>
      </w:r>
    </w:p>
    <w:bookmarkStart w:id="37" w:name="numerical-solution-and-verification"/>
    <w:p>
      <w:pPr>
        <w:pStyle w:val="Heading2"/>
      </w:pPr>
      <w:r>
        <w:t xml:space="preserve">4.1 Numerical solution and verification</w:t>
      </w:r>
    </w:p>
    <w:p>
      <w:pPr>
        <w:pStyle w:val="FirstParagraph"/>
      </w:pPr>
      <w:r>
        <w:t xml:space="preserve">Equation (1) is discretised with a cell-centred finite-volume scheme on a mesh refined towards the drying faces. For the disc we use 24 × 16 cells in</w:t>
      </w:r>
      <w:r>
        <w:t xml:space="preserve"> </w:t>
      </w:r>
      <m:oMath>
        <m:d>
          <m:dPr>
            <m:begChr m:val="("/>
            <m:sepChr m:val=""/>
            <m:endChr m:val=")"/>
            <m:grow/>
          </m:dPr>
          <m:e>
            <m:r>
              <m:t>r</m:t>
            </m:r>
            <m:r>
              <m:rPr>
                <m:sty m:val="p"/>
              </m:rPr>
              <m:t>,</m:t>
            </m:r>
            <m:r>
              <m:t>z</m:t>
            </m:r>
          </m:e>
        </m:d>
      </m:oMath>
      <w:r>
        <w:t xml:space="preserve">; for the slab, 60–80 cells. The resulting ordinary differential equations are integrated with an implicit BDF scheme [28] at a relative tolerance of 10⁻⁶. The solvers were verified in four ways (Appendix A, Table A.1). For a constant diffusivity, the slab solver reproduces the analytical series solution of slab drying to within 2 × 10⁻³. Under mesh refinement, the slab solution converges at second order, with an error of 9 × 10</w:t>
      </w:r>
      <w:r>
        <w:rPr>
          <w:vertAlign w:val="superscript"/>
        </w:rPr>
        <w:t xml:space="preserve">−5</w:t>
      </w:r>
      <w:r>
        <w:t xml:space="preserve"> </w:t>
      </w:r>
      <w:r>
        <w:t xml:space="preserve">in</w:t>
      </w:r>
      <w:r>
        <w:t xml:space="preserve"> </w:t>
      </w:r>
      <m:oMath>
        <m:sSub>
          <m:e>
            <m:r>
              <m:t>S</m:t>
            </m:r>
          </m:e>
          <m:sub>
            <m:r>
              <m:rPr>
                <m:nor/>
              </m:rPr>
              <m:t>avg</m:t>
            </m:r>
          </m:sub>
        </m:sSub>
      </m:oMath>
      <w:r>
        <w:t xml:space="preserve"> </w:t>
      </w:r>
      <w:r>
        <w:t xml:space="preserve">at 80 cells. The disc solution on the 24 × 16 mesh is within 4 × 10</w:t>
      </w:r>
      <w:r>
        <w:rPr>
          <w:vertAlign w:val="superscript"/>
        </w:rPr>
        <w:t xml:space="preserve">−3</w:t>
      </w:r>
      <w:r>
        <w:t xml:space="preserve"> </w:t>
      </w:r>
      <w:r>
        <w:t xml:space="preserve">of a 96 × 64 reference. Finally, the water lost through the drying face balances the change in stored water to machine precision (relative error 10</w:t>
      </w:r>
      <w:r>
        <w:rPr>
          <w:vertAlign w:val="superscript"/>
        </w:rPr>
        <w:t xml:space="preserve">−15</w:t>
      </w:r>
      <w:r>
        <w:t xml:space="preserve">). A further test checks that a disc of very large radius reproduces the slab solution.</w:t>
      </w:r>
    </w:p>
    <w:bookmarkEnd w:id="37"/>
    <w:bookmarkStart w:id="38" w:name="classical-identification"/>
    <w:p>
      <w:pPr>
        <w:pStyle w:val="Heading2"/>
      </w:pPr>
      <w:r>
        <w:t xml:space="preserve">4.2 Classical identification</w:t>
      </w:r>
    </w:p>
    <w:p>
      <w:pPr>
        <w:pStyle w:val="FirstParagraph"/>
      </w:pPr>
      <w:r>
        <w:t xml:space="preserve">In the classical approach,</w:t>
      </w:r>
      <w:r>
        <w:t xml:space="preserve"> </w:t>
      </w:r>
      <m:oMath>
        <m:r>
          <m:rPr>
            <m:sty m:val="b"/>
          </m:rPr>
          <m:t>θ</m:t>
        </m:r>
      </m:oMath>
      <w:r>
        <w:t xml:space="preserve"> </w:t>
      </w:r>
      <w:r>
        <w:t xml:space="preserve">is fitted to each mix separately by nonlinear least squares, using a trust-region reflective algorithm with three starting points. Standard errors and correlations are estimated from the Jacobian at the optimum. To predict a mix that was not tested, the identified parameters of the available mixes are regressed linearly on composition, and the solver is run with the regressed parameters. We refer to this as classical identification with composition regression.</w:t>
      </w:r>
    </w:p>
    <w:bookmarkEnd w:id="38"/>
    <w:bookmarkStart w:id="42" w:name="physics-embedded-neural-network"/>
    <w:p>
      <w:pPr>
        <w:pStyle w:val="Heading2"/>
      </w:pPr>
      <w:r>
        <w:t xml:space="preserve">4.3 Physics-embedded neural network</w:t>
      </w:r>
    </w:p>
    <w:p>
      <w:pPr>
        <w:pStyle w:val="FirstParagraph"/>
      </w:pPr>
      <w:r>
        <w:t xml:space="preserve">The PENN is shown in Fig. 3. A multilayer perceptron</w:t>
      </w:r>
      <w:r>
        <w:t xml:space="preserve"> </w:t>
      </w:r>
      <m:oMath>
        <m:sSub>
          <m:e>
            <m:r>
              <m:t>g</m:t>
            </m:r>
          </m:e>
          <m:sub>
            <m:r>
              <m:rPr>
                <m:sty m:val="b"/>
              </m:rPr>
              <m:t>w</m:t>
            </m:r>
          </m:sub>
        </m:sSub>
      </m:oMath>
      <w:r>
        <w:t xml:space="preserve"> </w:t>
      </w:r>
      <w:r>
        <w:t xml:space="preserve">with two hidden layers of 16 tanh units maps the composition vector</w:t>
      </w:r>
      <w:r>
        <w:t xml:space="preserve"> </w:t>
      </w:r>
      <m:oMath>
        <m:r>
          <m:rPr>
            <m:sty m:val="b"/>
          </m:rPr>
          <m:t>c</m:t>
        </m:r>
        <m:r>
          <m:rPr>
            <m:sty m:val="p"/>
          </m:rPr>
          <m:t>=</m:t>
        </m:r>
        <m:d>
          <m:dPr>
            <m:begChr m:val="["/>
            <m:sepChr m:val=""/>
            <m:endChr m:val="]"/>
            <m:grow/>
          </m:dPr>
          <m:e>
            <m:d>
              <m:dPr>
                <m:begChr m:val="("/>
                <m:sepChr m:val=""/>
                <m:endChr m:val=")"/>
                <m:grow/>
              </m:dPr>
              <m:e>
                <m:r>
                  <m:rPr>
                    <m:nor/>
                  </m:rPr>
                  <m:t>w/b</m:t>
                </m:r>
                <m:r>
                  <m:rPr>
                    <m:sty m:val="p"/>
                  </m:rPr>
                  <m:t>−</m:t>
                </m:r>
                <m:r>
                  <m:t>0.3</m:t>
                </m:r>
              </m:e>
            </m:d>
            <m:r>
              <m:rPr>
                <m:sty m:val="p"/>
              </m:rPr>
              <m:t>/</m:t>
            </m:r>
            <m:r>
              <m:t>0.3</m:t>
            </m:r>
            <m:r>
              <m:rPr>
                <m:sty m:val="p"/>
              </m:rPr>
              <m:t>,</m:t>
            </m:r>
            <m:r>
              <m:t> </m:t>
            </m:r>
            <m:r>
              <m:rPr>
                <m:nor/>
              </m:rPr>
              <m:t>FA</m:t>
            </m:r>
            <m:r>
              <m:rPr>
                <m:sty m:val="p"/>
              </m:rPr>
              <m:t>/</m:t>
            </m:r>
            <m:r>
              <m:t>0.4</m:t>
            </m:r>
            <m:r>
              <m:rPr>
                <m:sty m:val="p"/>
              </m:rPr>
              <m:t>,</m:t>
            </m:r>
            <m:r>
              <m:t> </m:t>
            </m:r>
            <m:r>
              <m:rPr>
                <m:nor/>
              </m:rPr>
              <m:t>SL</m:t>
            </m:r>
            <m:r>
              <m:rPr>
                <m:sty m:val="p"/>
              </m:rPr>
              <m:t>/</m:t>
            </m:r>
            <m:r>
              <m:t>0.4</m:t>
            </m:r>
          </m:e>
        </m:d>
      </m:oMath>
      <w:r>
        <w:t xml:space="preserve"> </w:t>
      </w:r>
      <w:r>
        <w:t xml:space="preserve">to the transport parameters. Here FA and SL are the fly ash and slag mass fractions of the binder. The output is mapped smoothly into the admissible range,</w:t>
      </w:r>
    </w:p>
    <w:p>
      <w:pPr>
        <w:pStyle w:val="BodyText"/>
      </w:pPr>
      <m:oMathPara>
        <m:oMathParaPr>
          <m:jc m:val="center"/>
        </m:oMathParaPr>
        <m:oMath>
          <m:r>
            <m:rPr>
              <m:sty m:val="b"/>
            </m:rPr>
            <m:t>θ</m:t>
          </m:r>
          <m:d>
            <m:dPr>
              <m:begChr m:val="("/>
              <m:sepChr m:val=""/>
              <m:endChr m:val=")"/>
              <m:grow/>
            </m:dPr>
            <m:e>
              <m:r>
                <m:rPr>
                  <m:sty m:val="b"/>
                </m:rPr>
                <m:t>c</m:t>
              </m:r>
            </m:e>
          </m:d>
          <m:r>
            <m:rPr>
              <m:sty m:val="p"/>
            </m:rPr>
            <m:t>=</m:t>
          </m:r>
          <m:sSub>
            <m:e>
              <m:r>
                <m:rPr>
                  <m:sty m:val="b"/>
                </m:rPr>
                <m:t>θ</m:t>
              </m:r>
            </m:e>
            <m:sub>
              <m:r>
                <m:rPr>
                  <m:sty m:val="p"/>
                </m:rPr>
                <m:t>min</m:t>
              </m:r>
            </m:sub>
          </m:sSub>
          <m:r>
            <m:rPr>
              <m:sty m:val="p"/>
            </m:rPr>
            <m:t>+</m:t>
          </m:r>
          <m:d>
            <m:dPr>
              <m:begChr m:val="("/>
              <m:sepChr m:val=""/>
              <m:endChr m:val=")"/>
              <m:grow/>
            </m:dPr>
            <m:e>
              <m:sSub>
                <m:e>
                  <m:r>
                    <m:rPr>
                      <m:sty m:val="b"/>
                    </m:rPr>
                    <m:t>θ</m:t>
                  </m:r>
                </m:e>
                <m:sub>
                  <m:r>
                    <m:rPr>
                      <m:sty m:val="p"/>
                    </m:rPr>
                    <m:t>max</m:t>
                  </m:r>
                </m:sub>
              </m:sSub>
              <m:r>
                <m:rPr>
                  <m:sty m:val="p"/>
                </m:rPr>
                <m:t>−</m:t>
              </m:r>
              <m:sSub>
                <m:e>
                  <m:r>
                    <m:rPr>
                      <m:sty m:val="b"/>
                    </m:rPr>
                    <m:t>θ</m:t>
                  </m:r>
                </m:e>
                <m:sub>
                  <m:r>
                    <m:rPr>
                      <m:sty m:val="p"/>
                    </m:rPr>
                    <m:t>min</m:t>
                  </m:r>
                </m:sub>
              </m:sSub>
            </m:e>
          </m:d>
          <m:r>
            <m:rPr>
              <m:sty m:val="p"/>
            </m:rPr>
            <m:t>⊙</m:t>
          </m:r>
          <m:r>
            <m:t>σ</m:t>
          </m:r>
          <m:r>
            <m:t>​</m:t>
          </m:r>
          <m:d>
            <m:dPr>
              <m:begChr m:val="("/>
              <m:sepChr m:val=""/>
              <m:endChr m:val=")"/>
              <m:grow/>
            </m:dPr>
            <m:e>
              <m:sSub>
                <m:e>
                  <m:r>
                    <m:t>g</m:t>
                  </m:r>
                </m:e>
                <m:sub>
                  <m:r>
                    <m:rPr>
                      <m:sty m:val="b"/>
                    </m:rPr>
                    <m:t>w</m:t>
                  </m:r>
                </m:sub>
              </m:sSub>
              <m:d>
                <m:dPr>
                  <m:begChr m:val="("/>
                  <m:sepChr m:val=""/>
                  <m:endChr m:val=")"/>
                  <m:grow/>
                </m:dPr>
                <m:e>
                  <m:r>
                    <m:rPr>
                      <m:sty m:val="b"/>
                    </m:rPr>
                    <m:t>c</m:t>
                  </m:r>
                </m:e>
              </m:d>
            </m:e>
          </m:d>
          <m:r>
            <m:t>  </m:t>
          </m:r>
          <m:r>
            <m:t>  </m:t>
          </m:r>
          <m:d>
            <m:dPr>
              <m:begChr m:val="("/>
              <m:sepChr m:val=""/>
              <m:endChr m:val=")"/>
              <m:grow/>
            </m:dPr>
            <m:e>
              <m:r>
                <m:t>8</m:t>
              </m:r>
            </m:e>
          </m:d>
        </m:oMath>
      </m:oMathPara>
    </w:p>
    <w:p>
      <w:pPr>
        <w:pStyle w:val="FirstParagraph"/>
      </w:pPr>
      <w:r>
        <w:t xml:space="preserve">where</w:t>
      </w:r>
      <w:r>
        <w:t xml:space="preserve"> </w:t>
      </w:r>
      <m:oMath>
        <m:r>
          <m:t>σ</m:t>
        </m:r>
      </m:oMath>
      <w:r>
        <w:t xml:space="preserve"> </w:t>
      </w:r>
      <w:r>
        <w:t xml:space="preserve">is the logistic function,</w:t>
      </w:r>
      <w:r>
        <w:t xml:space="preserve"> </w:t>
      </w:r>
      <m:oMath>
        <m:sSub>
          <m:e>
            <m:r>
              <m:rPr>
                <m:sty m:val="p"/>
              </m:rPr>
              <m:t>log</m:t>
            </m:r>
          </m:e>
          <m:sub>
            <m:r>
              <m:t>10</m:t>
            </m:r>
          </m:sub>
        </m:sSub>
        <m:sSub>
          <m:e>
            <m:r>
              <m:t>D</m:t>
            </m:r>
          </m:e>
          <m:sub>
            <m:r>
              <m:t>v</m:t>
            </m:r>
          </m:sub>
        </m:sSub>
        <m:r>
          <m:rPr>
            <m:sty m:val="p"/>
          </m:rPr>
          <m:t>∈</m:t>
        </m:r>
        <m:d>
          <m:dPr>
            <m:begChr m:val="["/>
            <m:sepChr m:val=""/>
            <m:endChr m:val="]"/>
            <m:grow/>
          </m:dPr>
          <m:e>
            <m:r>
              <m:rPr>
                <m:sty m:val="p"/>
              </m:rPr>
              <m:t>−</m:t>
            </m:r>
            <m:r>
              <m:t>10</m:t>
            </m:r>
            <m:r>
              <m:rPr>
                <m:sty m:val="p"/>
              </m:rPr>
              <m:t>,</m:t>
            </m:r>
            <m:r>
              <m:rPr>
                <m:sty m:val="p"/>
              </m:rPr>
              <m:t>−</m:t>
            </m:r>
            <m:r>
              <m:t>7.5</m:t>
            </m:r>
          </m:e>
        </m:d>
      </m:oMath>
      <w:r>
        <w:t xml:space="preserve"> </w:t>
      </w:r>
      <w:r>
        <w:t xml:space="preserve">and</w:t>
      </w:r>
      <w:r>
        <w:t xml:space="preserve"> </w:t>
      </w:r>
      <m:oMath>
        <m:sSub>
          <m:e>
            <m:r>
              <m:rPr>
                <m:sty m:val="p"/>
              </m:rPr>
              <m:t>log</m:t>
            </m:r>
          </m:e>
          <m:sub>
            <m:r>
              <m:t>10</m:t>
            </m:r>
          </m:sub>
        </m:sSub>
        <m:sSub>
          <m:e>
            <m:r>
              <m:t>K</m:t>
            </m:r>
          </m:e>
          <m:sub>
            <m:r>
              <m:rPr>
                <m:nor/>
              </m:rPr>
              <m:t>int</m:t>
            </m:r>
          </m:sub>
        </m:sSub>
        <m:r>
          <m:rPr>
            <m:sty m:val="p"/>
          </m:rPr>
          <m:t>∈</m:t>
        </m:r>
        <m:d>
          <m:dPr>
            <m:begChr m:val="["/>
            <m:sepChr m:val=""/>
            <m:endChr m:val="]"/>
            <m:grow/>
          </m:dPr>
          <m:e>
            <m:r>
              <m:rPr>
                <m:sty m:val="p"/>
              </m:rPr>
              <m:t>−</m:t>
            </m:r>
            <m:r>
              <m:t>21</m:t>
            </m:r>
            <m:r>
              <m:rPr>
                <m:sty m:val="p"/>
              </m:rPr>
              <m:t>,</m:t>
            </m:r>
            <m:r>
              <m:rPr>
                <m:sty m:val="p"/>
              </m:rPr>
              <m:t>−</m:t>
            </m:r>
            <m:r>
              <m:t>18.5</m:t>
            </m:r>
          </m:e>
        </m:d>
      </m:oMath>
      <w:r>
        <w:t xml:space="preserve">. The parameters are passed to the transport solver, and the network weights minimise the misfit on all training points:</w:t>
      </w:r>
    </w:p>
    <w:p>
      <w:pPr>
        <w:pStyle w:val="BodyText"/>
      </w:pPr>
      <m:oMathPara>
        <m:oMathParaPr>
          <m:jc m:val="center"/>
        </m:oMathParaPr>
        <m:oMath>
          <m:r>
            <m:rPr>
              <m:scr m:val="script"/>
              <m:sty m:val="p"/>
            </m:rPr>
            <m:t>L</m:t>
          </m:r>
          <m:d>
            <m:dPr>
              <m:begChr m:val="("/>
              <m:sepChr m:val=""/>
              <m:endChr m:val=")"/>
              <m:grow/>
            </m:dPr>
            <m:e>
              <m:r>
                <m:rPr>
                  <m:sty m:val="b"/>
                </m:rPr>
                <m:t>w</m:t>
              </m:r>
            </m:e>
          </m:d>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p>
                <m:e>
                  <m:d>
                    <m:dPr>
                      <m:begChr m:val="["/>
                      <m:sepChr m:val=""/>
                      <m:endChr m:val="]"/>
                      <m:grow/>
                    </m:dPr>
                    <m:e>
                      <m:sSub>
                        <m:e>
                          <m:r>
                            <m:t>S</m:t>
                          </m:r>
                        </m:e>
                        <m:sub>
                          <m:r>
                            <m:rPr>
                              <m:nor/>
                            </m:rPr>
                            <m:t>avg</m:t>
                          </m:r>
                        </m:sub>
                      </m:sSub>
                      <m:r>
                        <m:t>​</m:t>
                      </m:r>
                      <m:d>
                        <m:dPr>
                          <m:begChr m:val="("/>
                          <m:sepChr m:val=""/>
                          <m:endChr m:val=")"/>
                          <m:grow/>
                        </m:dPr>
                        <m:e>
                          <m:sSub>
                            <m:e>
                              <m:r>
                                <m:t>t</m:t>
                              </m:r>
                            </m:e>
                            <m:sub>
                              <m:r>
                                <m:t>j</m:t>
                              </m:r>
                            </m:sub>
                          </m:sSub>
                          <m:r>
                            <m:rPr>
                              <m:sty m:val="p"/>
                            </m:rPr>
                            <m:t>;</m:t>
                          </m:r>
                          <m:r>
                            <m:rPr>
                              <m:sty m:val="b"/>
                            </m:rPr>
                            <m:t>θ</m:t>
                          </m:r>
                          <m:d>
                            <m:dPr>
                              <m:begChr m:val="("/>
                              <m:sepChr m:val=""/>
                              <m:endChr m:val=")"/>
                              <m:grow/>
                            </m:dPr>
                            <m:e>
                              <m:sSub>
                                <m:e>
                                  <m:r>
                                    <m:rPr>
                                      <m:sty m:val="b"/>
                                    </m:rPr>
                                    <m:t>c</m:t>
                                  </m:r>
                                </m:e>
                                <m:sub>
                                  <m:r>
                                    <m:t>j</m:t>
                                  </m:r>
                                </m:sub>
                              </m:sSub>
                            </m:e>
                          </m:d>
                        </m:e>
                      </m:d>
                      <m:r>
                        <m:rPr>
                          <m:sty m:val="p"/>
                        </m:rPr>
                        <m:t>−</m:t>
                      </m:r>
                      <m:sSub>
                        <m:e>
                          <m:r>
                            <m:t>S</m:t>
                          </m:r>
                        </m:e>
                        <m:sub>
                          <m:r>
                            <m:rPr>
                              <m:nor/>
                            </m:rPr>
                            <m:t>avg</m:t>
                          </m:r>
                          <m:r>
                            <m:rPr>
                              <m:sty m:val="p"/>
                            </m:rPr>
                            <m:t>,</m:t>
                          </m:r>
                          <m:r>
                            <m:rPr>
                              <m:sty m:val="p"/>
                            </m:rPr>
                            <m:t>exp</m:t>
                          </m:r>
                        </m:sub>
                      </m:sSub>
                      <m:d>
                        <m:dPr>
                          <m:begChr m:val="("/>
                          <m:sepChr m:val=""/>
                          <m:endChr m:val=")"/>
                          <m:grow/>
                        </m:dPr>
                        <m:e>
                          <m:sSub>
                            <m:e>
                              <m:r>
                                <m:t>t</m:t>
                              </m:r>
                            </m:e>
                            <m:sub>
                              <m:r>
                                <m:t>j</m:t>
                              </m:r>
                            </m:sub>
                          </m:sSub>
                        </m:e>
                      </m:d>
                    </m:e>
                  </m:d>
                </m:e>
                <m:sup>
                  <m:r>
                    <m:t>2</m:t>
                  </m:r>
                </m:sup>
              </m:sSup>
            </m:e>
          </m:nary>
          <m:r>
            <m:t>  </m:t>
          </m:r>
          <m:r>
            <m:t>  </m:t>
          </m:r>
          <m:d>
            <m:dPr>
              <m:begChr m:val="("/>
              <m:sepChr m:val=""/>
              <m:endChr m:val=")"/>
              <m:grow/>
            </m:dPr>
            <m:e>
              <m:r>
                <m:t>9</m:t>
              </m:r>
            </m:e>
          </m:d>
        </m:oMath>
      </m:oMathPara>
    </w:p>
    <w:p>
      <w:pPr>
        <w:pStyle w:val="FirstParagraph"/>
      </w:pPr>
      <w:r>
        <w:t xml:space="preserve">Gradients of Eq. (9) with respect to</w:t>
      </w:r>
      <w:r>
        <w:t xml:space="preserve"> </w:t>
      </w:r>
      <m:oMath>
        <m:r>
          <m:rPr>
            <m:sty m:val="b"/>
          </m:rPr>
          <m:t>w</m:t>
        </m:r>
      </m:oMath>
      <w:r>
        <w:t xml:space="preserve"> </w:t>
      </w:r>
      <w:r>
        <w:t xml:space="preserve">are obtained by automatic differentiation through the solver [25, 26]. The solver therefore has to be differentiable. For the slab, the finite-volume scheme was rewritten with tensor operations and integrated by a linearly implicit Euler method on 240 logarithmically spaced time steps; its error is about 3 × 10</w:t>
      </w:r>
      <w:r>
        <w:rPr>
          <w:vertAlign w:val="superscript"/>
        </w:rPr>
        <w:t xml:space="preserve">−3</w:t>
      </w:r>
      <w:r>
        <w:t xml:space="preserve"> </w:t>
      </w:r>
      <w:r>
        <w:t xml:space="preserve">in</w:t>
      </w:r>
      <w:r>
        <w:t xml:space="preserve"> </w:t>
      </w:r>
      <m:oMath>
        <m:sSub>
          <m:e>
            <m:r>
              <m:t>S</m:t>
            </m:r>
          </m:e>
          <m:sub>
            <m:r>
              <m:rPr>
                <m:nor/>
              </m:rPr>
              <m:t>avg</m:t>
            </m:r>
          </m:sub>
        </m:sSub>
      </m:oMath>
      <w:r>
        <w:t xml:space="preserve">. For the disc, a differentiable version of the same kind costs about 5 s per training iteration. Since only two parameters are identified, we instead solved the disc problem once with the BDF solver on a 49 × 49 grid of</w:t>
      </w:r>
      <w:r>
        <w:t xml:space="preserve"> </w:t>
      </w:r>
      <m:oMath>
        <m:d>
          <m:dPr>
            <m:begChr m:val="("/>
            <m:sepChr m:val=""/>
            <m:endChr m:val=")"/>
            <m:grow/>
          </m:dPr>
          <m:e>
            <m:sSub>
              <m:e>
                <m:r>
                  <m:rPr>
                    <m:sty m:val="p"/>
                  </m:rPr>
                  <m:t>log</m:t>
                </m:r>
              </m:e>
              <m:sub>
                <m:r>
                  <m:t>10</m:t>
                </m:r>
              </m:sub>
            </m:sSub>
            <m:sSub>
              <m:e>
                <m:r>
                  <m:t>D</m:t>
                </m:r>
              </m:e>
              <m:sub>
                <m:r>
                  <m:t>v</m:t>
                </m:r>
              </m:sub>
            </m:sSub>
            <m:r>
              <m:rPr>
                <m:sty m:val="p"/>
              </m:rPr>
              <m:t>,</m:t>
            </m:r>
            <m:sSub>
              <m:e>
                <m:r>
                  <m:rPr>
                    <m:sty m:val="p"/>
                  </m:rPr>
                  <m:t>log</m:t>
                </m:r>
              </m:e>
              <m:sub>
                <m:r>
                  <m:t>10</m:t>
                </m:r>
              </m:sub>
            </m:sSub>
            <m:sSub>
              <m:e>
                <m:r>
                  <m:t>K</m:t>
                </m:r>
              </m:e>
              <m:sub>
                <m:r>
                  <m:rPr>
                    <m:nor/>
                  </m:rPr>
                  <m:t>int</m:t>
                </m:r>
              </m:sub>
            </m:sSub>
          </m:e>
        </m:d>
      </m:oMath>
      <w:r>
        <w:t xml:space="preserve"> </w:t>
      </w:r>
      <w:r>
        <w:t xml:space="preserve">over the admissible range, at 120 times between 0.05 and 110 days (about 14 min of computation). Between grid points the solution is interpolated with bicubic convolution [29], which is differentiable. Each table entry is a solution of Eq. (1), and the interpolated curves differ from direct solutions by at most 9 × 10</w:t>
      </w:r>
      <w:r>
        <w:rPr>
          <w:vertAlign w:val="superscript"/>
        </w:rPr>
        <w:t xml:space="preserve">−5</w:t>
      </w:r>
      <w:r>
        <w:t xml:space="preserve"> </w:t>
      </w:r>
      <w:r>
        <w:t xml:space="preserve">in</w:t>
      </w:r>
      <w:r>
        <w:t xml:space="preserve"> </w:t>
      </w:r>
      <m:oMath>
        <m:sSub>
          <m:e>
            <m:r>
              <m:t>S</m:t>
            </m:r>
          </m:e>
          <m:sub>
            <m:r>
              <m:rPr>
                <m:nor/>
              </m:rPr>
              <m:t>avg</m:t>
            </m:r>
          </m:sub>
        </m:sSub>
      </m:oMath>
      <w:r>
        <w:t xml:space="preserve">, which is well below the discretisation error. Training uses Adam [30] (learning rate 0.02, decay 0.995 per iteration, weight decay 10⁻⁴) for 400 full-batch iterations, after which the training error no longer changes (Fig. B.1a).</w:t>
      </w:r>
    </w:p>
    <w:p>
      <w:pPr>
        <w:pStyle w:val="CaptionedFigure"/>
      </w:pPr>
      <w:r>
        <w:drawing>
          <wp:inline>
            <wp:extent cx="5334000" cy="2242494"/>
            <wp:effectExtent b="0" l="0" r="0" t="0"/>
            <wp:docPr descr="Fig. 3. Physics-embedded neural network. The parameter network predicts the transport parameters from the composition; the solver returns the saturation field and its volume average; the data misfit is back-propagated through the solver to the network weights." title="" id="40" name="Picture"/>
            <a:graphic>
              <a:graphicData uri="http://schemas.openxmlformats.org/drawingml/2006/picture">
                <pic:pic>
                  <pic:nvPicPr>
                    <pic:cNvPr descr="fig3/fig_workflow.png" id="41" name="Picture"/>
                    <pic:cNvPicPr>
                      <a:picLocks noChangeArrowheads="1" noChangeAspect="1"/>
                    </pic:cNvPicPr>
                  </pic:nvPicPr>
                  <pic:blipFill>
                    <a:blip r:embed="rId39"/>
                    <a:stretch>
                      <a:fillRect/>
                    </a:stretch>
                  </pic:blipFill>
                  <pic:spPr bwMode="auto">
                    <a:xfrm>
                      <a:off x="0" y="0"/>
                      <a:ext cx="5334000" cy="2242494"/>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Physics-embedded neural network. The parameter network predicts the transport parameters from the composition; the solver returns the saturation field and its volume average; the data misfit is back-propagated through the solver to the network weights.</w:t>
      </w:r>
    </w:p>
    <w:bookmarkEnd w:id="42"/>
    <w:bookmarkStart w:id="43" w:name="physics-informed-neural-network"/>
    <w:p>
      <w:pPr>
        <w:pStyle w:val="Heading2"/>
      </w:pPr>
      <w:r>
        <w:t xml:space="preserve">4.4 Physics-informed neural network</w:t>
      </w:r>
    </w:p>
    <w:p>
      <w:pPr>
        <w:pStyle w:val="FirstParagraph"/>
      </w:pPr>
      <w:r>
        <w:t xml:space="preserve">The PINN was set up on the slab version of the problem (</w:t>
      </w:r>
      <m:oMath>
        <m:r>
          <m:t>L</m:t>
        </m:r>
        <m:r>
          <m:rPr>
            <m:sty m:val="p"/>
          </m:rPr>
          <m:t>=</m:t>
        </m:r>
        <m:r>
          <m:t>12.5</m:t>
        </m:r>
      </m:oMath>
      <w:r>
        <w:t xml:space="preserve"> </w:t>
      </w:r>
      <w:r>
        <w:t xml:space="preserve">mm,</w:t>
      </w:r>
      <w:r>
        <w:t xml:space="preserve"> </w:t>
      </w:r>
      <m:oMath>
        <m:r>
          <m:t>n</m:t>
        </m:r>
        <m:r>
          <m:rPr>
            <m:sty m:val="p"/>
          </m:rPr>
          <m:t>=</m:t>
        </m:r>
        <m:r>
          <m:t>2</m:t>
        </m:r>
      </m:oMath>
      <w:r>
        <w:t xml:space="preserve"> </w:t>
      </w:r>
      <w:r>
        <w:t xml:space="preserve">from the corresponding profile) and uses the same parameter network (8). A field network</w:t>
      </w:r>
      <w:r>
        <w:t xml:space="preserve"> </w:t>
      </w:r>
      <m:oMath>
        <m:r>
          <m:t>N</m:t>
        </m:r>
      </m:oMath>
      <w:r>
        <w:t xml:space="preserve"> </w:t>
      </w:r>
      <w:r>
        <w:t xml:space="preserve">with four hidden layers of 48 tanh units takes</w:t>
      </w:r>
      <w:r>
        <w:t xml:space="preserve"> </w:t>
      </w:r>
      <m:oMath>
        <m:d>
          <m:dPr>
            <m:begChr m:val="("/>
            <m:sepChr m:val=""/>
            <m:endChr m:val=")"/>
            <m:grow/>
          </m:dPr>
          <m:e>
            <m:r>
              <m:t>ξ</m:t>
            </m:r>
            <m:r>
              <m:rPr>
                <m:sty m:val="p"/>
              </m:rPr>
              <m:t>,</m:t>
            </m:r>
            <m:r>
              <m:t>s</m:t>
            </m:r>
            <m:r>
              <m:rPr>
                <m:sty m:val="p"/>
              </m:rPr>
              <m:t>,</m:t>
            </m:r>
            <m:r>
              <m:rPr>
                <m:sty m:val="b"/>
              </m:rPr>
              <m:t>c</m:t>
            </m:r>
          </m:e>
        </m:d>
      </m:oMath>
      <w:r>
        <w:t xml:space="preserve"> </w:t>
      </w:r>
      <w:r>
        <w:t xml:space="preserve">as input, with</w:t>
      </w:r>
      <w:r>
        <w:t xml:space="preserve"> </w:t>
      </w:r>
      <m:oMath>
        <m:r>
          <m:t>ξ</m:t>
        </m:r>
        <m:r>
          <m:rPr>
            <m:sty m:val="p"/>
          </m:rPr>
          <m:t>=</m:t>
        </m:r>
        <m:r>
          <m:t>x</m:t>
        </m:r>
        <m:r>
          <m:rPr>
            <m:sty m:val="p"/>
          </m:rPr>
          <m:t>/</m:t>
        </m:r>
        <m:r>
          <m:t>L</m:t>
        </m:r>
      </m:oMath>
      <w:r>
        <w:t xml:space="preserve">,</w:t>
      </w:r>
      <w:r>
        <w:t xml:space="preserve"> </w:t>
      </w:r>
      <m:oMath>
        <m:r>
          <m:t>s</m:t>
        </m:r>
        <m:r>
          <m:rPr>
            <m:sty m:val="p"/>
          </m:rPr>
          <m:t>=</m:t>
        </m:r>
        <m:rad>
          <m:radPr>
            <m:degHide m:val="on"/>
          </m:radPr>
          <m:deg/>
          <m:e>
            <m:r>
              <m:t>t</m:t>
            </m:r>
            <m:r>
              <m:rPr>
                <m:sty m:val="p"/>
              </m:rPr>
              <m:t>/</m:t>
            </m:r>
            <m:sSub>
              <m:e>
                <m:r>
                  <m:t>t</m:t>
                </m:r>
              </m:e>
              <m:sub>
                <m:r>
                  <m:rPr>
                    <m:nor/>
                  </m:rPr>
                  <m:t>ref</m:t>
                </m:r>
              </m:sub>
            </m:sSub>
          </m:e>
        </m:rad>
      </m:oMath>
      <w:r>
        <w:t xml:space="preserve"> </w:t>
      </w:r>
      <w:r>
        <w:t xml:space="preserve">and</w:t>
      </w:r>
      <w:r>
        <w:t xml:space="preserve"> </w:t>
      </w:r>
      <m:oMath>
        <m:sSub>
          <m:e>
            <m:r>
              <m:t>t</m:t>
            </m:r>
          </m:e>
          <m:sub>
            <m:r>
              <m:rPr>
                <m:nor/>
              </m:rPr>
              <m:t>ref</m:t>
            </m:r>
          </m:sub>
        </m:sSub>
        <m:r>
          <m:rPr>
            <m:sty m:val="p"/>
          </m:rPr>
          <m:t>=</m:t>
        </m:r>
        <m:r>
          <m:t>100</m:t>
        </m:r>
      </m:oMath>
      <w:r>
        <w:t xml:space="preserve"> </w:t>
      </w:r>
      <w:r>
        <w:t xml:space="preserve">days. The boundary condition at the drying face and the initial condition are built into the field:</w:t>
      </w:r>
    </w:p>
    <w:p>
      <w:pPr>
        <w:pStyle w:val="BodyText"/>
      </w:pPr>
      <m:oMathPara>
        <m:oMathParaPr>
          <m:jc m:val="center"/>
        </m:oMathParaPr>
        <m:oMath>
          <m:r>
            <m:t>S</m:t>
          </m:r>
          <m:r>
            <m:rPr>
              <m:sty m:val="p"/>
            </m:rPr>
            <m:t>=</m:t>
          </m:r>
          <m:r>
            <m:t>1</m:t>
          </m:r>
          <m:r>
            <m:rPr>
              <m:sty m:val="p"/>
            </m:rPr>
            <m:t>−</m:t>
          </m:r>
          <m:r>
            <m:rPr>
              <m:sty m:val="p"/>
            </m:rPr>
            <m:t>exp</m:t>
          </m:r>
          <m:d>
            <m:dPr>
              <m:begChr m:val="("/>
              <m:sepChr m:val=""/>
              <m:endChr m:val=")"/>
              <m:grow/>
            </m:dPr>
            <m:e>
              <m:r>
                <m:rPr>
                  <m:sty m:val="p"/>
                </m:rPr>
                <m:t>−</m:t>
              </m:r>
              <m:f>
                <m:fPr>
                  <m:type m:val="bar"/>
                </m:fPr>
                <m:num>
                  <m:r>
                    <m:t>ξ</m:t>
                  </m:r>
                </m:num>
                <m:den>
                  <m:r>
                    <m:t>s</m:t>
                  </m:r>
                </m:den>
              </m:f>
              <m:r>
                <m:t>A</m:t>
              </m:r>
            </m:e>
          </m:d>
          <m:r>
            <m:rPr>
              <m:sty m:val="p"/>
            </m:rPr>
            <m:t>,</m:t>
          </m:r>
          <m:r>
            <m:t>  </m:t>
          </m:r>
          <m:r>
            <m:t>A</m:t>
          </m:r>
          <m:r>
            <m:rPr>
              <m:sty m:val="p"/>
            </m:rPr>
            <m:t>=</m:t>
          </m:r>
          <m:r>
            <m:t>a</m:t>
          </m:r>
          <m:d>
            <m:dPr>
              <m:begChr m:val="("/>
              <m:sepChr m:val=""/>
              <m:endChr m:val=")"/>
              <m:grow/>
            </m:dPr>
            <m:e>
              <m:r>
                <m:t>s</m:t>
              </m:r>
            </m:e>
          </m:d>
          <m:r>
            <m:rPr>
              <m:sty m:val="p"/>
            </m:rPr>
            <m:t>+</m:t>
          </m:r>
          <m:r>
            <m:rPr>
              <m:nor/>
            </m:rPr>
            <m:t>softplus</m:t>
          </m:r>
          <m:d>
            <m:dPr>
              <m:begChr m:val="("/>
              <m:sepChr m:val=""/>
              <m:endChr m:val=")"/>
              <m:grow/>
            </m:dPr>
            <m:e>
              <m:r>
                <m:t>N</m:t>
              </m:r>
            </m:e>
          </m:d>
          <m:r>
            <m:t>  </m:t>
          </m:r>
          <m:r>
            <m:t>  </m:t>
          </m:r>
          <m:d>
            <m:dPr>
              <m:begChr m:val="("/>
              <m:sepChr m:val=""/>
              <m:endChr m:val=")"/>
              <m:grow/>
            </m:dPr>
            <m:e>
              <m:r>
                <m:t>10</m:t>
              </m:r>
            </m:e>
          </m:d>
        </m:oMath>
      </m:oMathPara>
    </w:p>
    <w:p>
      <w:pPr>
        <w:pStyle w:val="FirstParagraph"/>
      </w:pPr>
      <w:r>
        <w:t xml:space="preserve">Since</w:t>
      </w:r>
      <w:r>
        <w:t xml:space="preserve"> </w:t>
      </w:r>
      <m:oMath>
        <m:r>
          <m:t>ξ</m:t>
        </m:r>
        <m:r>
          <m:rPr>
            <m:sty m:val="p"/>
          </m:rPr>
          <m:t>/</m:t>
        </m:r>
        <m:r>
          <m:t>s</m:t>
        </m:r>
      </m:oMath>
      <w:r>
        <w:t xml:space="preserve"> </w:t>
      </w:r>
      <w:r>
        <w:t xml:space="preserve">is the diffusive similarity variable,</w:t>
      </w:r>
      <w:r>
        <w:t xml:space="preserve"> </w:t>
      </w:r>
      <m:oMath>
        <m:r>
          <m:t>S</m:t>
        </m:r>
      </m:oMath>
      <w:r>
        <w:t xml:space="preserve"> </w:t>
      </w:r>
      <w:r>
        <w:t xml:space="preserve">tends to 1 when</w:t>
      </w:r>
      <w:r>
        <w:t xml:space="preserve"> </w:t>
      </w:r>
      <m:oMath>
        <m:r>
          <m:t>t</m:t>
        </m:r>
        <m:r>
          <m:rPr>
            <m:sty m:val="p"/>
          </m:rPr>
          <m:t>→</m:t>
        </m:r>
        <m:r>
          <m:t>0</m:t>
        </m:r>
      </m:oMath>
      <w:r>
        <w:t xml:space="preserve"> </w:t>
      </w:r>
      <w:r>
        <w:t xml:space="preserve">and equals 0 at</w:t>
      </w:r>
      <w:r>
        <w:t xml:space="preserve"> </w:t>
      </w:r>
      <m:oMath>
        <m:r>
          <m:t>ξ</m:t>
        </m:r>
        <m:r>
          <m:rPr>
            <m:sty m:val="p"/>
          </m:rPr>
          <m:t>=</m:t>
        </m:r>
        <m:r>
          <m:t>0</m:t>
        </m:r>
      </m:oMath>
      <w:r>
        <w:t xml:space="preserve">. The loss combines the integral data misfit, the dimensionless PDE residual and the symmetry condition at</w:t>
      </w:r>
      <w:r>
        <w:t xml:space="preserve"> </w:t>
      </w:r>
      <m:oMath>
        <m:r>
          <m:t>ξ</m:t>
        </m:r>
        <m:r>
          <m:rPr>
            <m:sty m:val="p"/>
          </m:rPr>
          <m:t>=</m:t>
        </m:r>
        <m:r>
          <m:t>1</m:t>
        </m:r>
      </m:oMath>
      <w:r>
        <w:t xml:space="preserve">:</w:t>
      </w:r>
    </w:p>
    <w:p>
      <w:pPr>
        <w:pStyle w:val="BodyText"/>
      </w:pPr>
      <m:oMathPara>
        <m:oMathParaPr>
          <m:jc m:val="center"/>
        </m:oMathParaPr>
        <m:oMath>
          <m:r>
            <m:rPr>
              <m:scr m:val="script"/>
              <m:sty m:val="p"/>
            </m:rPr>
            <m:t>L</m:t>
          </m:r>
          <m:r>
            <m:rPr>
              <m:sty m:val="p"/>
            </m:rPr>
            <m:t>=</m:t>
          </m:r>
          <m:sSubSup>
            <m:e>
              <m:r>
                <m:t>σ</m:t>
              </m:r>
            </m:e>
            <m:sub>
              <m:r>
                <m:t>d</m:t>
              </m:r>
            </m:sub>
            <m:sup>
              <m:r>
                <m:rPr>
                  <m:sty m:val="p"/>
                </m:rPr>
                <m:t>−</m:t>
              </m:r>
              <m:r>
                <m:t>2</m:t>
              </m:r>
            </m:sup>
          </m:sSubSup>
          <m:r>
            <m:t> </m:t>
          </m:r>
          <m:sSub>
            <m:e>
              <m:r>
                <m:rPr>
                  <m:scr m:val="script"/>
                  <m:sty m:val="p"/>
                </m:rPr>
                <m:t>L</m:t>
              </m:r>
            </m:e>
            <m:sub>
              <m:r>
                <m:rPr>
                  <m:nor/>
                </m:rPr>
                <m:t>data</m:t>
              </m:r>
            </m:sub>
          </m:sSub>
          <m:r>
            <m:rPr>
              <m:sty m:val="p"/>
            </m:rPr>
            <m:t>+</m:t>
          </m:r>
          <m:sSub>
            <m:e>
              <m:r>
                <m:t>λ</m:t>
              </m:r>
            </m:e>
            <m:sub>
              <m:r>
                <m:rPr>
                  <m:nor/>
                </m:rPr>
                <m:t>PDE</m:t>
              </m:r>
            </m:sub>
          </m:sSub>
          <m:r>
            <m:t> </m:t>
          </m:r>
          <m:sSub>
            <m:e>
              <m:r>
                <m:rPr>
                  <m:scr m:val="script"/>
                  <m:sty m:val="p"/>
                </m:rPr>
                <m:t>L</m:t>
              </m:r>
            </m:e>
            <m:sub>
              <m:r>
                <m:rPr>
                  <m:nor/>
                </m:rPr>
                <m:t>PDE</m:t>
              </m:r>
            </m:sub>
          </m:sSub>
          <m:r>
            <m:rPr>
              <m:sty m:val="p"/>
            </m:rPr>
            <m:t>+</m:t>
          </m:r>
          <m:sSub>
            <m:e>
              <m:r>
                <m:t>λ</m:t>
              </m:r>
            </m:e>
            <m:sub>
              <m:r>
                <m:rPr>
                  <m:nor/>
                </m:rPr>
                <m:t>sym</m:t>
              </m:r>
            </m:sub>
          </m:sSub>
          <m:r>
            <m:t> </m:t>
          </m:r>
          <m:sSub>
            <m:e>
              <m:r>
                <m:rPr>
                  <m:scr m:val="script"/>
                  <m:sty m:val="p"/>
                </m:rPr>
                <m:t>L</m:t>
              </m:r>
            </m:e>
            <m:sub>
              <m:r>
                <m:rPr>
                  <m:nor/>
                </m:rPr>
                <m:t>sym</m:t>
              </m:r>
            </m:sub>
          </m:sSub>
          <m:r>
            <m:t>  </m:t>
          </m:r>
          <m:r>
            <m:t>  </m:t>
          </m:r>
          <m:d>
            <m:dPr>
              <m:begChr m:val="("/>
              <m:sepChr m:val=""/>
              <m:endChr m:val=")"/>
              <m:grow/>
            </m:dPr>
            <m:e>
              <m:r>
                <m:t>11</m:t>
              </m:r>
            </m:e>
          </m:d>
        </m:oMath>
      </m:oMathPara>
    </w:p>
    <w:p>
      <w:pPr>
        <w:pStyle w:val="FirstParagraph"/>
      </w:pPr>
      <w:r>
        <w:t xml:space="preserve">with</w:t>
      </w:r>
      <w:r>
        <w:t xml:space="preserve"> </w:t>
      </w:r>
      <m:oMath>
        <m:sSub>
          <m:e>
            <m:r>
              <m:t>σ</m:t>
            </m:r>
          </m:e>
          <m:sub>
            <m:r>
              <m:t>d</m:t>
            </m:r>
          </m:sub>
        </m:sSub>
        <m:r>
          <m:rPr>
            <m:sty m:val="p"/>
          </m:rPr>
          <m:t>=</m:t>
        </m:r>
        <m:r>
          <m:t>0.01</m:t>
        </m:r>
      </m:oMath>
      <w:r>
        <w:t xml:space="preserve">,</w:t>
      </w:r>
      <w:r>
        <w:t xml:space="preserve"> </w:t>
      </w:r>
      <m:oMath>
        <m:sSub>
          <m:e>
            <m:r>
              <m:t>λ</m:t>
            </m:r>
          </m:e>
          <m:sub>
            <m:r>
              <m:rPr>
                <m:nor/>
              </m:rPr>
              <m:t>PDE</m:t>
            </m:r>
          </m:sub>
        </m:sSub>
        <m:r>
          <m:rPr>
            <m:sty m:val="p"/>
          </m:rPr>
          <m:t>=</m:t>
        </m:r>
        <m:r>
          <m:t>10</m:t>
        </m:r>
      </m:oMath>
      <w:r>
        <w:t xml:space="preserve"> </w:t>
      </w:r>
      <w:r>
        <w:t xml:space="preserve">and</w:t>
      </w:r>
      <w:r>
        <w:t xml:space="preserve"> </w:t>
      </w:r>
      <m:oMath>
        <m:sSub>
          <m:e>
            <m:r>
              <m:t>λ</m:t>
            </m:r>
          </m:e>
          <m:sub>
            <m:r>
              <m:rPr>
                <m:nor/>
              </m:rPr>
              <m:t>sym</m:t>
            </m:r>
          </m:sub>
        </m:sSub>
        <m:r>
          <m:rPr>
            <m:sty m:val="p"/>
          </m:rPr>
          <m:t>=</m:t>
        </m:r>
        <m:r>
          <m:t>1</m:t>
        </m:r>
      </m:oMath>
      <w:r>
        <w:t xml:space="preserve">. The residual is multiplied by</w:t>
      </w:r>
      <w:r>
        <w:t xml:space="preserve"> </w:t>
      </w:r>
      <m:oMath>
        <m:r>
          <m:t>t</m:t>
        </m:r>
        <m:r>
          <m:rPr>
            <m:sty m:val="p"/>
          </m:rPr>
          <m:t>/</m:t>
        </m:r>
        <m:sSub>
          <m:e>
            <m:r>
              <m:t>t</m:t>
            </m:r>
          </m:e>
          <m:sub>
            <m:r>
              <m:rPr>
                <m:nor/>
              </m:rPr>
              <m:t>ref</m:t>
            </m:r>
          </m:sub>
        </m:sSub>
      </m:oMath>
      <w:r>
        <w:t xml:space="preserve">, which keeps it bounded at early times, and half of the 3000 collocation points per iteration are sampled in the similarity variable so that the drying front is resolved at every time. Training uses 3000 Adam iterations followed by 1000 L-BFGS iterations (Fig. B.1b).</w:t>
      </w:r>
    </w:p>
    <w:p>
      <w:pPr>
        <w:pStyle w:val="BodyText"/>
      </w:pPr>
      <w:r>
        <w:t xml:space="preserve">Without the term</w:t>
      </w:r>
      <w:r>
        <w:t xml:space="preserve"> </w:t>
      </w:r>
      <m:oMath>
        <m:r>
          <m:t>a</m:t>
        </m:r>
        <m:d>
          <m:dPr>
            <m:begChr m:val="("/>
            <m:sepChr m:val=""/>
            <m:endChr m:val=")"/>
            <m:grow/>
          </m:dPr>
          <m:e>
            <m:r>
              <m:t>s</m:t>
            </m:r>
          </m:e>
        </m:d>
      </m:oMath>
      <w:r>
        <w:t xml:space="preserve"> </w:t>
      </w:r>
      <w:r>
        <w:t xml:space="preserve">in Eq. (10), the PINN converged in every trial to a trivial field that dries almost instantly after</w:t>
      </w:r>
      <w:r>
        <w:t xml:space="preserve"> </w:t>
      </w:r>
      <m:oMath>
        <m:r>
          <m:t>t</m:t>
        </m:r>
        <m:r>
          <m:rPr>
            <m:sty m:val="p"/>
          </m:rPr>
          <m:t>=</m:t>
        </m:r>
        <m:r>
          <m:t>0</m:t>
        </m:r>
      </m:oMath>
      <w:r>
        <w:t xml:space="preserve">. That field satisfies the residual nearly everywhere, which is a known failure mode for stiff transport problems [22, 24], and causal weighting of the residual [24] did not remove it. The lower bound</w:t>
      </w:r>
      <w:r>
        <w:t xml:space="preserve"> </w:t>
      </w:r>
      <m:oMath>
        <m:r>
          <m:t>a</m:t>
        </m:r>
        <m:d>
          <m:dPr>
            <m:begChr m:val="("/>
            <m:sepChr m:val=""/>
            <m:endChr m:val=")"/>
            <m:grow/>
          </m:dPr>
          <m:e>
            <m:r>
              <m:t>s</m:t>
            </m:r>
          </m:e>
        </m:d>
        <m:r>
          <m:rPr>
            <m:sty m:val="p"/>
          </m:rPr>
          <m:t>=</m:t>
        </m:r>
        <m:sSup>
          <m:e>
            <m:r>
              <m:t>10</m:t>
            </m:r>
          </m:e>
          <m:sup>
            <m:r>
              <m:rPr>
                <m:sty m:val="p"/>
              </m:rPr>
              <m:t>−</m:t>
            </m:r>
            <m:r>
              <m:t>3</m:t>
            </m:r>
          </m:sup>
        </m:sSup>
        <m:r>
          <m:rPr>
            <m:sty m:val="p"/>
          </m:rPr>
          <m:t>+</m:t>
        </m:r>
        <m:r>
          <m:t>0.1</m:t>
        </m:r>
        <m:r>
          <m:rPr>
            <m:sty m:val="p"/>
          </m:rPr>
          <m:t>exp</m:t>
        </m:r>
        <m:d>
          <m:dPr>
            <m:begChr m:val="["/>
            <m:sepChr m:val=""/>
            <m:endChr m:val="]"/>
            <m:grow/>
          </m:dPr>
          <m:e>
            <m:r>
              <m:rPr>
                <m:sty m:val="p"/>
              </m:rPr>
              <m:t>−</m:t>
            </m:r>
            <m:sSup>
              <m:e>
                <m:d>
                  <m:dPr>
                    <m:begChr m:val="("/>
                    <m:sepChr m:val=""/>
                    <m:endChr m:val=")"/>
                    <m:grow/>
                  </m:dPr>
                  <m:e>
                    <m:r>
                      <m:t>s</m:t>
                    </m:r>
                    <m:r>
                      <m:rPr>
                        <m:sty m:val="p"/>
                      </m:rPr>
                      <m:t>/</m:t>
                    </m:r>
                    <m:r>
                      <m:t>0.2</m:t>
                    </m:r>
                  </m:e>
                </m:d>
              </m:e>
              <m:sup>
                <m:r>
                  <m:t>2</m:t>
                </m:r>
              </m:sup>
            </m:sSup>
          </m:e>
        </m:d>
      </m:oMath>
      <w:r>
        <w:t xml:space="preserve"> </w:t>
      </w:r>
      <w:r>
        <w:t xml:space="preserve">limits the speed of the drying front at early times and prevents the collapse. It is used for all PINN results.</w:t>
      </w:r>
    </w:p>
    <w:bookmarkEnd w:id="43"/>
    <w:bookmarkStart w:id="44" w:name="baseline-and-validation-protocol"/>
    <w:p>
      <w:pPr>
        <w:pStyle w:val="Heading2"/>
      </w:pPr>
      <w:r>
        <w:t xml:space="preserve">4.5 Baseline and validation protocol</w:t>
      </w:r>
    </w:p>
    <w:p>
      <w:pPr>
        <w:pStyle w:val="FirstParagraph"/>
      </w:pPr>
      <w:r>
        <w:t xml:space="preserve">The data-driven baseline is a network with four hidden layers of 48 tanh units that maps</w:t>
      </w:r>
      <w:r>
        <w:t xml:space="preserve"> </w:t>
      </w:r>
      <m:oMath>
        <m:d>
          <m:dPr>
            <m:begChr m:val="("/>
            <m:sepChr m:val=""/>
            <m:endChr m:val=")"/>
            <m:grow/>
          </m:dPr>
          <m:e>
            <m:rad>
              <m:radPr>
                <m:degHide m:val="on"/>
              </m:radPr>
              <m:deg/>
              <m:e>
                <m:r>
                  <m:t>t</m:t>
                </m:r>
                <m:r>
                  <m:rPr>
                    <m:sty m:val="p"/>
                  </m:rPr>
                  <m:t>/</m:t>
                </m:r>
                <m:sSub>
                  <m:e>
                    <m:r>
                      <m:t>t</m:t>
                    </m:r>
                  </m:e>
                  <m:sub>
                    <m:r>
                      <m:rPr>
                        <m:nor/>
                      </m:rPr>
                      <m:t>ref</m:t>
                    </m:r>
                  </m:sub>
                </m:sSub>
              </m:e>
            </m:rad>
            <m:r>
              <m:rPr>
                <m:sty m:val="p"/>
              </m:rPr>
              <m:t>,</m:t>
            </m:r>
            <m:r>
              <m:rPr>
                <m:sty m:val="b"/>
              </m:rPr>
              <m:t>c</m:t>
            </m:r>
          </m:e>
        </m:d>
      </m:oMath>
      <w:r>
        <w:t xml:space="preserve"> </w:t>
      </w:r>
      <w:r>
        <w:t xml:space="preserve">directly to</w:t>
      </w:r>
      <w:r>
        <w:t xml:space="preserve"> </w:t>
      </w:r>
      <m:oMath>
        <m:sSub>
          <m:e>
            <m:r>
              <m:t>S</m:t>
            </m:r>
          </m:e>
          <m:sub>
            <m:r>
              <m:rPr>
                <m:nor/>
              </m:rPr>
              <m:t>avg</m:t>
            </m:r>
          </m:sub>
        </m:sSub>
      </m:oMath>
      <w:r>
        <w:t xml:space="preserve">. It is trained with Adam for 4000 iterations.</w:t>
      </w:r>
    </w:p>
    <w:p>
      <w:pPr>
        <w:pStyle w:val="BodyText"/>
      </w:pPr>
      <w:r>
        <w:t xml:space="preserve">Four validation steps were carried out.</w:t>
      </w:r>
    </w:p>
    <w:p>
      <w:pPr>
        <w:pStyle w:val="Compact"/>
        <w:numPr>
          <w:ilvl w:val="0"/>
          <w:numId w:val="1003"/>
        </w:numPr>
      </w:pPr>
      <w:r>
        <w:rPr>
          <w:bCs/>
          <w:b/>
        </w:rPr>
        <w:t xml:space="preserve">Hold-out test.</w:t>
      </w:r>
      <w:r>
        <w:t xml:space="preserve"> </w:t>
      </w:r>
      <w:r>
        <w:t xml:space="preserve">Six mixes covering four binder families and three w/b ratios (C-0.4, C-0.5, F10S10-0.3, F20-0.3, F20S20-0.4 and S40-0.4; 278 points) were withheld from training and from the composition regression. The other 14 mixes (654 points) were used for training. Neural models were trained with five random seeds (three for the PINN), and results are given as mean ± standard deviation.</w:t>
      </w:r>
    </w:p>
    <w:p>
      <w:pPr>
        <w:pStyle w:val="Compact"/>
        <w:numPr>
          <w:ilvl w:val="0"/>
          <w:numId w:val="1003"/>
        </w:numPr>
      </w:pPr>
      <w:r>
        <w:rPr>
          <w:bCs/>
          <w:b/>
        </w:rPr>
        <w:t xml:space="preserve">Cross-validation.</w:t>
      </w:r>
      <w:r>
        <w:t xml:space="preserve"> </w:t>
      </w:r>
      <w:r>
        <w:t xml:space="preserve">Leave-one-mix-out over the 20 mixes, and leave-one-binder-family-out, in which all mixes of one of the seven binder systems are predicted from the other six. Each fold was trained once (one seed), since the hold-out test showed a negligible spread between seeds.</w:t>
      </w:r>
    </w:p>
    <w:p>
      <w:pPr>
        <w:pStyle w:val="Compact"/>
        <w:numPr>
          <w:ilvl w:val="0"/>
          <w:numId w:val="1003"/>
        </w:numPr>
      </w:pPr>
      <w:r>
        <w:rPr>
          <w:bCs/>
          <w:b/>
        </w:rPr>
        <w:t xml:space="preserve">Noise robustness.</w:t>
      </w:r>
      <w:r>
        <w:t xml:space="preserve"> </w:t>
      </w:r>
      <w:r>
        <w:t xml:space="preserve">Gaussian noise with a standard deviation of 0.01 or 0.02 was added to the training data, and the models were retrained.</w:t>
      </w:r>
    </w:p>
    <w:p>
      <w:pPr>
        <w:pStyle w:val="Compact"/>
        <w:numPr>
          <w:ilvl w:val="0"/>
          <w:numId w:val="1003"/>
        </w:numPr>
      </w:pPr>
      <w:r>
        <w:rPr>
          <w:bCs/>
          <w:b/>
        </w:rPr>
        <w:t xml:space="preserve">Solver check.</w:t>
      </w:r>
      <w:r>
        <w:t xml:space="preserve"> </w:t>
      </w:r>
      <w:r>
        <w:t xml:space="preserve">The parameters returned by each model were inserted, without any fitting, into the independent BDF solver, and the resulting curves were compared with the model output.</w:t>
      </w:r>
    </w:p>
    <w:p>
      <w:pPr>
        <w:pStyle w:val="FirstParagraph"/>
      </w:pPr>
      <w:r>
        <w:t xml:space="preserve">Accuracy is measured by the coefficient of determination and the root-mean-square error,</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j</m:t>
                  </m:r>
                </m:sub>
                <m:sup>
                  <m:r>
                    <m:t>​</m:t>
                  </m:r>
                </m:sup>
                <m:e>
                  <m:sSup>
                    <m:e>
                      <m:d>
                        <m:dPr>
                          <m:begChr m:val="("/>
                          <m:sepChr m:val=""/>
                          <m:endChr m:val=")"/>
                          <m:grow/>
                        </m:dPr>
                        <m:e>
                          <m:sSub>
                            <m:e>
                              <m:r>
                                <m:t>y</m:t>
                              </m:r>
                            </m:e>
                            <m:sub>
                              <m:r>
                                <m:t>j</m:t>
                              </m:r>
                            </m:sub>
                          </m:sSub>
                          <m:r>
                            <m:rPr>
                              <m:sty m:val="p"/>
                            </m:rPr>
                            <m:t>−</m:t>
                          </m:r>
                          <m:sSub>
                            <m:e>
                              <m:acc>
                                <m:accPr>
                                  <m:chr m:val="̂"/>
                                </m:accPr>
                                <m:e>
                                  <m:r>
                                    <m:t>y</m:t>
                                  </m:r>
                                </m:e>
                              </m:acc>
                            </m:e>
                            <m:sub>
                              <m:r>
                                <m:t>j</m:t>
                              </m:r>
                            </m:sub>
                          </m:sSub>
                        </m:e>
                      </m:d>
                    </m:e>
                    <m:sup>
                      <m:r>
                        <m:t>2</m:t>
                      </m:r>
                    </m:sup>
                  </m:sSup>
                </m:e>
              </m:nary>
            </m:num>
            <m:den>
              <m:nary>
                <m:naryPr>
                  <m:chr m:val="∑"/>
                  <m:limLoc m:val="undOvr"/>
                  <m:subHide m:val="off"/>
                  <m:supHide m:val="on"/>
                </m:naryPr>
                <m:sub>
                  <m:r>
                    <m:t>j</m:t>
                  </m:r>
                </m:sub>
                <m:sup>
                  <m:r>
                    <m:t>​</m:t>
                  </m:r>
                </m:sup>
                <m:e>
                  <m:sSup>
                    <m:e>
                      <m:d>
                        <m:dPr>
                          <m:begChr m:val="("/>
                          <m:sepChr m:val=""/>
                          <m:endChr m:val=")"/>
                          <m:grow/>
                        </m:dPr>
                        <m:e>
                          <m:sSub>
                            <m:e>
                              <m:r>
                                <m:t>y</m:t>
                              </m:r>
                            </m:e>
                            <m:sub>
                              <m:r>
                                <m:t>j</m:t>
                              </m:r>
                            </m:sub>
                          </m:sSub>
                          <m:r>
                            <m:rPr>
                              <m:sty m:val="p"/>
                            </m:rPr>
                            <m:t>−</m:t>
                          </m:r>
                          <m:acc>
                            <m:accPr>
                              <m:chr m:val="‾"/>
                            </m:accPr>
                            <m:e>
                              <m:r>
                                <m:t>y</m:t>
                              </m:r>
                            </m:e>
                          </m:acc>
                        </m:e>
                      </m:d>
                    </m:e>
                    <m:sup>
                      <m:r>
                        <m:t>2</m:t>
                      </m:r>
                    </m:sup>
                  </m:sSup>
                </m:e>
              </m:nary>
            </m:den>
          </m:f>
          <m:r>
            <m:rPr>
              <m:sty m:val="p"/>
            </m:rPr>
            <m:t>,</m:t>
          </m:r>
          <m:r>
            <m:t>  </m:t>
          </m:r>
          <m:r>
            <m:rPr>
              <m:nor/>
            </m:rPr>
            <m:t>RMSE</m:t>
          </m:r>
          <m:r>
            <m:rPr>
              <m:sty m:val="p"/>
            </m:rPr>
            <m:t>=</m:t>
          </m:r>
          <m:rad>
            <m:radPr>
              <m:degHide m:val="on"/>
            </m:radPr>
            <m:deg/>
            <m:e>
              <m:f>
                <m:fPr>
                  <m:type m:val="bar"/>
                </m:fPr>
                <m:num>
                  <m:r>
                    <m:t>1</m:t>
                  </m:r>
                </m:num>
                <m:den>
                  <m:r>
                    <m:t>N</m:t>
                  </m:r>
                </m:den>
              </m:f>
              <m:nary>
                <m:naryPr>
                  <m:chr m:val="∑"/>
                  <m:limLoc m:val="undOvr"/>
                  <m:subHide m:val="off"/>
                  <m:supHide m:val="on"/>
                </m:naryPr>
                <m:sub>
                  <m:r>
                    <m:t>j</m:t>
                  </m:r>
                </m:sub>
                <m:sup>
                  <m:r>
                    <m:t>​</m:t>
                  </m:r>
                </m:sup>
                <m:e>
                  <m:sSup>
                    <m:e>
                      <m:d>
                        <m:dPr>
                          <m:begChr m:val="("/>
                          <m:sepChr m:val=""/>
                          <m:endChr m:val=")"/>
                          <m:grow/>
                        </m:dPr>
                        <m:e>
                          <m:sSub>
                            <m:e>
                              <m:r>
                                <m:t>y</m:t>
                              </m:r>
                            </m:e>
                            <m:sub>
                              <m:r>
                                <m:t>j</m:t>
                              </m:r>
                            </m:sub>
                          </m:sSub>
                          <m:r>
                            <m:rPr>
                              <m:sty m:val="p"/>
                            </m:rPr>
                            <m:t>−</m:t>
                          </m:r>
                          <m:sSub>
                            <m:e>
                              <m:acc>
                                <m:accPr>
                                  <m:chr m:val="̂"/>
                                </m:accPr>
                                <m:e>
                                  <m:r>
                                    <m:t>y</m:t>
                                  </m:r>
                                </m:e>
                              </m:acc>
                            </m:e>
                            <m:sub>
                              <m:r>
                                <m:t>j</m:t>
                              </m:r>
                            </m:sub>
                          </m:sSub>
                        </m:e>
                      </m:d>
                    </m:e>
                    <m:sup>
                      <m:r>
                        <m:t>2</m:t>
                      </m:r>
                    </m:sup>
                  </m:sSup>
                </m:e>
              </m:nary>
            </m:e>
          </m:rad>
          <m:r>
            <m:t>  </m:t>
          </m:r>
          <m:r>
            <m:t>  </m:t>
          </m:r>
          <m:d>
            <m:dPr>
              <m:begChr m:val="("/>
              <m:sepChr m:val=""/>
              <m:endChr m:val=")"/>
              <m:grow/>
            </m:dPr>
            <m:e>
              <m:r>
                <m:t>12</m:t>
              </m:r>
            </m:e>
          </m:d>
        </m:oMath>
      </m:oMathPara>
    </w:p>
    <w:p>
      <w:pPr>
        <w:pStyle w:val="FirstParagraph"/>
      </w:pPr>
      <w:r>
        <w:t xml:space="preserve">All computations ran on a single CPU core.</w:t>
      </w:r>
    </w:p>
    <w:bookmarkEnd w:id="44"/>
    <w:bookmarkEnd w:id="45"/>
    <w:bookmarkStart w:id="74" w:name="results"/>
    <w:p>
      <w:pPr>
        <w:pStyle w:val="Heading1"/>
      </w:pPr>
      <w:r>
        <w:t xml:space="preserve">5 Results</w:t>
      </w:r>
    </w:p>
    <w:bookmarkStart w:id="46" w:name="classical-identification-1"/>
    <w:p>
      <w:pPr>
        <w:pStyle w:val="Heading2"/>
      </w:pPr>
      <w:r>
        <w:t xml:space="preserve">5.1 Classical identification</w:t>
      </w:r>
    </w:p>
    <w:p>
      <w:pPr>
        <w:pStyle w:val="FirstParagraph"/>
      </w:pPr>
      <w:r>
        <w:t xml:space="preserve">With</w:t>
      </w:r>
      <w:r>
        <w:t xml:space="preserve"> </w:t>
      </w:r>
      <m:oMath>
        <m:sSub>
          <m:e>
            <m:r>
              <m:t>D</m:t>
            </m:r>
          </m:e>
          <m:sub>
            <m:r>
              <m:t>v</m:t>
            </m:r>
          </m:sub>
        </m:sSub>
      </m:oMath>
      <w:r>
        <w:t xml:space="preserve"> </w:t>
      </w:r>
      <w:r>
        <w:t xml:space="preserve">and</w:t>
      </w:r>
      <w:r>
        <w:t xml:space="preserve"> </w:t>
      </w:r>
      <m:oMath>
        <m:sSub>
          <m:e>
            <m:r>
              <m:t>K</m:t>
            </m:r>
          </m:e>
          <m:sub>
            <m:r>
              <m:rPr>
                <m:nor/>
              </m:rPr>
              <m:t>int</m:t>
            </m:r>
          </m:sub>
        </m:sSub>
      </m:oMath>
      <w:r>
        <w:t xml:space="preserve"> </w:t>
      </w:r>
      <w:r>
        <w:t xml:space="preserve">as the only free parameters, the disc model reproduces every drying curve with</w:t>
      </w:r>
      <w:r>
        <w:t xml:space="preserve"> </w:t>
      </w:r>
      <m:oMath>
        <m:sSup>
          <m:e>
            <m:r>
              <m:t>R</m:t>
            </m:r>
          </m:e>
          <m:sup>
            <m:r>
              <m:t>2</m:t>
            </m:r>
          </m:sup>
        </m:sSup>
      </m:oMath>
      <w:r>
        <w:t xml:space="preserve"> </w:t>
      </w:r>
      <w:r>
        <w:t xml:space="preserve">between 0.9917 and 0.9995 (median 0.9986, median RMSE 0.0060), at about 40 s per mix. The standard errors are at most 0.011 decade for</w:t>
      </w:r>
      <w:r>
        <w:t xml:space="preserve"> </w:t>
      </w:r>
      <m:oMath>
        <m:sSub>
          <m:e>
            <m:r>
              <m:t>D</m:t>
            </m:r>
          </m:e>
          <m:sub>
            <m:r>
              <m:t>v</m:t>
            </m:r>
          </m:sub>
        </m:sSub>
      </m:oMath>
      <w:r>
        <w:t xml:space="preserve"> </w:t>
      </w:r>
      <w:r>
        <w:t xml:space="preserve">and 0.054 decade for</w:t>
      </w:r>
      <w:r>
        <w:t xml:space="preserve"> </w:t>
      </w:r>
      <m:oMath>
        <m:sSub>
          <m:e>
            <m:r>
              <m:t>K</m:t>
            </m:r>
          </m:e>
          <m:sub>
            <m:r>
              <m:rPr>
                <m:nor/>
              </m:rPr>
              <m:t>int</m:t>
            </m:r>
          </m:sub>
        </m:sSub>
      </m:oMath>
      <w:r>
        <w:t xml:space="preserve">. The reference diffusivities range from 10</w:t>
      </w:r>
      <w:r>
        <w:rPr>
          <w:vertAlign w:val="superscript"/>
        </w:rPr>
        <w:t xml:space="preserve">−9.21</w:t>
      </w:r>
      <w:r>
        <w:t xml:space="preserve"> </w:t>
      </w:r>
      <w:r>
        <w:t xml:space="preserve">to 10</w:t>
      </w:r>
      <w:r>
        <w:rPr>
          <w:vertAlign w:val="superscript"/>
        </w:rPr>
        <w:t xml:space="preserve">−8.37</w:t>
      </w:r>
      <w:r>
        <w:t xml:space="preserve"> </w:t>
      </w:r>
      <w:r>
        <w:t xml:space="preserve">m²/s, and the permeabilities from 10</w:t>
      </w:r>
      <w:r>
        <w:rPr>
          <w:vertAlign w:val="superscript"/>
        </w:rPr>
        <w:t xml:space="preserve">−20.05</w:t>
      </w:r>
      <w:r>
        <w:t xml:space="preserve"> </w:t>
      </w:r>
      <w:r>
        <w:t xml:space="preserve">to 10</w:t>
      </w:r>
      <w:r>
        <w:rPr>
          <w:vertAlign w:val="superscript"/>
        </w:rPr>
        <w:t xml:space="preserve">−19.33</w:t>
      </w:r>
      <w:r>
        <w:t xml:space="preserve"> </w:t>
      </w:r>
      <w:r>
        <w:t xml:space="preserve">m², which is within the range reported for ordinary and high-performance cementitious materials [4, 5]. These per-mix values serve as the reference in what follows.</w:t>
      </w:r>
    </w:p>
    <w:bookmarkEnd w:id="46"/>
    <w:bookmarkStart w:id="53" w:name="prediction-of-withheld-mixes"/>
    <w:p>
      <w:pPr>
        <w:pStyle w:val="Heading2"/>
      </w:pPr>
      <w:r>
        <w:t xml:space="preserve">5.2 Prediction of withheld mixes</w:t>
      </w:r>
    </w:p>
    <w:p>
      <w:pPr>
        <w:pStyle w:val="FirstParagraph"/>
      </w:pPr>
      <w:r>
        <w:t xml:space="preserve">Table 4 summarises the hold-out test, Table 5 gives the result for each withheld mix, and Fig. 4 shows the curves. The PENN reaches</w:t>
      </w:r>
      <w:r>
        <w:t xml:space="preserve"> </w:t>
      </w:r>
      <m:oMath>
        <m:sSup>
          <m:e>
            <m:r>
              <m:t>R</m:t>
            </m:r>
          </m:e>
          <m:sup>
            <m:r>
              <m:t>2</m:t>
            </m:r>
          </m:sup>
        </m:sSup>
      </m:oMath>
      <w:r>
        <w:t xml:space="preserve"> </w:t>
      </w:r>
      <w:r>
        <w:t xml:space="preserve">= 0.9931 ± 0.0001 and RMSE = 0.0137 ± 0.0002. Its error is 32% lower than that of the data-driven network (RMSE 0.0202) and essentially equal to that of classical identification with composition regression (RMSE 0.0135). That equality is expected, since both methods solve the same equation and differ only in how the parameters are linked to composition. Fitting the solver directly to the withheld curves, which uses their data, gives RMSE = 0.0063. The difference with the predictive methods is the information lost when the parameters must be inferred from three composition descriptors.</w:t>
      </w:r>
    </w:p>
    <w:p>
      <w:pPr>
        <w:pStyle w:val="TableCaption"/>
      </w:pPr>
      <w:r>
        <w:rPr>
          <w:bCs/>
          <w:b/>
        </w:rPr>
        <w:t xml:space="preserve">Table 4.</w:t>
      </w:r>
      <w:r>
        <w:t xml:space="preserve"> </w:t>
      </w:r>
      <w:r>
        <w:t xml:space="preserve">Accuracy on the six withheld mixes (278 points).</w:t>
      </w:r>
      <w:r>
        <w:t xml:space="preserve"> </w:t>
      </w:r>
      <w:r>
        <w:rPr>
          <w:vertAlign w:val="superscript"/>
        </w:rPr>
        <w:t xml:space="preserve">a</w:t>
      </w:r>
      <w:r>
        <w:t xml:space="preserve"> </w:t>
      </w:r>
      <w:r>
        <w:t xml:space="preserve">After a one-off tabulation of the disc solutions (14 min).</w:t>
      </w:r>
      <w:r>
        <w:t xml:space="preserve"> </w:t>
      </w:r>
      <w:r>
        <w:rPr>
          <w:vertAlign w:val="superscript"/>
        </w:rPr>
        <w:t xml:space="preserve">b</w:t>
      </w:r>
      <w:r>
        <w:t xml:space="preserve"> </w:t>
      </w:r>
      <w:r>
        <w:t xml:space="preserve">Sum of the per-mix fits of the training mixes.</w:t>
      </w:r>
    </w:p>
    <w:tbl>
      <w:tblPr>
        <w:tblStyle w:val="Table"/>
        <w:tblW w:type="pct" w:w="5000"/>
        <w:jc w:val="center"/>
        <w:tblLook w:firstRow="1" w:lastRow="0" w:firstColumn="0" w:lastColumn="0" w:noHBand="0" w:noVBand="0" w:val="0020"/>
        <w:tblCaption w:val="Table 4. Accuracy on the six withheld mixes (278 points). a After a one-off tabulation of the disc solutions (14 min). b Sum of the per-mix fits of the training mixes."/>
      </w:tblPr>
      <w:tblGrid>
        <w:gridCol w:w="3573"/>
        <w:gridCol w:w="1545"/>
        <w:gridCol w:w="1545"/>
        <w:gridCol w:w="1255"/>
      </w:tblGrid>
      <w:tr>
        <w:trPr>
          <w:tblHeader w:val="true"/>
        </w:trPr>
        <w:tc>
          <w:tcPr/>
          <w:p>
            <w:pPr>
              <w:pStyle w:val="Compact"/>
              <w:jc w:val="left"/>
            </w:pPr>
            <w:r>
              <w:t xml:space="preserve">Method</w:t>
            </w:r>
          </w:p>
        </w:tc>
        <w:tc>
          <w:tcPr/>
          <w:p>
            <w:pPr>
              <w:pStyle w:val="Compact"/>
              <w:jc w:val="center"/>
            </w:pPr>
            <m:oMath>
              <m:sSup>
                <m:e>
                  <m:r>
                    <m:t>R</m:t>
                  </m:r>
                </m:e>
                <m:sup>
                  <m:r>
                    <m:t>2</m:t>
                  </m:r>
                </m:sup>
              </m:sSup>
            </m:oMath>
          </w:p>
        </w:tc>
        <w:tc>
          <w:tcPr/>
          <w:p>
            <w:pPr>
              <w:pStyle w:val="Compact"/>
              <w:jc w:val="center"/>
            </w:pPr>
            <w:r>
              <w:t xml:space="preserve">RMSE</w:t>
            </w:r>
          </w:p>
        </w:tc>
        <w:tc>
          <w:tcPr/>
          <w:p>
            <w:pPr>
              <w:pStyle w:val="Compact"/>
              <w:jc w:val="center"/>
            </w:pPr>
            <w:r>
              <w:t xml:space="preserve">Training time</w:t>
            </w:r>
          </w:p>
        </w:tc>
      </w:tr>
      <w:tr>
        <w:tc>
          <w:tcPr/>
          <w:p>
            <w:pPr>
              <w:pStyle w:val="Compact"/>
              <w:jc w:val="left"/>
            </w:pPr>
            <w:r>
              <w:t xml:space="preserve">Physics-embedded neural network (PENN)</w:t>
            </w:r>
          </w:p>
        </w:tc>
        <w:tc>
          <w:tcPr/>
          <w:p>
            <w:pPr>
              <w:pStyle w:val="Compact"/>
              <w:jc w:val="center"/>
            </w:pPr>
            <w:r>
              <w:t xml:space="preserve">0.9931 ± 0.0001</w:t>
            </w:r>
          </w:p>
        </w:tc>
        <w:tc>
          <w:tcPr/>
          <w:p>
            <w:pPr>
              <w:pStyle w:val="Compact"/>
              <w:jc w:val="center"/>
            </w:pPr>
            <w:r>
              <w:t xml:space="preserve">0.0137 ± 0.0002</w:t>
            </w:r>
          </w:p>
        </w:tc>
        <w:tc>
          <w:tcPr/>
          <w:p>
            <w:pPr>
              <w:pStyle w:val="Compact"/>
              <w:jc w:val="center"/>
            </w:pPr>
            <w:r>
              <w:t xml:space="preserve">1 s</w:t>
            </w:r>
            <w:r>
              <w:rPr>
                <w:vertAlign w:val="superscript"/>
              </w:rPr>
              <w:t xml:space="preserve">a</w:t>
            </w:r>
          </w:p>
        </w:tc>
      </w:tr>
      <w:tr>
        <w:tc>
          <w:tcPr/>
          <w:p>
            <w:pPr>
              <w:pStyle w:val="Compact"/>
              <w:jc w:val="left"/>
            </w:pPr>
            <w:r>
              <w:t xml:space="preserve">Classical identification + regression on composition</w:t>
            </w:r>
          </w:p>
        </w:tc>
        <w:tc>
          <w:tcPr/>
          <w:p>
            <w:pPr>
              <w:pStyle w:val="Compact"/>
              <w:jc w:val="center"/>
            </w:pPr>
            <w:r>
              <w:t xml:space="preserve">0.9934</w:t>
            </w:r>
          </w:p>
        </w:tc>
        <w:tc>
          <w:tcPr/>
          <w:p>
            <w:pPr>
              <w:pStyle w:val="Compact"/>
              <w:jc w:val="center"/>
            </w:pPr>
            <w:r>
              <w:t xml:space="preserve">0.0135</w:t>
            </w:r>
          </w:p>
        </w:tc>
        <w:tc>
          <w:tcPr/>
          <w:p>
            <w:pPr>
              <w:pStyle w:val="Compact"/>
              <w:jc w:val="center"/>
            </w:pPr>
            <w:r>
              <w:t xml:space="preserve">555 s</w:t>
            </w:r>
            <w:r>
              <w:rPr>
                <w:vertAlign w:val="superscript"/>
              </w:rPr>
              <w:t xml:space="preserve">b</w:t>
            </w:r>
          </w:p>
        </w:tc>
      </w:tr>
      <w:tr>
        <w:tc>
          <w:tcPr/>
          <w:p>
            <w:pPr>
              <w:pStyle w:val="Compact"/>
              <w:jc w:val="left"/>
            </w:pPr>
            <w:r>
              <w:t xml:space="preserve">Data-driven network</w:t>
            </w:r>
          </w:p>
        </w:tc>
        <w:tc>
          <w:tcPr/>
          <w:p>
            <w:pPr>
              <w:pStyle w:val="Compact"/>
              <w:jc w:val="center"/>
            </w:pPr>
            <w:r>
              <w:t xml:space="preserve">0.9852 ± 0.0012</w:t>
            </w:r>
          </w:p>
        </w:tc>
        <w:tc>
          <w:tcPr/>
          <w:p>
            <w:pPr>
              <w:pStyle w:val="Compact"/>
              <w:jc w:val="center"/>
            </w:pPr>
            <w:r>
              <w:t xml:space="preserve">0.0202 ± 0.0008</w:t>
            </w:r>
          </w:p>
        </w:tc>
        <w:tc>
          <w:tcPr/>
          <w:p>
            <w:pPr>
              <w:pStyle w:val="Compact"/>
              <w:jc w:val="center"/>
            </w:pPr>
            <w:r>
              <w:t xml:space="preserve">12 s</w:t>
            </w:r>
          </w:p>
        </w:tc>
      </w:tr>
      <w:tr>
        <w:tc>
          <w:tcPr/>
          <w:p>
            <w:pPr>
              <w:pStyle w:val="Compact"/>
              <w:jc w:val="left"/>
            </w:pPr>
            <w:r>
              <w:rPr>
                <w:iCs/>
                <w:i/>
              </w:rPr>
              <w:t xml:space="preserve">Reference: classical fit to each withheld mix</w:t>
            </w:r>
          </w:p>
        </w:tc>
        <w:tc>
          <w:tcPr/>
          <w:p>
            <w:pPr>
              <w:pStyle w:val="Compact"/>
              <w:jc w:val="center"/>
            </w:pPr>
            <w:r>
              <w:rPr>
                <w:iCs/>
                <w:i/>
              </w:rPr>
              <w:t xml:space="preserve">0.9986</w:t>
            </w:r>
          </w:p>
        </w:tc>
        <w:tc>
          <w:tcPr/>
          <w:p>
            <w:pPr>
              <w:pStyle w:val="Compact"/>
              <w:jc w:val="center"/>
            </w:pPr>
            <w:r>
              <w:rPr>
                <w:iCs/>
                <w:i/>
              </w:rPr>
              <w:t xml:space="preserve">0.0063</w:t>
            </w:r>
          </w:p>
        </w:tc>
        <w:tc>
          <w:tcPr/>
          <w:p>
            <w:pPr>
              <w:pStyle w:val="Compact"/>
              <w:jc w:val="center"/>
            </w:pPr>
            <w:r>
              <w:rPr>
                <w:iCs/>
                <w:i/>
              </w:rPr>
              <w:t xml:space="preserve">41 s per mix</w:t>
            </w:r>
          </w:p>
        </w:tc>
      </w:tr>
    </w:tbl>
    <w:p/>
    <w:p>
      <w:pPr>
        <w:pStyle w:val="TableCaption"/>
      </w:pPr>
      <w:r>
        <w:rPr>
          <w:bCs/>
          <w:b/>
        </w:rPr>
        <w:t xml:space="preserve">Table 5.</w:t>
      </w:r>
      <w:r>
        <w:t xml:space="preserve"> </w:t>
      </w:r>
      <w:r>
        <w:t xml:space="preserve">Coefficient of determination for each withheld mix (mean over seeds).</w:t>
      </w:r>
    </w:p>
    <w:tbl>
      <w:tblPr>
        <w:tblStyle w:val="Table"/>
        <w:tblW w:type="auto" w:w="0"/>
        <w:jc w:val="center"/>
        <w:tblLook w:firstRow="1" w:lastRow="0" w:firstColumn="0" w:lastColumn="0" w:noHBand="0" w:noVBand="0" w:val="0020"/>
        <w:tblCaption w:val="Table 5. Coefficient of determination for each withheld mix (mean over seeds)."/>
      </w:tblPr>
      <w:tblGrid>
        <w:gridCol w:w="1980"/>
        <w:gridCol w:w="1980"/>
        <w:gridCol w:w="1980"/>
        <w:gridCol w:w="1980"/>
      </w:tblGrid>
      <w:tr>
        <w:trPr>
          <w:tblHeader w:val="true"/>
        </w:trPr>
        <w:tc>
          <w:tcPr/>
          <w:p>
            <w:pPr>
              <w:pStyle w:val="Compact"/>
              <w:jc w:val="left"/>
            </w:pPr>
            <w:r>
              <w:t xml:space="preserve">Mix</w:t>
            </w:r>
          </w:p>
        </w:tc>
        <w:tc>
          <w:tcPr/>
          <w:p>
            <w:pPr>
              <w:pStyle w:val="Compact"/>
              <w:jc w:val="center"/>
            </w:pPr>
            <w:r>
              <w:t xml:space="preserve">PENN</w:t>
            </w:r>
          </w:p>
        </w:tc>
        <w:tc>
          <w:tcPr/>
          <w:p>
            <w:pPr>
              <w:pStyle w:val="Compact"/>
              <w:jc w:val="center"/>
            </w:pPr>
            <w:r>
              <w:t xml:space="preserve">Classical + regression</w:t>
            </w:r>
          </w:p>
        </w:tc>
        <w:tc>
          <w:tcPr/>
          <w:p>
            <w:pPr>
              <w:pStyle w:val="Compact"/>
              <w:jc w:val="center"/>
            </w:pPr>
            <w:r>
              <w:t xml:space="preserve">Data-driven</w:t>
            </w:r>
          </w:p>
        </w:tc>
      </w:tr>
      <w:tr>
        <w:tc>
          <w:tcPr/>
          <w:p>
            <w:pPr>
              <w:pStyle w:val="Compact"/>
              <w:jc w:val="left"/>
            </w:pPr>
            <w:r>
              <w:t xml:space="preserve">C-0.4</w:t>
            </w:r>
          </w:p>
        </w:tc>
        <w:tc>
          <w:tcPr/>
          <w:p>
            <w:pPr>
              <w:pStyle w:val="Compact"/>
              <w:jc w:val="center"/>
            </w:pPr>
            <w:r>
              <w:t xml:space="preserve">0.992</w:t>
            </w:r>
          </w:p>
        </w:tc>
        <w:tc>
          <w:tcPr/>
          <w:p>
            <w:pPr>
              <w:pStyle w:val="Compact"/>
              <w:jc w:val="center"/>
            </w:pPr>
            <w:r>
              <w:t xml:space="preserve">0.994</w:t>
            </w:r>
          </w:p>
        </w:tc>
        <w:tc>
          <w:tcPr/>
          <w:p>
            <w:pPr>
              <w:pStyle w:val="Compact"/>
              <w:jc w:val="center"/>
            </w:pPr>
            <w:r>
              <w:t xml:space="preserve">0.995</w:t>
            </w:r>
          </w:p>
        </w:tc>
      </w:tr>
      <w:tr>
        <w:tc>
          <w:tcPr/>
          <w:p>
            <w:pPr>
              <w:pStyle w:val="Compact"/>
              <w:jc w:val="left"/>
            </w:pPr>
            <w:r>
              <w:t xml:space="preserve">C-0.5</w:t>
            </w:r>
          </w:p>
        </w:tc>
        <w:tc>
          <w:tcPr/>
          <w:p>
            <w:pPr>
              <w:pStyle w:val="Compact"/>
              <w:jc w:val="center"/>
            </w:pPr>
            <w:r>
              <w:t xml:space="preserve">0.999</w:t>
            </w:r>
          </w:p>
        </w:tc>
        <w:tc>
          <w:tcPr/>
          <w:p>
            <w:pPr>
              <w:pStyle w:val="Compact"/>
              <w:jc w:val="center"/>
            </w:pPr>
            <w:r>
              <w:t xml:space="preserve">0.986</w:t>
            </w:r>
          </w:p>
        </w:tc>
        <w:tc>
          <w:tcPr/>
          <w:p>
            <w:pPr>
              <w:pStyle w:val="Compact"/>
              <w:jc w:val="center"/>
            </w:pPr>
            <w:r>
              <w:t xml:space="preserve">0.897</w:t>
            </w:r>
          </w:p>
        </w:tc>
      </w:tr>
      <w:tr>
        <w:tc>
          <w:tcPr/>
          <w:p>
            <w:pPr>
              <w:pStyle w:val="Compact"/>
              <w:jc w:val="left"/>
            </w:pPr>
            <w:r>
              <w:t xml:space="preserve">F10S10-0.3</w:t>
            </w:r>
          </w:p>
        </w:tc>
        <w:tc>
          <w:tcPr/>
          <w:p>
            <w:pPr>
              <w:pStyle w:val="Compact"/>
              <w:jc w:val="center"/>
            </w:pPr>
            <w:r>
              <w:t xml:space="preserve">0.996</w:t>
            </w:r>
          </w:p>
        </w:tc>
        <w:tc>
          <w:tcPr/>
          <w:p>
            <w:pPr>
              <w:pStyle w:val="Compact"/>
              <w:jc w:val="center"/>
            </w:pPr>
            <w:r>
              <w:t xml:space="preserve">0.998</w:t>
            </w:r>
          </w:p>
        </w:tc>
        <w:tc>
          <w:tcPr/>
          <w:p>
            <w:pPr>
              <w:pStyle w:val="Compact"/>
              <w:jc w:val="center"/>
            </w:pPr>
            <w:r>
              <w:t xml:space="preserve">0.994</w:t>
            </w:r>
          </w:p>
        </w:tc>
      </w:tr>
      <w:tr>
        <w:tc>
          <w:tcPr/>
          <w:p>
            <w:pPr>
              <w:pStyle w:val="Compact"/>
              <w:jc w:val="left"/>
            </w:pPr>
            <w:r>
              <w:t xml:space="preserve">F20-0.3</w:t>
            </w:r>
          </w:p>
        </w:tc>
        <w:tc>
          <w:tcPr/>
          <w:p>
            <w:pPr>
              <w:pStyle w:val="Compact"/>
              <w:jc w:val="center"/>
            </w:pPr>
            <w:r>
              <w:t xml:space="preserve">0.994</w:t>
            </w:r>
          </w:p>
        </w:tc>
        <w:tc>
          <w:tcPr/>
          <w:p>
            <w:pPr>
              <w:pStyle w:val="Compact"/>
              <w:jc w:val="center"/>
            </w:pPr>
            <w:r>
              <w:t xml:space="preserve">0.994</w:t>
            </w:r>
          </w:p>
        </w:tc>
        <w:tc>
          <w:tcPr/>
          <w:p>
            <w:pPr>
              <w:pStyle w:val="Compact"/>
              <w:jc w:val="center"/>
            </w:pPr>
            <w:r>
              <w:t xml:space="preserve">0.994</w:t>
            </w:r>
          </w:p>
        </w:tc>
      </w:tr>
      <w:tr>
        <w:tc>
          <w:tcPr/>
          <w:p>
            <w:pPr>
              <w:pStyle w:val="Compact"/>
              <w:jc w:val="left"/>
            </w:pPr>
            <w:r>
              <w:t xml:space="preserve">F20S20-0.4</w:t>
            </w:r>
          </w:p>
        </w:tc>
        <w:tc>
          <w:tcPr/>
          <w:p>
            <w:pPr>
              <w:pStyle w:val="Compact"/>
              <w:jc w:val="center"/>
            </w:pPr>
            <w:r>
              <w:t xml:space="preserve">0.998</w:t>
            </w:r>
          </w:p>
        </w:tc>
        <w:tc>
          <w:tcPr/>
          <w:p>
            <w:pPr>
              <w:pStyle w:val="Compact"/>
              <w:jc w:val="center"/>
            </w:pPr>
            <w:r>
              <w:t xml:space="preserve">0.998</w:t>
            </w:r>
          </w:p>
        </w:tc>
        <w:tc>
          <w:tcPr/>
          <w:p>
            <w:pPr>
              <w:pStyle w:val="Compact"/>
              <w:jc w:val="center"/>
            </w:pPr>
            <w:r>
              <w:t xml:space="preserve">0.996</w:t>
            </w:r>
          </w:p>
        </w:tc>
      </w:tr>
      <w:tr>
        <w:tc>
          <w:tcPr/>
          <w:p>
            <w:pPr>
              <w:pStyle w:val="Compact"/>
              <w:jc w:val="left"/>
            </w:pPr>
            <w:r>
              <w:t xml:space="preserve">S40-0.4</w:t>
            </w:r>
          </w:p>
        </w:tc>
        <w:tc>
          <w:tcPr/>
          <w:p>
            <w:pPr>
              <w:pStyle w:val="Compact"/>
              <w:jc w:val="center"/>
            </w:pPr>
            <w:r>
              <w:t xml:space="preserve">0.977</w:t>
            </w:r>
          </w:p>
        </w:tc>
        <w:tc>
          <w:tcPr/>
          <w:p>
            <w:pPr>
              <w:pStyle w:val="Compact"/>
              <w:jc w:val="center"/>
            </w:pPr>
            <w:r>
              <w:t xml:space="preserve">0.981</w:t>
            </w:r>
          </w:p>
        </w:tc>
        <w:tc>
          <w:tcPr/>
          <w:p>
            <w:pPr>
              <w:pStyle w:val="Compact"/>
              <w:jc w:val="center"/>
            </w:pPr>
            <w:r>
              <w:t xml:space="preserve">0.987</w:t>
            </w:r>
          </w:p>
        </w:tc>
      </w:tr>
    </w:tbl>
    <w:p>
      <w:pPr>
        <w:pStyle w:val="BodyText"/>
      </w:pPr>
      <w:r>
        <w:t xml:space="preserve">The largest difference between the methods is for C-0.5, the most permeable of the withheld mixes and the only plain concrete at w/b = 0.5. The data-driven network underestimates its saturation during the first week (</w:t>
      </w:r>
      <m:oMath>
        <m:sSup>
          <m:e>
            <m:r>
              <m:t>R</m:t>
            </m:r>
          </m:e>
          <m:sup>
            <m:r>
              <m:t>2</m:t>
            </m:r>
          </m:sup>
        </m:sSup>
      </m:oMath>
      <w:r>
        <w:t xml:space="preserve"> </w:t>
      </w:r>
      <w:r>
        <w:t xml:space="preserve">= 0.897), whereas the PENN predicts it with</w:t>
      </w:r>
      <w:r>
        <w:t xml:space="preserve"> </w:t>
      </w:r>
      <m:oMath>
        <m:sSup>
          <m:e>
            <m:r>
              <m:t>R</m:t>
            </m:r>
          </m:e>
          <m:sup>
            <m:r>
              <m:t>2</m:t>
            </m:r>
          </m:sup>
        </m:sSup>
      </m:oMath>
      <w:r>
        <w:t xml:space="preserve"> </w:t>
      </w:r>
      <w:r>
        <w:t xml:space="preserve">= 0.999. For the physics-based models, faster drying of a more permeable mix follows from larger parameters, not from a curve shape that must have been seen during training. The residuals of the PENN are largest in the first days of drying (Fig. 5), when the mass changes fastest and digitisation errors weigh most.</w:t>
      </w:r>
    </w:p>
    <w:p>
      <w:pPr>
        <w:pStyle w:val="CaptionedFigure"/>
      </w:pPr>
      <w:r>
        <w:drawing>
          <wp:inline>
            <wp:extent cx="5334000" cy="3869208"/>
            <wp:effectExtent b="0" l="0" r="0" t="0"/>
            <wp:docPr descr="Fig. 4. Drying curves of the six withheld mixes: experiment and predictions. Bands show the range over random seeds; R^2 refers to the PENN." title="" id="48" name="Picture"/>
            <a:graphic>
              <a:graphicData uri="http://schemas.openxmlformats.org/drawingml/2006/picture">
                <pic:pic>
                  <pic:nvPicPr>
                    <pic:cNvPr descr="fig3/fig_test_curves.png" id="49" name="Picture"/>
                    <pic:cNvPicPr>
                      <a:picLocks noChangeArrowheads="1" noChangeAspect="1"/>
                    </pic:cNvPicPr>
                  </pic:nvPicPr>
                  <pic:blipFill>
                    <a:blip r:embed="rId47"/>
                    <a:stretch>
                      <a:fillRect/>
                    </a:stretch>
                  </pic:blipFill>
                  <pic:spPr bwMode="auto">
                    <a:xfrm>
                      <a:off x="0" y="0"/>
                      <a:ext cx="5334000" cy="3869208"/>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Drying curves of the six withheld mixes: experiment and predictions. Bands show the range over random seeds;</w:t>
      </w:r>
      <w:r>
        <w:t xml:space="preserve"> </w:t>
      </w:r>
      <m:oMath>
        <m:sSup>
          <m:e>
            <m:r>
              <m:t>R</m:t>
            </m:r>
          </m:e>
          <m:sup>
            <m:r>
              <m:t>2</m:t>
            </m:r>
          </m:sup>
        </m:sSup>
      </m:oMath>
      <w:r>
        <w:t xml:space="preserve"> </w:t>
      </w:r>
      <w:r>
        <w:t xml:space="preserve">refers to the PENN.</w:t>
      </w:r>
    </w:p>
    <w:p>
      <w:pPr>
        <w:pStyle w:val="CaptionedFigure"/>
      </w:pPr>
      <w:r>
        <w:drawing>
          <wp:inline>
            <wp:extent cx="5334000" cy="2573040"/>
            <wp:effectExtent b="0" l="0" r="0" t="0"/>
            <wp:docPr descr="Fig. 5. PENN predictions: (a) predicted against measured average saturation for training and withheld mixes; (b) residuals against drying time." title="" id="51" name="Picture"/>
            <a:graphic>
              <a:graphicData uri="http://schemas.openxmlformats.org/drawingml/2006/picture">
                <pic:pic>
                  <pic:nvPicPr>
                    <pic:cNvPr descr="fig3/fig_parity.png" id="52" name="Picture"/>
                    <pic:cNvPicPr>
                      <a:picLocks noChangeArrowheads="1" noChangeAspect="1"/>
                    </pic:cNvPicPr>
                  </pic:nvPicPr>
                  <pic:blipFill>
                    <a:blip r:embed="rId50"/>
                    <a:stretch>
                      <a:fillRect/>
                    </a:stretch>
                  </pic:blipFill>
                  <pic:spPr bwMode="auto">
                    <a:xfrm>
                      <a:off x="0" y="0"/>
                      <a:ext cx="5334000" cy="2573040"/>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PENN predictions: (a) predicted against measured average saturation for training and withheld mixes; (b) residuals against drying time.</w:t>
      </w:r>
    </w:p>
    <w:bookmarkEnd w:id="53"/>
    <w:bookmarkStart w:id="57" w:name="cross-validation"/>
    <w:p>
      <w:pPr>
        <w:pStyle w:val="Heading2"/>
      </w:pPr>
      <w:r>
        <w:t xml:space="preserve">5.3 Cross-validation</w:t>
      </w:r>
    </w:p>
    <w:p>
      <w:pPr>
        <w:pStyle w:val="FirstParagraph"/>
      </w:pPr>
      <w:r>
        <w:t xml:space="preserve">A single split can be favourable by chance, so all mixes were also predicted in turn (Table 6, Fig. 6). In leave-one-mix-out cross-validation the three methods remain close: the PENN gives a pooled</w:t>
      </w:r>
      <w:r>
        <w:t xml:space="preserve"> </w:t>
      </w:r>
      <m:oMath>
        <m:sSup>
          <m:e>
            <m:r>
              <m:t>R</m:t>
            </m:r>
          </m:e>
          <m:sup>
            <m:r>
              <m:t>2</m:t>
            </m:r>
          </m:sup>
        </m:sSup>
      </m:oMath>
      <w:r>
        <w:t xml:space="preserve"> </w:t>
      </w:r>
      <w:r>
        <w:t xml:space="preserve">of 0.9909, classical identification with regression 0.9919, and the data-driven network 0.9868, and no mix falls below</w:t>
      </w:r>
      <w:r>
        <w:t xml:space="preserve"> </w:t>
      </w:r>
      <m:oMath>
        <m:sSup>
          <m:e>
            <m:r>
              <m:t>R</m:t>
            </m:r>
          </m:e>
          <m:sup>
            <m:r>
              <m:t>2</m:t>
            </m:r>
          </m:sup>
        </m:sSup>
      </m:oMath>
      <w:r>
        <w:t xml:space="preserve"> </w:t>
      </w:r>
      <w:r>
        <w:t xml:space="preserve">= 0.95. The picture changes when a whole binder family is withheld, which forces the models to extrapolate in SCM type or content. The two physics-based methods keep</w:t>
      </w:r>
      <w:r>
        <w:t xml:space="preserve"> </w:t>
      </w:r>
      <m:oMath>
        <m:sSup>
          <m:e>
            <m:r>
              <m:t>R</m:t>
            </m:r>
          </m:e>
          <m:sup>
            <m:r>
              <m:t>2</m:t>
            </m:r>
          </m:sup>
        </m:sSup>
      </m:oMath>
      <w:r>
        <w:t xml:space="preserve"> </w:t>
      </w:r>
      <w:r>
        <w:t xml:space="preserve">≥ 0.965 for every mix, with pooled RMSE values of 0.0160 (PENN) and 0.0152 (classical identification). The data-driven network, by contrast, falls below 0.95 for 7 of the 20 mixes, down to</w:t>
      </w:r>
      <w:r>
        <w:t xml:space="preserve"> </w:t>
      </w:r>
      <m:oMath>
        <m:sSup>
          <m:e>
            <m:r>
              <m:t>R</m:t>
            </m:r>
          </m:e>
          <m:sup>
            <m:r>
              <m:t>2</m:t>
            </m:r>
          </m:sup>
        </m:sSup>
      </m:oMath>
      <w:r>
        <w:t xml:space="preserve"> </w:t>
      </w:r>
      <w:r>
        <w:t xml:space="preserve">= 0.22 for F40-0.5, and its pooled RMSE (0.0415) is more than twice that of the PENN (0.0160). A composition–curve mapping learned without physics interpolates well but does not transfer to binders it has not seen.</w:t>
      </w:r>
    </w:p>
    <w:p>
      <w:pPr>
        <w:pStyle w:val="TableCaption"/>
      </w:pPr>
      <w:r>
        <w:rPr>
          <w:bCs/>
          <w:b/>
        </w:rPr>
        <w:t xml:space="preserve">Table 6.</w:t>
      </w:r>
      <w:r>
        <w:t xml:space="preserve"> </w:t>
      </w:r>
      <w:r>
        <w:t xml:space="preserve">Cross-validation over all 20 mixes.</w:t>
      </w:r>
    </w:p>
    <w:tbl>
      <w:tblPr>
        <w:tblStyle w:val="Table"/>
        <w:tblW w:type="pct" w:w="5000"/>
        <w:jc w:val="center"/>
        <w:tblLook w:firstRow="1" w:lastRow="0" w:firstColumn="0" w:lastColumn="0" w:noHBand="0" w:noVBand="0" w:val="0020"/>
        <w:tblCaption w:val="Table 6. Cross-validation over all 20 mixes."/>
      </w:tblPr>
      <w:tblGrid>
        <w:gridCol w:w="1848"/>
        <w:gridCol w:w="1848"/>
        <w:gridCol w:w="1056"/>
        <w:gridCol w:w="880"/>
        <w:gridCol w:w="1144"/>
        <w:gridCol w:w="1144"/>
      </w:tblGrid>
      <w:tr>
        <w:trPr>
          <w:tblHeader w:val="true"/>
        </w:trPr>
        <w:tc>
          <w:tcPr/>
          <w:p>
            <w:pPr>
              <w:pStyle w:val="Compact"/>
              <w:jc w:val="left"/>
            </w:pPr>
            <w:r>
              <w:t xml:space="preserve">Scheme</w:t>
            </w:r>
          </w:p>
        </w:tc>
        <w:tc>
          <w:tcPr/>
          <w:p>
            <w:pPr>
              <w:pStyle w:val="Compact"/>
              <w:jc w:val="left"/>
            </w:pPr>
            <w:r>
              <w:t xml:space="preserve">Method</w:t>
            </w:r>
          </w:p>
        </w:tc>
        <w:tc>
          <w:tcPr/>
          <w:p>
            <w:pPr>
              <w:pStyle w:val="Compact"/>
              <w:jc w:val="center"/>
            </w:pPr>
            <m:oMath>
              <m:sSup>
                <m:e>
                  <m:r>
                    <m:t>R</m:t>
                  </m:r>
                </m:e>
                <m:sup>
                  <m:r>
                    <m:t>2</m:t>
                  </m:r>
                </m:sup>
              </m:sSup>
            </m:oMath>
            <w:r>
              <w:t xml:space="preserve"> </w:t>
            </w:r>
            <w:r>
              <w:t xml:space="preserve">(pooled)</w:t>
            </w:r>
          </w:p>
        </w:tc>
        <w:tc>
          <w:tcPr/>
          <w:p>
            <w:pPr>
              <w:pStyle w:val="Compact"/>
              <w:jc w:val="center"/>
            </w:pPr>
            <w:r>
              <w:t xml:space="preserve">RMSE</w:t>
            </w:r>
          </w:p>
        </w:tc>
        <w:tc>
          <w:tcPr/>
          <w:p>
            <w:pPr>
              <w:pStyle w:val="Compact"/>
              <w:jc w:val="center"/>
            </w:pPr>
            <w:r>
              <w:t xml:space="preserve">Lowest</w:t>
            </w:r>
            <w:r>
              <w:t xml:space="preserve"> </w:t>
            </w:r>
            <m:oMath>
              <m:sSup>
                <m:e>
                  <m:r>
                    <m:t>R</m:t>
                  </m:r>
                </m:e>
                <m:sup>
                  <m:r>
                    <m:t>2</m:t>
                  </m:r>
                </m:sup>
              </m:sSup>
            </m:oMath>
            <w:r>
              <w:t xml:space="preserve"> </w:t>
            </w:r>
            <w:r>
              <w:t xml:space="preserve">of a mix</w:t>
            </w:r>
          </w:p>
        </w:tc>
        <w:tc>
          <w:tcPr/>
          <w:p>
            <w:pPr>
              <w:pStyle w:val="Compact"/>
              <w:jc w:val="center"/>
            </w:pPr>
            <w:r>
              <w:t xml:space="preserve">Mixes with</w:t>
            </w:r>
            <w:r>
              <w:t xml:space="preserve"> </w:t>
            </w:r>
            <m:oMath>
              <m:sSup>
                <m:e>
                  <m:r>
                    <m:t>R</m:t>
                  </m:r>
                </m:e>
                <m:sup>
                  <m:r>
                    <m:t>2</m:t>
                  </m:r>
                </m:sup>
              </m:sSup>
            </m:oMath>
            <w:r>
              <w:t xml:space="preserve"> </w:t>
            </w:r>
            <w:r>
              <w:t xml:space="preserve">&lt; 0.95</w:t>
            </w:r>
          </w:p>
        </w:tc>
      </w:tr>
      <w:tr>
        <w:tc>
          <w:tcPr/>
          <w:p>
            <w:pPr>
              <w:pStyle w:val="Compact"/>
              <w:jc w:val="left"/>
            </w:pPr>
            <w:r>
              <w:t xml:space="preserve">Leave one mix out (20 folds)</w:t>
            </w:r>
          </w:p>
        </w:tc>
        <w:tc>
          <w:tcPr/>
          <w:p>
            <w:pPr>
              <w:pStyle w:val="Compact"/>
              <w:jc w:val="left"/>
            </w:pPr>
            <w:r>
              <w:t xml:space="preserve">PENN</w:t>
            </w:r>
          </w:p>
        </w:tc>
        <w:tc>
          <w:tcPr/>
          <w:p>
            <w:pPr>
              <w:pStyle w:val="Compact"/>
              <w:jc w:val="center"/>
            </w:pPr>
            <w:r>
              <w:t xml:space="preserve">0.9909</w:t>
            </w:r>
          </w:p>
        </w:tc>
        <w:tc>
          <w:tcPr/>
          <w:p>
            <w:pPr>
              <w:pStyle w:val="Compact"/>
              <w:jc w:val="center"/>
            </w:pPr>
            <w:r>
              <w:t xml:space="preserve">0.0156</w:t>
            </w:r>
          </w:p>
        </w:tc>
        <w:tc>
          <w:tcPr/>
          <w:p>
            <w:pPr>
              <w:pStyle w:val="Compact"/>
              <w:jc w:val="center"/>
            </w:pPr>
            <w:r>
              <w:t xml:space="preserve">0.975</w:t>
            </w:r>
          </w:p>
        </w:tc>
        <w:tc>
          <w:tcPr/>
          <w:p>
            <w:pPr>
              <w:pStyle w:val="Compact"/>
              <w:jc w:val="center"/>
            </w:pPr>
            <w:r>
              <w:t xml:space="preserve">0</w:t>
            </w:r>
          </w:p>
        </w:tc>
      </w:tr>
      <w:tr>
        <w:tc>
          <w:tcPr/>
          <w:p>
            <w:pPr>
              <w:pStyle w:val="Compact"/>
            </w:pPr>
          </w:p>
        </w:tc>
        <w:tc>
          <w:tcPr/>
          <w:p>
            <w:pPr>
              <w:pStyle w:val="Compact"/>
              <w:jc w:val="left"/>
            </w:pPr>
            <w:r>
              <w:t xml:space="preserve">Classical + regression</w:t>
            </w:r>
          </w:p>
        </w:tc>
        <w:tc>
          <w:tcPr/>
          <w:p>
            <w:pPr>
              <w:pStyle w:val="Compact"/>
              <w:jc w:val="center"/>
            </w:pPr>
            <w:r>
              <w:t xml:space="preserve">0.9919</w:t>
            </w:r>
          </w:p>
        </w:tc>
        <w:tc>
          <w:tcPr/>
          <w:p>
            <w:pPr>
              <w:pStyle w:val="Compact"/>
              <w:jc w:val="center"/>
            </w:pPr>
            <w:r>
              <w:t xml:space="preserve">0.0147</w:t>
            </w:r>
          </w:p>
        </w:tc>
        <w:tc>
          <w:tcPr/>
          <w:p>
            <w:pPr>
              <w:pStyle w:val="Compact"/>
              <w:jc w:val="center"/>
            </w:pPr>
            <w:r>
              <w:t xml:space="preserve">0.974</w:t>
            </w:r>
          </w:p>
        </w:tc>
        <w:tc>
          <w:tcPr/>
          <w:p>
            <w:pPr>
              <w:pStyle w:val="Compact"/>
              <w:jc w:val="center"/>
            </w:pPr>
            <w:r>
              <w:t xml:space="preserve">0</w:t>
            </w:r>
          </w:p>
        </w:tc>
      </w:tr>
      <w:tr>
        <w:tc>
          <w:tcPr/>
          <w:p>
            <w:pPr>
              <w:pStyle w:val="Compact"/>
            </w:pPr>
          </w:p>
        </w:tc>
        <w:tc>
          <w:tcPr/>
          <w:p>
            <w:pPr>
              <w:pStyle w:val="Compact"/>
              <w:jc w:val="left"/>
            </w:pPr>
            <w:r>
              <w:t xml:space="preserve">Data-driven</w:t>
            </w:r>
          </w:p>
        </w:tc>
        <w:tc>
          <w:tcPr/>
          <w:p>
            <w:pPr>
              <w:pStyle w:val="Compact"/>
              <w:jc w:val="center"/>
            </w:pPr>
            <w:r>
              <w:t xml:space="preserve">0.9868</w:t>
            </w:r>
          </w:p>
        </w:tc>
        <w:tc>
          <w:tcPr/>
          <w:p>
            <w:pPr>
              <w:pStyle w:val="Compact"/>
              <w:jc w:val="center"/>
            </w:pPr>
            <w:r>
              <w:t xml:space="preserve">0.0188</w:t>
            </w:r>
          </w:p>
        </w:tc>
        <w:tc>
          <w:tcPr/>
          <w:p>
            <w:pPr>
              <w:pStyle w:val="Compact"/>
              <w:jc w:val="center"/>
            </w:pPr>
            <w:r>
              <w:t xml:space="preserve">0.953</w:t>
            </w:r>
          </w:p>
        </w:tc>
        <w:tc>
          <w:tcPr/>
          <w:p>
            <w:pPr>
              <w:pStyle w:val="Compact"/>
              <w:jc w:val="center"/>
            </w:pPr>
            <w:r>
              <w:t xml:space="preserve">0</w:t>
            </w:r>
          </w:p>
        </w:tc>
      </w:tr>
      <w:tr>
        <w:tc>
          <w:tcPr/>
          <w:p>
            <w:pPr>
              <w:pStyle w:val="Compact"/>
              <w:jc w:val="left"/>
            </w:pPr>
            <w:r>
              <w:t xml:space="preserve">Leave one family out (7 folds)</w:t>
            </w:r>
          </w:p>
        </w:tc>
        <w:tc>
          <w:tcPr/>
          <w:p>
            <w:pPr>
              <w:pStyle w:val="Compact"/>
              <w:jc w:val="left"/>
            </w:pPr>
            <w:r>
              <w:t xml:space="preserve">PENN</w:t>
            </w:r>
          </w:p>
        </w:tc>
        <w:tc>
          <w:tcPr/>
          <w:p>
            <w:pPr>
              <w:pStyle w:val="Compact"/>
              <w:jc w:val="center"/>
            </w:pPr>
            <w:r>
              <w:t xml:space="preserve">0.9903</w:t>
            </w:r>
          </w:p>
        </w:tc>
        <w:tc>
          <w:tcPr/>
          <w:p>
            <w:pPr>
              <w:pStyle w:val="Compact"/>
              <w:jc w:val="center"/>
            </w:pPr>
            <w:r>
              <w:t xml:space="preserve">0.0160</w:t>
            </w:r>
          </w:p>
        </w:tc>
        <w:tc>
          <w:tcPr/>
          <w:p>
            <w:pPr>
              <w:pStyle w:val="Compact"/>
              <w:jc w:val="center"/>
            </w:pPr>
            <w:r>
              <w:t xml:space="preserve">0.968</w:t>
            </w:r>
          </w:p>
        </w:tc>
        <w:tc>
          <w:tcPr/>
          <w:p>
            <w:pPr>
              <w:pStyle w:val="Compact"/>
              <w:jc w:val="center"/>
            </w:pPr>
            <w:r>
              <w:t xml:space="preserve">0</w:t>
            </w:r>
          </w:p>
        </w:tc>
      </w:tr>
      <w:tr>
        <w:tc>
          <w:tcPr/>
          <w:p>
            <w:pPr>
              <w:pStyle w:val="Compact"/>
            </w:pPr>
          </w:p>
        </w:tc>
        <w:tc>
          <w:tcPr/>
          <w:p>
            <w:pPr>
              <w:pStyle w:val="Compact"/>
              <w:jc w:val="left"/>
            </w:pPr>
            <w:r>
              <w:t xml:space="preserve">Classical + regression</w:t>
            </w:r>
          </w:p>
        </w:tc>
        <w:tc>
          <w:tcPr/>
          <w:p>
            <w:pPr>
              <w:pStyle w:val="Compact"/>
              <w:jc w:val="center"/>
            </w:pPr>
            <w:r>
              <w:t xml:space="preserve">0.9913</w:t>
            </w:r>
          </w:p>
        </w:tc>
        <w:tc>
          <w:tcPr/>
          <w:p>
            <w:pPr>
              <w:pStyle w:val="Compact"/>
              <w:jc w:val="center"/>
            </w:pPr>
            <w:r>
              <w:t xml:space="preserve">0.0152</w:t>
            </w:r>
          </w:p>
        </w:tc>
        <w:tc>
          <w:tcPr/>
          <w:p>
            <w:pPr>
              <w:pStyle w:val="Compact"/>
              <w:jc w:val="center"/>
            </w:pPr>
            <w:r>
              <w:t xml:space="preserve">0.965</w:t>
            </w:r>
          </w:p>
        </w:tc>
        <w:tc>
          <w:tcPr/>
          <w:p>
            <w:pPr>
              <w:pStyle w:val="Compact"/>
              <w:jc w:val="center"/>
            </w:pPr>
            <w:r>
              <w:t xml:space="preserve">0</w:t>
            </w:r>
          </w:p>
        </w:tc>
      </w:tr>
      <w:tr>
        <w:tc>
          <w:tcPr/>
          <w:p>
            <w:pPr>
              <w:pStyle w:val="Compact"/>
            </w:pPr>
          </w:p>
        </w:tc>
        <w:tc>
          <w:tcPr/>
          <w:p>
            <w:pPr>
              <w:pStyle w:val="Compact"/>
              <w:jc w:val="left"/>
            </w:pPr>
            <w:r>
              <w:t xml:space="preserve">Data-driven</w:t>
            </w:r>
          </w:p>
        </w:tc>
        <w:tc>
          <w:tcPr/>
          <w:p>
            <w:pPr>
              <w:pStyle w:val="Compact"/>
              <w:jc w:val="center"/>
            </w:pPr>
            <w:r>
              <w:t xml:space="preserve">0.9355</w:t>
            </w:r>
          </w:p>
        </w:tc>
        <w:tc>
          <w:tcPr/>
          <w:p>
            <w:pPr>
              <w:pStyle w:val="Compact"/>
              <w:jc w:val="center"/>
            </w:pPr>
            <w:r>
              <w:t xml:space="preserve">0.0415</w:t>
            </w:r>
          </w:p>
        </w:tc>
        <w:tc>
          <w:tcPr/>
          <w:p>
            <w:pPr>
              <w:pStyle w:val="Compact"/>
              <w:jc w:val="center"/>
            </w:pPr>
            <w:r>
              <w:t xml:space="preserve">0.218</w:t>
            </w:r>
          </w:p>
        </w:tc>
        <w:tc>
          <w:tcPr/>
          <w:p>
            <w:pPr>
              <w:pStyle w:val="Compact"/>
              <w:jc w:val="center"/>
            </w:pPr>
            <w:r>
              <w:t xml:space="preserve">7</w:t>
            </w:r>
          </w:p>
        </w:tc>
      </w:tr>
    </w:tbl>
    <w:p>
      <w:pPr>
        <w:pStyle w:val="CaptionedFigure"/>
      </w:pPr>
      <w:r>
        <w:drawing>
          <wp:inline>
            <wp:extent cx="5334000" cy="3753345"/>
            <wp:effectExtent b="0" l="0" r="0" t="0"/>
            <wp:docPr descr="Fig. 6. Coefficient of determination of each mix when it is predicted (a) from the other 19 mixes and (b) without any mix of its binder family. Values below 0.80 are plotted at the lower edge and labelled with their actual value." title="" id="55" name="Picture"/>
            <a:graphic>
              <a:graphicData uri="http://schemas.openxmlformats.org/drawingml/2006/picture">
                <pic:pic>
                  <pic:nvPicPr>
                    <pic:cNvPr descr="fig3/fig_cv.png" id="56" name="Picture"/>
                    <pic:cNvPicPr>
                      <a:picLocks noChangeArrowheads="1" noChangeAspect="1"/>
                    </pic:cNvPicPr>
                  </pic:nvPicPr>
                  <pic:blipFill>
                    <a:blip r:embed="rId54"/>
                    <a:stretch>
                      <a:fillRect/>
                    </a:stretch>
                  </pic:blipFill>
                  <pic:spPr bwMode="auto">
                    <a:xfrm>
                      <a:off x="0" y="0"/>
                      <a:ext cx="5334000" cy="3753345"/>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Coefficient of determination of each mix when it is predicted (a) from the other 19 mixes and (b) without any mix of its binder family. Values below 0.80 are plotted at the lower edge and labelled with their actual value.</w:t>
      </w:r>
    </w:p>
    <w:bookmarkEnd w:id="57"/>
    <w:bookmarkStart w:id="58" w:name="robustness-to-measurement-noise"/>
    <w:p>
      <w:pPr>
        <w:pStyle w:val="Heading2"/>
      </w:pPr>
      <w:r>
        <w:t xml:space="preserve">5.4 Robustness to measurement noise</w:t>
      </w:r>
    </w:p>
    <w:p>
      <w:pPr>
        <w:pStyle w:val="FirstParagraph"/>
      </w:pPr>
      <w:r>
        <w:t xml:space="preserve">Adding Gaussian noise to the training data leaves the PENN predictions practically unchanged (Table 7). With a standard deviation of 0.02, which is about three times the median RMSE of the classical fits, the test RMSE remains 0.0137 and the identified parameters move by at most 0.005 decade for</w:t>
      </w:r>
      <w:r>
        <w:t xml:space="preserve"> </w:t>
      </w:r>
      <m:oMath>
        <m:sSub>
          <m:e>
            <m:r>
              <m:t>D</m:t>
            </m:r>
          </m:e>
          <m:sub>
            <m:r>
              <m:t>v</m:t>
            </m:r>
          </m:sub>
        </m:sSub>
      </m:oMath>
      <w:r>
        <w:t xml:space="preserve"> </w:t>
      </w:r>
      <w:r>
        <w:t xml:space="preserve">and 0.025 decade for</w:t>
      </w:r>
      <w:r>
        <w:t xml:space="preserve"> </w:t>
      </w:r>
      <m:oMath>
        <m:sSub>
          <m:e>
            <m:r>
              <m:t>K</m:t>
            </m:r>
          </m:e>
          <m:sub>
            <m:r>
              <m:rPr>
                <m:nor/>
              </m:rPr>
              <m:t>int</m:t>
            </m:r>
          </m:sub>
        </m:sSub>
      </m:oMath>
      <w:r>
        <w:t xml:space="preserve">. The error of the data-driven network grows from 0.0202 to 0.0223. The solver acts as a strong regulariser: noise can only shift two parameters per mix, and a smooth composition map averages it out.</w:t>
      </w:r>
    </w:p>
    <w:p>
      <w:pPr>
        <w:pStyle w:val="TableCaption"/>
      </w:pPr>
      <w:r>
        <w:rPr>
          <w:bCs/>
          <w:b/>
        </w:rPr>
        <w:t xml:space="preserve">Table 7.</w:t>
      </w:r>
      <w:r>
        <w:t xml:space="preserve"> </w:t>
      </w:r>
      <w:r>
        <w:t xml:space="preserve">Effect of noise added to the training data (five seeds; parameter shifts relative to noise-free training, maximum over the 20 mixes).</w:t>
      </w:r>
    </w:p>
    <w:tbl>
      <w:tblPr>
        <w:tblStyle w:val="Table"/>
        <w:tblW w:type="pct" w:w="5000"/>
        <w:jc w:val="center"/>
        <w:tblLook w:firstRow="1" w:lastRow="0" w:firstColumn="0" w:lastColumn="0" w:noHBand="0" w:noVBand="0" w:val="0020"/>
        <w:tblCaption w:val="Table 7. Effect of noise added to the training data (five seeds; parameter shifts relative to noise-free training, maximum over the 20 mixes)."/>
      </w:tblPr>
      <w:tblGrid>
        <w:gridCol w:w="1450"/>
        <w:gridCol w:w="1784"/>
        <w:gridCol w:w="1784"/>
        <w:gridCol w:w="1450"/>
        <w:gridCol w:w="1450"/>
      </w:tblGrid>
      <w:tr>
        <w:trPr>
          <w:tblHeader w:val="true"/>
        </w:trPr>
        <w:tc>
          <w:tcPr/>
          <w:p>
            <w:pPr>
              <w:pStyle w:val="Compact"/>
              <w:jc w:val="center"/>
            </w:pPr>
            <w:r>
              <w:t xml:space="preserve">Noise added to training data</w:t>
            </w:r>
          </w:p>
        </w:tc>
        <w:tc>
          <w:tcPr/>
          <w:p>
            <w:pPr>
              <w:pStyle w:val="Compact"/>
              <w:jc w:val="center"/>
            </w:pPr>
            <w:r>
              <w:t xml:space="preserve">PENN RMSE</w:t>
            </w:r>
          </w:p>
        </w:tc>
        <w:tc>
          <w:tcPr/>
          <w:p>
            <w:pPr>
              <w:pStyle w:val="Compact"/>
              <w:jc w:val="center"/>
            </w:pPr>
            <w:r>
              <w:t xml:space="preserve">Data-driven RMSE</w:t>
            </w:r>
          </w:p>
        </w:tc>
        <w:tc>
          <w:tcPr/>
          <w:p>
            <w:pPr>
              <w:pStyle w:val="Compact"/>
              <w:jc w:val="center"/>
            </w:pPr>
            <w:r>
              <w:t xml:space="preserve">max shift of</w:t>
            </w:r>
            <w:r>
              <w:t xml:space="preserve"> </w:t>
            </w:r>
            <m:oMath>
              <m:sSub>
                <m:e>
                  <m:r>
                    <m:rPr>
                      <m:sty m:val="p"/>
                    </m:rPr>
                    <m:t>log</m:t>
                  </m:r>
                </m:e>
                <m:sub>
                  <m:r>
                    <m:t>10</m:t>
                  </m:r>
                </m:sub>
              </m:sSub>
              <m:sSub>
                <m:e>
                  <m:r>
                    <m:t>D</m:t>
                  </m:r>
                </m:e>
                <m:sub>
                  <m:r>
                    <m:t>v</m:t>
                  </m:r>
                </m:sub>
              </m:sSub>
            </m:oMath>
          </w:p>
        </w:tc>
        <w:tc>
          <w:tcPr/>
          <w:p>
            <w:pPr>
              <w:pStyle w:val="Compact"/>
              <w:jc w:val="center"/>
            </w:pPr>
            <w:r>
              <w:t xml:space="preserve">max shift of</w:t>
            </w:r>
            <w:r>
              <w:t xml:space="preserve"> </w:t>
            </w:r>
            <m:oMath>
              <m:sSub>
                <m:e>
                  <m:r>
                    <m:rPr>
                      <m:sty m:val="p"/>
                    </m:rPr>
                    <m:t>log</m:t>
                  </m:r>
                </m:e>
                <m:sub>
                  <m:r>
                    <m:t>10</m:t>
                  </m:r>
                </m:sub>
              </m:sSub>
              <m:sSub>
                <m:e>
                  <m:r>
                    <m:t>K</m:t>
                  </m:r>
                </m:e>
                <m:sub>
                  <m:r>
                    <m:rPr>
                      <m:nor/>
                    </m:rPr>
                    <m:t>int</m:t>
                  </m:r>
                </m:sub>
              </m:sSub>
            </m:oMath>
          </w:p>
        </w:tc>
      </w:tr>
      <w:tr>
        <w:tc>
          <w:tcPr/>
          <w:p>
            <w:pPr>
              <w:pStyle w:val="Compact"/>
              <w:jc w:val="center"/>
            </w:pPr>
            <w:r>
              <w:t xml:space="preserve">none</w:t>
            </w:r>
          </w:p>
        </w:tc>
        <w:tc>
          <w:tcPr/>
          <w:p>
            <w:pPr>
              <w:pStyle w:val="Compact"/>
              <w:jc w:val="center"/>
            </w:pPr>
            <w:r>
              <w:t xml:space="preserve">0.0137 ± 0.0002</w:t>
            </w:r>
          </w:p>
        </w:tc>
        <w:tc>
          <w:tcPr/>
          <w:p>
            <w:pPr>
              <w:pStyle w:val="Compact"/>
              <w:jc w:val="center"/>
            </w:pPr>
            <w:r>
              <w:t xml:space="preserve">0.0202 ± 0.0008</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σ = 0.01</w:t>
            </w:r>
          </w:p>
        </w:tc>
        <w:tc>
          <w:tcPr/>
          <w:p>
            <w:pPr>
              <w:pStyle w:val="Compact"/>
              <w:jc w:val="center"/>
            </w:pPr>
            <w:r>
              <w:t xml:space="preserve">0.0137 ± 0.0004</w:t>
            </w:r>
          </w:p>
        </w:tc>
        <w:tc>
          <w:tcPr/>
          <w:p>
            <w:pPr>
              <w:pStyle w:val="Compact"/>
              <w:jc w:val="center"/>
            </w:pPr>
            <w:r>
              <w:t xml:space="preserve">0.0212 ± 0.0010</w:t>
            </w:r>
          </w:p>
        </w:tc>
        <w:tc>
          <w:tcPr/>
          <w:p>
            <w:pPr>
              <w:pStyle w:val="Compact"/>
              <w:jc w:val="center"/>
            </w:pPr>
            <w:r>
              <w:t xml:space="preserve">0.003</w:t>
            </w:r>
          </w:p>
        </w:tc>
        <w:tc>
          <w:tcPr/>
          <w:p>
            <w:pPr>
              <w:pStyle w:val="Compact"/>
              <w:jc w:val="center"/>
            </w:pPr>
            <w:r>
              <w:t xml:space="preserve">0.011</w:t>
            </w:r>
          </w:p>
        </w:tc>
      </w:tr>
      <w:tr>
        <w:tc>
          <w:tcPr/>
          <w:p>
            <w:pPr>
              <w:pStyle w:val="Compact"/>
              <w:jc w:val="center"/>
            </w:pPr>
            <w:r>
              <w:t xml:space="preserve">σ = 0.02</w:t>
            </w:r>
          </w:p>
        </w:tc>
        <w:tc>
          <w:tcPr/>
          <w:p>
            <w:pPr>
              <w:pStyle w:val="Compact"/>
              <w:jc w:val="center"/>
            </w:pPr>
            <w:r>
              <w:t xml:space="preserve">0.0137 ± 0.0007</w:t>
            </w:r>
          </w:p>
        </w:tc>
        <w:tc>
          <w:tcPr/>
          <w:p>
            <w:pPr>
              <w:pStyle w:val="Compact"/>
              <w:jc w:val="center"/>
            </w:pPr>
            <w:r>
              <w:t xml:space="preserve">0.0223 ± 0.0018</w:t>
            </w:r>
          </w:p>
        </w:tc>
        <w:tc>
          <w:tcPr/>
          <w:p>
            <w:pPr>
              <w:pStyle w:val="Compact"/>
              <w:jc w:val="center"/>
            </w:pPr>
            <w:r>
              <w:t xml:space="preserve">0.005</w:t>
            </w:r>
          </w:p>
        </w:tc>
        <w:tc>
          <w:tcPr/>
          <w:p>
            <w:pPr>
              <w:pStyle w:val="Compact"/>
              <w:jc w:val="center"/>
            </w:pPr>
            <w:r>
              <w:t xml:space="preserve">0.025</w:t>
            </w:r>
          </w:p>
        </w:tc>
      </w:tr>
    </w:tbl>
    <w:bookmarkEnd w:id="58"/>
    <w:bookmarkStart w:id="62" w:name="X3000bc8290807db8bde48fa689161d807175eca"/>
    <w:p>
      <w:pPr>
        <w:pStyle w:val="Heading2"/>
      </w:pPr>
      <w:r>
        <w:t xml:space="preserve">5.5 Comparison with a physics-informed neural network</w:t>
      </w:r>
    </w:p>
    <w:p>
      <w:pPr>
        <w:pStyle w:val="FirstParagraph"/>
      </w:pPr>
      <w:r>
        <w:t xml:space="preserve">The PINN comparison uses the slab version of the problem, for which both approaches were implemented with identical constants, data split and parameter network (Table 8). On the withheld mixes the PINN is less accurate than the PENN (RMSE 0.0216 against 0.0133) and varies more between seeds. At the same time it fits the training data far more closely (training RMSE 0.0033 against 0.0125). Its flexible field can follow the training curves more closely than the transport equation allows, and this extra freedom does not carry over to new mixes. Without its PDE residual the PINN degrades further (RMSE 0.0365), so the residual does carry information.</w:t>
      </w:r>
    </w:p>
    <w:p>
      <w:pPr>
        <w:pStyle w:val="TableCaption"/>
      </w:pPr>
      <w:r>
        <w:rPr>
          <w:bCs/>
          <w:b/>
        </w:rPr>
        <w:t xml:space="preserve">Table 8.</w:t>
      </w:r>
      <w:r>
        <w:t xml:space="preserve"> </w:t>
      </w:r>
      <w:r>
        <w:t xml:space="preserve">Controlled comparison on the one-dimensional slab model (six withheld mixes). The solver check gives the</w:t>
      </w:r>
      <w:r>
        <w:t xml:space="preserve"> </w:t>
      </w:r>
      <m:oMath>
        <m:sSup>
          <m:e>
            <m:r>
              <m:t>R</m:t>
            </m:r>
          </m:e>
          <m:sup>
            <m:r>
              <m:t>2</m:t>
            </m:r>
          </m:sup>
        </m:sSup>
      </m:oMath>
      <w:r>
        <w:t xml:space="preserve"> </w:t>
      </w:r>
      <w:r>
        <w:t xml:space="preserve">between each model and the independent BDF solver run with the parameters returned by that model.</w:t>
      </w:r>
    </w:p>
    <w:tbl>
      <w:tblPr>
        <w:tblStyle w:val="Table"/>
        <w:tblW w:type="pct" w:w="5000"/>
        <w:jc w:val="center"/>
        <w:tblLook w:firstRow="1" w:lastRow="0" w:firstColumn="0" w:lastColumn="0" w:noHBand="0" w:noVBand="0" w:val="0020"/>
        <w:tblCaption w:val="Table 8. Controlled comparison on the one-dimensional slab model (six withheld mixes). The solver check gives the R^2 between each model and the independent BDF solver run with the parameters returned by that model."/>
      </w:tblPr>
      <w:tblGrid>
        <w:gridCol w:w="2640"/>
        <w:gridCol w:w="1508"/>
        <w:gridCol w:w="1508"/>
        <w:gridCol w:w="1131"/>
        <w:gridCol w:w="1131"/>
      </w:tblGrid>
      <w:tr>
        <w:trPr>
          <w:tblHeader w:val="true"/>
        </w:trPr>
        <w:tc>
          <w:tcPr/>
          <w:p>
            <w:pPr>
              <w:pStyle w:val="Compact"/>
              <w:jc w:val="left"/>
            </w:pPr>
            <w:r>
              <w:t xml:space="preserve">Method</w:t>
            </w:r>
          </w:p>
        </w:tc>
        <w:tc>
          <w:tcPr/>
          <w:p>
            <w:pPr>
              <w:pStyle w:val="Compact"/>
              <w:jc w:val="center"/>
            </w:pPr>
            <m:oMath>
              <m:sSup>
                <m:e>
                  <m:r>
                    <m:t>R</m:t>
                  </m:r>
                </m:e>
                <m:sup>
                  <m:r>
                    <m:t>2</m:t>
                  </m:r>
                </m:sup>
              </m:sSup>
            </m:oMath>
            <w:r>
              <w:t xml:space="preserve"> </w:t>
            </w:r>
            <w:r>
              <w:t xml:space="preserve">(withheld)</w:t>
            </w:r>
          </w:p>
        </w:tc>
        <w:tc>
          <w:tcPr/>
          <w:p>
            <w:pPr>
              <w:pStyle w:val="Compact"/>
              <w:jc w:val="center"/>
            </w:pPr>
            <w:r>
              <w:t xml:space="preserve">RMSE (withheld)</w:t>
            </w:r>
          </w:p>
        </w:tc>
        <w:tc>
          <w:tcPr/>
          <w:p>
            <w:pPr>
              <w:pStyle w:val="Compact"/>
              <w:jc w:val="center"/>
            </w:pPr>
            <w:r>
              <w:t xml:space="preserve">RMSE (training)</w:t>
            </w:r>
          </w:p>
        </w:tc>
        <w:tc>
          <w:tcPr/>
          <w:p>
            <w:pPr>
              <w:pStyle w:val="Compact"/>
              <w:jc w:val="center"/>
            </w:pPr>
            <w:r>
              <w:t xml:space="preserve">Solver check</w:t>
            </w:r>
            <w:r>
              <w:t xml:space="preserve"> </w:t>
            </w:r>
            <m:oMath>
              <m:sSup>
                <m:e>
                  <m:r>
                    <m:t>R</m:t>
                  </m:r>
                </m:e>
                <m:sup>
                  <m:r>
                    <m:t>2</m:t>
                  </m:r>
                </m:sup>
              </m:sSup>
            </m:oMath>
          </w:p>
        </w:tc>
      </w:tr>
      <w:tr>
        <w:tc>
          <w:tcPr/>
          <w:p>
            <w:pPr>
              <w:pStyle w:val="Compact"/>
              <w:jc w:val="left"/>
            </w:pPr>
            <w:r>
              <w:t xml:space="preserve">PENN (differentiable solver)</w:t>
            </w:r>
          </w:p>
        </w:tc>
        <w:tc>
          <w:tcPr/>
          <w:p>
            <w:pPr>
              <w:pStyle w:val="Compact"/>
              <w:jc w:val="center"/>
            </w:pPr>
            <w:r>
              <w:t xml:space="preserve">0.9935 ± 0.0001</w:t>
            </w:r>
          </w:p>
        </w:tc>
        <w:tc>
          <w:tcPr/>
          <w:p>
            <w:pPr>
              <w:pStyle w:val="Compact"/>
              <w:jc w:val="center"/>
            </w:pPr>
            <w:r>
              <w:t xml:space="preserve">0.0133 ± 0.0001</w:t>
            </w:r>
          </w:p>
        </w:tc>
        <w:tc>
          <w:tcPr/>
          <w:p>
            <w:pPr>
              <w:pStyle w:val="Compact"/>
              <w:jc w:val="center"/>
            </w:pPr>
            <w:r>
              <w:t xml:space="preserve">0.0125</w:t>
            </w:r>
          </w:p>
        </w:tc>
        <w:tc>
          <w:tcPr/>
          <w:p>
            <w:pPr>
              <w:pStyle w:val="Compact"/>
              <w:jc w:val="center"/>
            </w:pPr>
            <w:r>
              <w:t xml:space="preserve">0.9998</w:t>
            </w:r>
          </w:p>
        </w:tc>
      </w:tr>
      <w:tr>
        <w:tc>
          <w:tcPr/>
          <w:p>
            <w:pPr>
              <w:pStyle w:val="Compact"/>
              <w:jc w:val="left"/>
            </w:pPr>
            <w:r>
              <w:t xml:space="preserve">Classical + regression</w:t>
            </w:r>
          </w:p>
        </w:tc>
        <w:tc>
          <w:tcPr/>
          <w:p>
            <w:pPr>
              <w:pStyle w:val="Compact"/>
              <w:jc w:val="center"/>
            </w:pPr>
            <w:r>
              <w:t xml:space="preserve">0.9938</w:t>
            </w:r>
          </w:p>
        </w:tc>
        <w:tc>
          <w:tcPr/>
          <w:p>
            <w:pPr>
              <w:pStyle w:val="Compact"/>
              <w:jc w:val="center"/>
            </w:pPr>
            <w:r>
              <w:t xml:space="preserve">0.0131</w:t>
            </w:r>
          </w:p>
        </w:tc>
        <w:tc>
          <w:tcPr/>
          <w:p>
            <w:pPr>
              <w:pStyle w:val="Compact"/>
              <w:jc w:val="center"/>
            </w:pPr>
            <w:r>
              <w:t xml:space="preserve">–</w:t>
            </w:r>
          </w:p>
        </w:tc>
        <w:tc>
          <w:tcPr/>
          <w:p>
            <w:pPr>
              <w:pStyle w:val="Compact"/>
              <w:jc w:val="center"/>
            </w:pPr>
            <w:r>
              <w:t xml:space="preserve">exact</w:t>
            </w:r>
          </w:p>
        </w:tc>
      </w:tr>
      <w:tr>
        <w:tc>
          <w:tcPr/>
          <w:p>
            <w:pPr>
              <w:pStyle w:val="Compact"/>
              <w:jc w:val="left"/>
            </w:pPr>
            <w:r>
              <w:t xml:space="preserve">PINN</w:t>
            </w:r>
          </w:p>
        </w:tc>
        <w:tc>
          <w:tcPr/>
          <w:p>
            <w:pPr>
              <w:pStyle w:val="Compact"/>
              <w:jc w:val="center"/>
            </w:pPr>
            <w:r>
              <w:t xml:space="preserve">0.9826 ± 0.0071</w:t>
            </w:r>
          </w:p>
        </w:tc>
        <w:tc>
          <w:tcPr/>
          <w:p>
            <w:pPr>
              <w:pStyle w:val="Compact"/>
              <w:jc w:val="center"/>
            </w:pPr>
            <w:r>
              <w:t xml:space="preserve">0.0216 ± 0.0043</w:t>
            </w:r>
          </w:p>
        </w:tc>
        <w:tc>
          <w:tcPr/>
          <w:p>
            <w:pPr>
              <w:pStyle w:val="Compact"/>
              <w:jc w:val="center"/>
            </w:pPr>
            <w:r>
              <w:t xml:space="preserve">0.0033</w:t>
            </w:r>
          </w:p>
        </w:tc>
        <w:tc>
          <w:tcPr/>
          <w:p>
            <w:pPr>
              <w:pStyle w:val="Compact"/>
              <w:jc w:val="center"/>
            </w:pPr>
            <w:r>
              <w:t xml:space="preserve">0.860</w:t>
            </w:r>
          </w:p>
        </w:tc>
      </w:tr>
      <w:tr>
        <w:tc>
          <w:tcPr/>
          <w:p>
            <w:pPr>
              <w:pStyle w:val="Compact"/>
              <w:jc w:val="left"/>
            </w:pPr>
            <w:r>
              <w:t xml:space="preserve">PINN without PDE residual</w:t>
            </w:r>
          </w:p>
        </w:tc>
        <w:tc>
          <w:tcPr/>
          <w:p>
            <w:pPr>
              <w:pStyle w:val="Compact"/>
              <w:jc w:val="center"/>
            </w:pPr>
            <w:r>
              <w:t xml:space="preserve">0.9411 ± 0.0640</w:t>
            </w:r>
          </w:p>
        </w:tc>
        <w:tc>
          <w:tcPr/>
          <w:p>
            <w:pPr>
              <w:pStyle w:val="Compact"/>
              <w:jc w:val="center"/>
            </w:pPr>
            <w:r>
              <w:t xml:space="preserve">0.0365 ± 0.0210</w:t>
            </w:r>
          </w:p>
        </w:tc>
        <w:tc>
          <w:tcPr/>
          <w:p>
            <w:pPr>
              <w:pStyle w:val="Compact"/>
              <w:jc w:val="center"/>
            </w:pPr>
            <w:r>
              <w:t xml:space="preserve">0.0031</w:t>
            </w:r>
          </w:p>
        </w:tc>
        <w:tc>
          <w:tcPr/>
          <w:p>
            <w:pPr>
              <w:pStyle w:val="Compact"/>
              <w:jc w:val="center"/>
            </w:pPr>
            <w:r>
              <w:t xml:space="preserve">–</w:t>
            </w:r>
          </w:p>
        </w:tc>
      </w:tr>
      <w:tr>
        <w:tc>
          <w:tcPr/>
          <w:p>
            <w:pPr>
              <w:pStyle w:val="Compact"/>
              <w:jc w:val="left"/>
            </w:pPr>
            <w:r>
              <w:t xml:space="preserve">Data-driven network</w:t>
            </w:r>
          </w:p>
        </w:tc>
        <w:tc>
          <w:tcPr/>
          <w:p>
            <w:pPr>
              <w:pStyle w:val="Compact"/>
              <w:jc w:val="center"/>
            </w:pPr>
            <w:r>
              <w:t xml:space="preserve">0.9852 ± 0.0012</w:t>
            </w:r>
          </w:p>
        </w:tc>
        <w:tc>
          <w:tcPr/>
          <w:p>
            <w:pPr>
              <w:pStyle w:val="Compact"/>
              <w:jc w:val="center"/>
            </w:pPr>
            <w:r>
              <w:t xml:space="preserve">0.0202 ± 0.0008</w:t>
            </w:r>
          </w:p>
        </w:tc>
        <w:tc>
          <w:tcPr/>
          <w:p>
            <w:pPr>
              <w:pStyle w:val="Compact"/>
              <w:jc w:val="center"/>
            </w:pPr>
            <w:r>
              <w:t xml:space="preserve">0.0059</w:t>
            </w:r>
          </w:p>
        </w:tc>
        <w:tc>
          <w:tcPr/>
          <w:p>
            <w:pPr>
              <w:pStyle w:val="Compact"/>
              <w:jc w:val="center"/>
            </w:pPr>
            <w:r>
              <w:t xml:space="preserve">–</w:t>
            </w:r>
          </w:p>
        </w:tc>
      </w:tr>
    </w:tbl>
    <w:p>
      <w:pPr>
        <w:pStyle w:val="BodyText"/>
      </w:pPr>
      <w:r>
        <w:t xml:space="preserve">The solver check is more revealing (Fig. 7). Run with the parameters of the PENN, the BDF solver reproduces the PENN curves with</w:t>
      </w:r>
      <w:r>
        <w:t xml:space="preserve"> </w:t>
      </w:r>
      <m:oMath>
        <m:sSup>
          <m:e>
            <m:r>
              <m:t>R</m:t>
            </m:r>
          </m:e>
          <m:sup>
            <m:r>
              <m:t>2</m:t>
            </m:r>
          </m:sup>
        </m:sSup>
      </m:oMath>
      <w:r>
        <w:t xml:space="preserve"> </w:t>
      </w:r>
      <w:r>
        <w:t xml:space="preserve">= 0.9998. With the parameters of the PINN it does not (</w:t>
      </w:r>
      <m:oMath>
        <m:sSup>
          <m:e>
            <m:r>
              <m:t>R</m:t>
            </m:r>
          </m:e>
          <m:sup>
            <m:r>
              <m:t>2</m:t>
            </m:r>
          </m:sup>
        </m:sSup>
      </m:oMath>
      <w:r>
        <w:t xml:space="preserve"> </w:t>
      </w:r>
      <w:r>
        <w:t xml:space="preserve">= 0.860, RMSE = 0.061), and on the withheld mixes it matches the data only with</w:t>
      </w:r>
      <w:r>
        <w:t xml:space="preserve"> </w:t>
      </w:r>
      <m:oMath>
        <m:sSup>
          <m:e>
            <m:r>
              <m:t>R</m:t>
            </m:r>
          </m:e>
          <m:sup>
            <m:r>
              <m:t>2</m:t>
            </m:r>
          </m:sup>
        </m:sSup>
      </m:oMath>
      <w:r>
        <w:t xml:space="preserve"> </w:t>
      </w:r>
      <w:r>
        <w:t xml:space="preserve">= 0.90. The reference diffusivities of the PINN are close to the classical values (mean difference 0.06 decade), but its permeabilities are about 1.1 decade too low.</w:t>
      </w:r>
      <w:r>
        <w:t xml:space="preserve"> </w:t>
      </w:r>
      <m:oMath>
        <m:sSub>
          <m:e>
            <m:r>
              <m:t>K</m:t>
            </m:r>
          </m:e>
          <m:sub>
            <m:r>
              <m:rPr>
                <m:nor/>
              </m:rPr>
              <m:t>int</m:t>
            </m:r>
          </m:sub>
        </m:sSub>
      </m:oMath>
      <w:r>
        <w:t xml:space="preserve"> </w:t>
      </w:r>
      <w:r>
        <w:t xml:space="preserve">controls the capillary regime, which prevails in the specimen during the first day of drying, before the first measurement and where the PDE residual is hardest to enforce. The PINN can therefore reproduce the measured curves with a field that does not obey the transport equation early on; the corresponding profiles are compared in Fig. B.2. Because the PENN integrates the equation from</w:t>
      </w:r>
      <w:r>
        <w:t xml:space="preserve"> </w:t>
      </w:r>
      <m:oMath>
        <m:r>
          <m:t>t</m:t>
        </m:r>
        <m:r>
          <m:rPr>
            <m:sty m:val="p"/>
          </m:rPr>
          <m:t>=</m:t>
        </m:r>
        <m:r>
          <m:t>0</m:t>
        </m:r>
      </m:oMath>
      <w:r>
        <w:t xml:space="preserve">, this kind of inconsistency cannot arise.</w:t>
      </w:r>
    </w:p>
    <w:p>
      <w:pPr>
        <w:pStyle w:val="CaptionedFigure"/>
      </w:pPr>
      <w:r>
        <w:drawing>
          <wp:inline>
            <wp:extent cx="5334000" cy="2633860"/>
            <wp:effectExtent b="0" l="0" r="0" t="0"/>
            <wp:docPr descr="Fig. 7. Solver check on the slab model: average saturation computed by the independent BDF solver with the parameters returned by (a) the PINN and (b) the PENN, plotted against the output of each model." title="" id="60" name="Picture"/>
            <a:graphic>
              <a:graphicData uri="http://schemas.openxmlformats.org/drawingml/2006/picture">
                <pic:pic>
                  <pic:nvPicPr>
                    <pic:cNvPr descr="fig3/fig_forward.png" id="61" name="Picture"/>
                    <pic:cNvPicPr>
                      <a:picLocks noChangeArrowheads="1" noChangeAspect="1"/>
                    </pic:cNvPicPr>
                  </pic:nvPicPr>
                  <pic:blipFill>
                    <a:blip r:embed="rId59"/>
                    <a:stretch>
                      <a:fillRect/>
                    </a:stretch>
                  </pic:blipFill>
                  <pic:spPr bwMode="auto">
                    <a:xfrm>
                      <a:off x="0" y="0"/>
                      <a:ext cx="5334000" cy="2633860"/>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Solver check on the slab model: average saturation computed by the independent BDF solver with the parameters returned by (a) the PINN and (b) the PENN, plotted against the output of each model.</w:t>
      </w:r>
    </w:p>
    <w:bookmarkEnd w:id="62"/>
    <w:bookmarkStart w:id="69" w:name="X41dc625c82271d08baffe9dc28efdf0c85aba5e"/>
    <w:p>
      <w:pPr>
        <w:pStyle w:val="Heading2"/>
      </w:pPr>
      <w:r>
        <w:t xml:space="preserve">5.6 Transport parameters and effect of composition</w:t>
      </w:r>
    </w:p>
    <w:p>
      <w:pPr>
        <w:pStyle w:val="FirstParagraph"/>
      </w:pPr>
      <w:r>
        <w:t xml:space="preserve">Figure 8 compares the parameters predicted by the PENN from composition alone with the classical per-mix fits. The reference diffusivities agree closely (mean absolute difference 0.025 decade,</w:t>
      </w:r>
      <w:r>
        <w:t xml:space="preserve"> </w:t>
      </w:r>
      <m:oMath>
        <m:r>
          <m:t>r</m:t>
        </m:r>
      </m:oMath>
      <w:r>
        <w:t xml:space="preserve"> </w:t>
      </w:r>
      <w:r>
        <w:t xml:space="preserve">= 0.99). The permeabilities follow the same overall trend with w/b but over a narrower range (10</w:t>
      </w:r>
      <w:r>
        <w:rPr>
          <w:vertAlign w:val="superscript"/>
        </w:rPr>
        <w:t xml:space="preserve">−19.82</w:t>
      </w:r>
      <w:r>
        <w:t xml:space="preserve"> </w:t>
      </w:r>
      <w:r>
        <w:t xml:space="preserve">to 10</w:t>
      </w:r>
      <w:r>
        <w:rPr>
          <w:vertAlign w:val="superscript"/>
        </w:rPr>
        <w:t xml:space="preserve">−19.52</w:t>
      </w:r>
      <w:r>
        <w:t xml:space="preserve"> </w:t>
      </w:r>
      <w:r>
        <w:t xml:space="preserve">m²) and with a weaker mix-to-mix correlation (</w:t>
      </w:r>
      <m:oMath>
        <m:r>
          <m:t>r</m:t>
        </m:r>
      </m:oMath>
      <w:r>
        <w:t xml:space="preserve"> </w:t>
      </w:r>
      <w:r>
        <w:t xml:space="preserve">= 0.48).</w:t>
      </w:r>
      <w:r>
        <w:t xml:space="preserve"> </w:t>
      </w:r>
      <m:oMath>
        <m:sSub>
          <m:e>
            <m:r>
              <m:t>K</m:t>
            </m:r>
          </m:e>
          <m:sub>
            <m:r>
              <m:rPr>
                <m:nor/>
              </m:rPr>
              <m:t>int</m:t>
            </m:r>
          </m:sub>
        </m:sSub>
      </m:oMath>
      <w:r>
        <w:t xml:space="preserve"> </w:t>
      </w:r>
      <w:r>
        <w:t xml:space="preserve">is the less constrained of the two parameters, and the composition map smooths its scatter. The spread across random seeds is negligible (0.001 decade for</w:t>
      </w:r>
      <w:r>
        <w:t xml:space="preserve"> </w:t>
      </w:r>
      <m:oMath>
        <m:sSub>
          <m:e>
            <m:r>
              <m:t>D</m:t>
            </m:r>
          </m:e>
          <m:sub>
            <m:r>
              <m:t>v</m:t>
            </m:r>
          </m:sub>
        </m:sSub>
      </m:oMath>
      <w:r>
        <w:t xml:space="preserve">, 0.003 for</w:t>
      </w:r>
      <w:r>
        <w:t xml:space="preserve"> </w:t>
      </w:r>
      <m:oMath>
        <m:sSub>
          <m:e>
            <m:r>
              <m:t>K</m:t>
            </m:r>
          </m:e>
          <m:sub>
            <m:r>
              <m:rPr>
                <m:nor/>
              </m:rPr>
              <m:t>int</m:t>
            </m:r>
          </m:sub>
        </m:sSub>
      </m:oMath>
      <w:r>
        <w:t xml:space="preserve">).</w:t>
      </w:r>
    </w:p>
    <w:p>
      <w:pPr>
        <w:pStyle w:val="BodyText"/>
      </w:pPr>
      <w:r>
        <w:t xml:space="preserve">Both parameters increase with w/b. For plain concrete,</w:t>
      </w:r>
      <w:r>
        <w:t xml:space="preserve"> </w:t>
      </w:r>
      <m:oMath>
        <m:sSub>
          <m:e>
            <m:r>
              <m:t>D</m:t>
            </m:r>
          </m:e>
          <m:sub>
            <m:r>
              <m:t>v</m:t>
            </m:r>
          </m:sub>
        </m:sSub>
      </m:oMath>
      <w:r>
        <w:t xml:space="preserve"> </w:t>
      </w:r>
      <w:r>
        <w:t xml:space="preserve">rises from 10</w:t>
      </w:r>
      <w:r>
        <w:rPr>
          <w:vertAlign w:val="superscript"/>
        </w:rPr>
        <w:t xml:space="preserve">−8.76</w:t>
      </w:r>
      <w:r>
        <w:t xml:space="preserve"> </w:t>
      </w:r>
      <w:r>
        <w:t xml:space="preserve">to 10</w:t>
      </w:r>
      <w:r>
        <w:rPr>
          <w:vertAlign w:val="superscript"/>
        </w:rPr>
        <w:t xml:space="preserve">−8.36</w:t>
      </w:r>
      <w:r>
        <w:t xml:space="preserve"> </w:t>
      </w:r>
      <w:r>
        <w:t xml:space="preserve">m²/s between w/b = 0.3 and 0.5, consistent with the coarser and better connected capillary porosity of high-w/b pastes [1, 3]. At a given w/b, all SCMs lower</w:t>
      </w:r>
      <w:r>
        <w:t xml:space="preserve"> </w:t>
      </w:r>
      <m:oMath>
        <m:sSub>
          <m:e>
            <m:r>
              <m:t>D</m:t>
            </m:r>
          </m:e>
          <m:sub>
            <m:r>
              <m:t>v</m:t>
            </m:r>
          </m:sub>
        </m:sSub>
      </m:oMath>
      <w:r>
        <w:t xml:space="preserve">. The effect is largest for 40% fly ash, whose reference diffusivity at w/b = 0.3 (10</w:t>
      </w:r>
      <w:r>
        <w:rPr>
          <w:vertAlign w:val="superscript"/>
        </w:rPr>
        <w:t xml:space="preserve">−9.15</w:t>
      </w:r>
      <w:r>
        <w:t xml:space="preserve"> </w:t>
      </w:r>
      <w:r>
        <w:t xml:space="preserve">m²/s) is 2.5 times lower than that of plain concrete, followed by the 20% + 20% ternary blend and 20% fly ash; slag reduces</w:t>
      </w:r>
      <w:r>
        <w:t xml:space="preserve"> </w:t>
      </w:r>
      <m:oMath>
        <m:sSub>
          <m:e>
            <m:r>
              <m:t>D</m:t>
            </m:r>
          </m:e>
          <m:sub>
            <m:r>
              <m:t>v</m:t>
            </m:r>
          </m:sub>
        </m:sSub>
      </m:oMath>
      <w:r>
        <w:t xml:space="preserve"> </w:t>
      </w:r>
      <w:r>
        <w:t xml:space="preserve">less, and 20% slag least. This ranking agrees with the pore refinement produced by the pozzolanic and latent hydraulic reactions [1].</w:t>
      </w:r>
    </w:p>
    <w:p>
      <w:pPr>
        <w:pStyle w:val="BodyText"/>
      </w:pPr>
      <w:r>
        <w:t xml:space="preserve">The diffusivity varies by about an order of magnitude with saturation (Fig. 9). It lies between 4 × 10</w:t>
      </w:r>
      <w:r>
        <w:rPr>
          <w:vertAlign w:val="superscript"/>
        </w:rPr>
        <w:t xml:space="preserve">−11</w:t>
      </w:r>
      <w:r>
        <w:t xml:space="preserve"> </w:t>
      </w:r>
      <w:r>
        <w:t xml:space="preserve">and 2 × 10</w:t>
      </w:r>
      <w:r>
        <w:rPr>
          <w:vertAlign w:val="superscript"/>
        </w:rPr>
        <w:t xml:space="preserve">−10</w:t>
      </w:r>
      <w:r>
        <w:t xml:space="preserve"> </w:t>
      </w:r>
      <w:r>
        <w:t xml:space="preserve">m²/s in the dry, vapour-dominated range and reaches 7 × 10</w:t>
      </w:r>
      <w:r>
        <w:rPr>
          <w:vertAlign w:val="superscript"/>
        </w:rPr>
        <w:t xml:space="preserve">−10</w:t>
      </w:r>
      <w:r>
        <w:t xml:space="preserve"> </w:t>
      </w:r>
      <w:r>
        <w:t xml:space="preserve">to 2 × 10</w:t>
      </w:r>
      <w:r>
        <w:rPr>
          <w:vertAlign w:val="superscript"/>
        </w:rPr>
        <w:t xml:space="preserve">−9</w:t>
      </w:r>
      <w:r>
        <w:t xml:space="preserve"> </w:t>
      </w:r>
      <w:r>
        <w:t xml:space="preserve">m²/s near</w:t>
      </w:r>
      <w:r>
        <w:t xml:space="preserve"> </w:t>
      </w:r>
      <m:oMath>
        <m:r>
          <m:t>S</m:t>
        </m:r>
      </m:oMath>
      <w:r>
        <w:t xml:space="preserve"> </w:t>
      </w:r>
      <w:r>
        <w:t xml:space="preserve">= 0.79, where capillary transport takes over. The position of the transition is set by</w:t>
      </w:r>
      <w:r>
        <w:t xml:space="preserve"> </w:t>
      </w:r>
      <m:oMath>
        <m:sSub>
          <m:e>
            <m:r>
              <m:t>S</m:t>
            </m:r>
          </m:e>
          <m:sub>
            <m:r>
              <m:rPr>
                <m:nor/>
              </m:rPr>
              <m:t>cap</m:t>
            </m:r>
          </m:sub>
        </m:sSub>
      </m:oMath>
      <w:r>
        <w:t xml:space="preserve"> </w:t>
      </w:r>
      <w:r>
        <w:t xml:space="preserve">in the model of Chen et al. [6] and is not identified from the data.</w:t>
      </w:r>
    </w:p>
    <w:p>
      <w:pPr>
        <w:pStyle w:val="CaptionedFigure"/>
      </w:pPr>
      <w:r>
        <w:drawing>
          <wp:inline>
            <wp:extent cx="5334000" cy="2709333"/>
            <wp:effectExtent b="0" l="0" r="0" t="0"/>
            <wp:docPr descr="Fig. 8. Transport parameters against w/b: (a) reference diffusivity D_v and (b) intrinsic permeability K_{\text{int}}. Filled symbols: PENN predictions from composition (error bars: standard deviation over seeds). Open symbols: classical per-mix fits (error bars: standard errors)." title="" id="64" name="Picture"/>
            <a:graphic>
              <a:graphicData uri="http://schemas.openxmlformats.org/drawingml/2006/picture">
                <pic:pic>
                  <pic:nvPicPr>
                    <pic:cNvPr descr="fig3/fig_parameters.png" id="65" name="Picture"/>
                    <pic:cNvPicPr>
                      <a:picLocks noChangeArrowheads="1" noChangeAspect="1"/>
                    </pic:cNvPicPr>
                  </pic:nvPicPr>
                  <pic:blipFill>
                    <a:blip r:embed="rId63"/>
                    <a:stretch>
                      <a:fillRect/>
                    </a:stretch>
                  </pic:blipFill>
                  <pic:spPr bwMode="auto">
                    <a:xfrm>
                      <a:off x="0" y="0"/>
                      <a:ext cx="5334000" cy="2709333"/>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Transport parameters against w/b: (a) reference diffusivity</w:t>
      </w:r>
      <w:r>
        <w:t xml:space="preserve"> </w:t>
      </w:r>
      <m:oMath>
        <m:sSub>
          <m:e>
            <m:r>
              <m:t>D</m:t>
            </m:r>
          </m:e>
          <m:sub>
            <m:r>
              <m:t>v</m:t>
            </m:r>
          </m:sub>
        </m:sSub>
      </m:oMath>
      <w:r>
        <w:t xml:space="preserve"> </w:t>
      </w:r>
      <w:r>
        <w:t xml:space="preserve">and (b) intrinsic permeability</w:t>
      </w:r>
      <w:r>
        <w:t xml:space="preserve"> </w:t>
      </w:r>
      <m:oMath>
        <m:sSub>
          <m:e>
            <m:r>
              <m:t>K</m:t>
            </m:r>
          </m:e>
          <m:sub>
            <m:r>
              <m:rPr>
                <m:nor/>
              </m:rPr>
              <m:t>int</m:t>
            </m:r>
          </m:sub>
        </m:sSub>
      </m:oMath>
      <w:r>
        <w:t xml:space="preserve">. Filled symbols: PENN predictions from composition (error bars: standard deviation over seeds). Open symbols: classical per-mix fits (error bars: standard errors).</w:t>
      </w:r>
    </w:p>
    <w:p>
      <w:pPr>
        <w:pStyle w:val="CaptionedFigure"/>
      </w:pPr>
      <w:r>
        <w:drawing>
          <wp:inline>
            <wp:extent cx="5334000" cy="2352905"/>
            <wp:effectExtent b="0" l="0" r="0" t="0"/>
            <wp:docPr descr="Fig. 9. Diffusivity predicted by the PENN: (a) vapour and capillary contributions for the withheld mix C-0.4; (b) effect of w/b and fly ash." title="" id="67" name="Picture"/>
            <a:graphic>
              <a:graphicData uri="http://schemas.openxmlformats.org/drawingml/2006/picture">
                <pic:pic>
                  <pic:nvPicPr>
                    <pic:cNvPr descr="fig3/fig_diffusivity.png" id="68" name="Picture"/>
                    <pic:cNvPicPr>
                      <a:picLocks noChangeArrowheads="1" noChangeAspect="1"/>
                    </pic:cNvPicPr>
                  </pic:nvPicPr>
                  <pic:blipFill>
                    <a:blip r:embed="rId66"/>
                    <a:stretch>
                      <a:fillRect/>
                    </a:stretch>
                  </pic:blipFill>
                  <pic:spPr bwMode="auto">
                    <a:xfrm>
                      <a:off x="0" y="0"/>
                      <a:ext cx="5334000" cy="2352905"/>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Diffusivity predicted by the PENN: (a) vapour and capillary contributions for the withheld mix C-0.4; (b) effect of w/b and fly ash.</w:t>
      </w:r>
    </w:p>
    <w:bookmarkEnd w:id="69"/>
    <w:bookmarkStart w:id="73" w:name="internal-saturation-fields"/>
    <w:p>
      <w:pPr>
        <w:pStyle w:val="Heading2"/>
      </w:pPr>
      <w:r>
        <w:t xml:space="preserve">5.7 Internal saturation fields</w:t>
      </w:r>
    </w:p>
    <w:p>
      <w:pPr>
        <w:pStyle w:val="FirstParagraph"/>
      </w:pPr>
      <w:r>
        <w:t xml:space="preserve">Since the PENN runs the transport model, the saturation field inside the disc comes with every prediction (Fig. 10). After one day, a dry layer a few millimetres thick has formed along the exposed faces, while the centre is still almost saturated (S = 0.97 for C-0.4). Drying then proceeds from the edge and the faces towards the centre, and the corner region dries first. The centre falls below S = 0.5 after about 14 days for C-0.4, 18 days for S40-0.4 and 35 days for F20-0.3, which shows how strongly fly ash slows internal drying even when the average curves look similar at early ages. Such fields are what durability models need as initial conditions for chloride ingress or carbonation, and they are obtained here from a mass-loss test.</w:t>
      </w:r>
    </w:p>
    <w:p>
      <w:pPr>
        <w:pStyle w:val="CaptionedFigure"/>
      </w:pPr>
      <w:r>
        <w:drawing>
          <wp:inline>
            <wp:extent cx="5334000" cy="2531343"/>
            <wp:effectExtent b="0" l="0" r="0" t="0"/>
            <wp:docPr descr="Fig. 10. Saturation in the disc (one quarter of the cross-section; drying faces at the top and right) predicted by the PENN for the withheld mixes C-0.4 and F20-0.3 after 1, 7 and 28 days. Contours: S = 0.75 (solid), 0.50 (dashed) and 0.25 (dotted)." title="" id="71" name="Picture"/>
            <a:graphic>
              <a:graphicData uri="http://schemas.openxmlformats.org/drawingml/2006/picture">
                <pic:pic>
                  <pic:nvPicPr>
                    <pic:cNvPr descr="fig3/fig_fields.png" id="72" name="Picture"/>
                    <pic:cNvPicPr>
                      <a:picLocks noChangeArrowheads="1" noChangeAspect="1"/>
                    </pic:cNvPicPr>
                  </pic:nvPicPr>
                  <pic:blipFill>
                    <a:blip r:embed="rId70"/>
                    <a:stretch>
                      <a:fillRect/>
                    </a:stretch>
                  </pic:blipFill>
                  <pic:spPr bwMode="auto">
                    <a:xfrm>
                      <a:off x="0" y="0"/>
                      <a:ext cx="5334000" cy="2531343"/>
                    </a:xfrm>
                    <a:prstGeom prst="rect">
                      <a:avLst/>
                    </a:prstGeom>
                    <a:noFill/>
                    <a:ln w="9525">
                      <a:noFill/>
                      <a:headEnd/>
                      <a:tailEnd/>
                    </a:ln>
                  </pic:spPr>
                </pic:pic>
              </a:graphicData>
            </a:graphic>
          </wp:inline>
        </w:drawing>
      </w:r>
    </w:p>
    <w:p>
      <w:pPr>
        <w:pStyle w:val="ImageCaption"/>
      </w:pPr>
      <w:r>
        <w:rPr>
          <w:bCs/>
          <w:b/>
        </w:rPr>
        <w:t xml:space="preserve">Fig. 10.</w:t>
      </w:r>
      <w:r>
        <w:t xml:space="preserve"> </w:t>
      </w:r>
      <w:r>
        <w:t xml:space="preserve">Saturation in the disc (one quarter of the cross-section; drying faces at the top and right) predicted by the PENN for the withheld mixes C-0.4 and F20-0.3 after 1, 7 and 28 days. Contours:</w:t>
      </w:r>
      <w:r>
        <w:t xml:space="preserve"> </w:t>
      </w:r>
      <m:oMath>
        <m:r>
          <m:t>S</m:t>
        </m:r>
      </m:oMath>
      <w:r>
        <w:t xml:space="preserve"> </w:t>
      </w:r>
      <w:r>
        <w:t xml:space="preserve">= 0.75 (solid), 0.50 (dashed) and 0.25 (dotted).</w:t>
      </w:r>
    </w:p>
    <w:bookmarkEnd w:id="73"/>
    <w:bookmarkEnd w:id="74"/>
    <w:bookmarkStart w:id="77" w:name="discussion"/>
    <w:p>
      <w:pPr>
        <w:pStyle w:val="Heading1"/>
      </w:pPr>
      <w:r>
        <w:t xml:space="preserve">6 Discussion</w:t>
      </w:r>
    </w:p>
    <w:bookmarkStart w:id="75" w:name="embedding-versus-penalising-the-physics"/>
    <w:p>
      <w:pPr>
        <w:pStyle w:val="Heading2"/>
      </w:pPr>
      <w:r>
        <w:t xml:space="preserve">6.1 Embedding versus penalising the physics</w:t>
      </w:r>
    </w:p>
    <w:p>
      <w:pPr>
        <w:pStyle w:val="FirstParagraph"/>
      </w:pPr>
      <w:r>
        <w:t xml:space="preserve">The results separate two things that are easily conflated: fitting drying curves and identifying physically meaningful parameters. All the methods fit the training data, and those that contain the physics also predict new mixes well. Only the methods that actually solve the transport equation, however, return parameters that reproduce the data when used in an independent model. In a PINN the governing equation is a soft constraint, weighted against the data and weakest where the solution is steepest; for drying concrete this is the early capillary stage, which is precisely where the permeability acts. A PINN can be a useful surrogate of the curves, but its parameters should not be reported without a solver check such as Fig. 7. We would recommend this check for any study that identifies material parameters with PINNs.</w:t>
      </w:r>
    </w:p>
    <w:p>
      <w:pPr>
        <w:pStyle w:val="BodyText"/>
      </w:pPr>
      <w:r>
        <w:t xml:space="preserve">The PENN matches the accuracy of classical identification while removing its main practical drawback. A single model covers the whole composition space, a new mix requires one evaluation of the network instead of a new test and inverse analysis, and the composition map can be extended to further descriptors (curing age, porosity, binder chemistry) without changing the solver. Where it differs most from a purely data-driven model is extrapolation: when a binder family is missing from the training data, the solver constrains the prediction and the error stays small, whereas the data-driven network can fail badly. The tabulated solver also makes training very fast. The two-parameter structure that permits tabulation is a consequence of the identifiability analysis rather than an arbitrary simplification.</w:t>
      </w:r>
    </w:p>
    <w:bookmarkEnd w:id="75"/>
    <w:bookmarkStart w:id="76" w:name="limitations"/>
    <w:p>
      <w:pPr>
        <w:pStyle w:val="Heading2"/>
      </w:pPr>
      <w:r>
        <w:t xml:space="preserve">6.2 Limitations</w:t>
      </w:r>
    </w:p>
    <w:p>
      <w:pPr>
        <w:pStyle w:val="FirstParagraph"/>
      </w:pPr>
      <w:r>
        <w:t xml:space="preserve">The identified parameters are effective values of an isothermal model with fixed constants. In particular,</w:t>
      </w:r>
      <w:r>
        <w:t xml:space="preserve"> </w:t>
      </w:r>
      <m:oMath>
        <m:sSub>
          <m:e>
            <m:r>
              <m:t>D</m:t>
            </m:r>
          </m:e>
          <m:sub>
            <m:r>
              <m:t>v</m:t>
            </m:r>
          </m:sub>
        </m:sSub>
      </m:oMath>
      <w:r>
        <w:t xml:space="preserve"> </w:t>
      </w:r>
      <w:r>
        <w:t xml:space="preserve">is conditional on</w:t>
      </w:r>
      <w:r>
        <w:t xml:space="preserve"> </w:t>
      </w:r>
      <m:oMath>
        <m:sSub>
          <m:e>
            <m:r>
              <m:t>α</m:t>
            </m:r>
          </m:e>
          <m:sub>
            <m:r>
              <m:t>0</m:t>
            </m:r>
          </m:sub>
        </m:sSub>
      </m:oMath>
      <w:r>
        <w:t xml:space="preserve">, and the regime transition is imposed through</w:t>
      </w:r>
      <w:r>
        <w:t xml:space="preserve"> </w:t>
      </w:r>
      <m:oMath>
        <m:sSub>
          <m:e>
            <m:r>
              <m:t>S</m:t>
            </m:r>
          </m:e>
          <m:sub>
            <m:r>
              <m:rPr>
                <m:nor/>
              </m:rPr>
              <m:t>cap</m:t>
            </m:r>
          </m:sub>
        </m:sSub>
      </m:oMath>
      <w:r>
        <w:t xml:space="preserve">; the parameters should not be read as intrinsic properties without independent measurements. Only two parameters per mix can be identified from average-saturation curves, so richer descriptions of the pore structure would need additional data such as sorption isotherms or internal humidity measurements. The database comes from one laboratory and one drying condition, the curves were digitised from published figures, and the w/b = 0.6 mixes had to be excluded. Finally, the internal saturation fields are model predictions and have not been compared with direct measurements, for example by gamma-ray attenuation or NMR.</w:t>
      </w:r>
    </w:p>
    <w:bookmarkEnd w:id="76"/>
    <w:bookmarkEnd w:id="77"/>
    <w:bookmarkStart w:id="78" w:name="conclusions"/>
    <w:p>
      <w:pPr>
        <w:pStyle w:val="Heading1"/>
      </w:pPr>
      <w:r>
        <w:t xml:space="preserve">7 Conclusions</w:t>
      </w:r>
    </w:p>
    <w:p>
      <w:pPr>
        <w:pStyle w:val="FirstParagraph"/>
      </w:pPr>
      <w:r>
        <w:t xml:space="preserve">A physics-embedded neural network was developed to predict the moisture transport parameters of concrete from mix composition and was compared with classical identification, a data-driven network and a physics-informed neural network. The main conclusions are:</w:t>
      </w:r>
    </w:p>
    <w:p>
      <w:pPr>
        <w:pStyle w:val="Compact"/>
        <w:numPr>
          <w:ilvl w:val="0"/>
          <w:numId w:val="1004"/>
        </w:numPr>
      </w:pPr>
      <w:r>
        <w:t xml:space="preserve">Average-saturation curves identify only two transport parameters per mix, the reference diffusivity and the intrinsic permeability. The specimen geometry must be modelled explicitly: an equivalent slab biases these parameters by up to 0.55 decade.</w:t>
      </w:r>
    </w:p>
    <w:p>
      <w:pPr>
        <w:pStyle w:val="Compact"/>
        <w:numPr>
          <w:ilvl w:val="0"/>
          <w:numId w:val="1004"/>
        </w:numPr>
      </w:pPr>
      <w:r>
        <w:t xml:space="preserve">Trained through a transport solver, the PENN predicts the drying of withheld mixes with</w:t>
      </w:r>
      <w:r>
        <w:t xml:space="preserve"> </w:t>
      </w:r>
      <m:oMath>
        <m:sSup>
          <m:e>
            <m:r>
              <m:t>R</m:t>
            </m:r>
          </m:e>
          <m:sup>
            <m:r>
              <m:t>2</m:t>
            </m:r>
          </m:sup>
        </m:sSup>
      </m:oMath>
      <w:r>
        <w:t xml:space="preserve"> </w:t>
      </w:r>
      <w:r>
        <w:t xml:space="preserve">= 0.9931, a 32% lower error than a data-driven network, and matches classical identification with composition regression. It remains accurate when a whole binder family is withheld (</w:t>
      </w:r>
      <m:oMath>
        <m:sSup>
          <m:e>
            <m:r>
              <m:t>R</m:t>
            </m:r>
          </m:e>
          <m:sup>
            <m:r>
              <m:t>2</m:t>
            </m:r>
          </m:sup>
        </m:sSup>
      </m:oMath>
      <w:r>
        <w:t xml:space="preserve"> </w:t>
      </w:r>
      <w:r>
        <w:t xml:space="preserve">≥ 0.968 for every mix), whereas the data-driven network does not.</w:t>
      </w:r>
    </w:p>
    <w:p>
      <w:pPr>
        <w:pStyle w:val="Compact"/>
        <w:numPr>
          <w:ilvl w:val="0"/>
          <w:numId w:val="1004"/>
        </w:numPr>
      </w:pPr>
      <w:r>
        <w:t xml:space="preserve">The PENN is insensitive to noise in the training data, and its parameters satisfy the transport equation by construction. A PINN trained on the same data fits the curves, but its parameters fail an independent solver check (</w:t>
      </w:r>
      <m:oMath>
        <m:sSup>
          <m:e>
            <m:r>
              <m:t>R</m:t>
            </m:r>
          </m:e>
          <m:sup>
            <m:r>
              <m:t>2</m:t>
            </m:r>
          </m:sup>
        </m:sSup>
      </m:oMath>
      <w:r>
        <w:t xml:space="preserve"> </w:t>
      </w:r>
      <w:r>
        <w:t xml:space="preserve">= 0.860), with permeabilities about one order of magnitude too low.</w:t>
      </w:r>
    </w:p>
    <w:p>
      <w:pPr>
        <w:pStyle w:val="Compact"/>
        <w:numPr>
          <w:ilvl w:val="0"/>
          <w:numId w:val="1004"/>
        </w:numPr>
      </w:pPr>
      <w:r>
        <w:t xml:space="preserve">The predicted parameters increase with w/b and decrease with SCM content, most strongly for 40% fly ash, in agreement with the known effect of these materials on pore structure. The model also yields the internal saturation field, which can serve as input to durability models.</w:t>
      </w:r>
    </w:p>
    <w:p>
      <w:pPr>
        <w:pStyle w:val="FirstParagraph"/>
      </w:pPr>
      <w:r>
        <w:t xml:space="preserve">The absorption tests available for the same mixes offer an independent validation of the identified parameters and will be used in future work, together with wetting–drying cycles, uncertainty quantification [31] and coupling with chloride transport [11].</w:t>
      </w:r>
    </w:p>
    <w:bookmarkEnd w:id="78"/>
    <w:bookmarkStart w:id="79" w:name="declarations"/>
    <w:p>
      <w:pPr>
        <w:pStyle w:val="Heading1"/>
      </w:pPr>
      <w:r>
        <w:t xml:space="preserve">Declarations</w:t>
      </w:r>
    </w:p>
    <w:p>
      <w:pPr>
        <w:pStyle w:val="FirstParagraph"/>
      </w:pPr>
      <w:r>
        <w:rPr>
          <w:bCs/>
          <w:b/>
        </w:rPr>
        <w:t xml:space="preserve">CRediT authorship contribution statement.</w:t>
      </w:r>
      <w:r>
        <w:t xml:space="preserve"> </w:t>
      </w:r>
      <w:r>
        <w:t xml:space="preserve">Abderrahmane Sghuri: Conceptualization, Methodology, Software, Formal analysis, Visualization, Writing – original draft. Xuande Chen: Conceptualization, Supervision, Validation, Writing – review &amp; editing, Funding acquisition. Xiaodong Wang:</w:t>
      </w:r>
      <w:r>
        <w:t xml:space="preserve"> </w:t>
      </w:r>
      <w:r>
        <w:rPr>
          <w:rStyle w:val="ToUpdate"/>
          <w:highlight w:val="yellow"/>
        </w:rPr>
        <w:t xml:space="preserve">[…]</w:t>
      </w:r>
      <w:r>
        <w:t xml:space="preserve">.</w:t>
      </w:r>
    </w:p>
    <w:p>
      <w:pPr>
        <w:pStyle w:val="BodyText"/>
      </w:pPr>
      <w:r>
        <w:rPr>
          <w:bCs/>
          <w:b/>
        </w:rPr>
        <w:t xml:space="preserve">Data and code availability.</w:t>
      </w:r>
      <w:r>
        <w:t xml:space="preserve"> </w:t>
      </w:r>
      <w:r>
        <w:t xml:space="preserve">The experimental data are those of Zhuang et al. [8]. The digitised and cleaned data and the code that produces every result, table and figure of this paper are available at https://github.com/Abderahmane2002/hybrid-pinn-lstm-concrete</w:t>
      </w:r>
      <w:r>
        <w:t xml:space="preserve"> </w:t>
      </w:r>
      <w:r>
        <w:rPr>
          <w:rStyle w:val="ToUpdate"/>
          <w:highlight w:val="yellow"/>
        </w:rPr>
        <w:t xml:space="preserve">[archive a release on Zenodo and cite its DOI]</w:t>
      </w:r>
      <w:r>
        <w:t xml:space="preserve">.</w:t>
      </w:r>
    </w:p>
    <w:p>
      <w:pPr>
        <w:pStyle w:val="BodyText"/>
      </w:pPr>
      <w:r>
        <w:rPr>
          <w:bCs/>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Cs/>
          <w:b/>
        </w:rPr>
        <w:t xml:space="preserve">Funding.</w:t>
      </w:r>
      <w:r>
        <w:t xml:space="preserve"> </w:t>
      </w:r>
      <w:r>
        <w:rPr>
          <w:rStyle w:val="ToUpdate"/>
          <w:highlight w:val="yellow"/>
        </w:rPr>
        <w:t xml:space="preserve">[Funding agency and grant number]</w:t>
      </w:r>
    </w:p>
    <w:p>
      <w:pPr>
        <w:pStyle w:val="BodyText"/>
      </w:pPr>
      <w:r>
        <w:rPr>
          <w:bCs/>
          <w:b/>
        </w:rPr>
        <w:t xml:space="preserve">Declaration of generative AI use.</w:t>
      </w:r>
      <w:r>
        <w:t xml:space="preserve"> </w:t>
      </w:r>
      <w:r>
        <w:rPr>
          <w:rStyle w:val="ToUpdate"/>
          <w:highlight w:val="yellow"/>
        </w:rPr>
        <w:t xml:space="preserve">[Elsevier requires authors to disclose the use of generative AI tools in preparing the manuscript or code; state the tool and its purpose here.]</w:t>
      </w:r>
    </w:p>
    <w:bookmarkEnd w:id="79"/>
    <w:bookmarkStart w:id="80" w:name="appendix-a.-numerical-verification"/>
    <w:p>
      <w:pPr>
        <w:pStyle w:val="Heading1"/>
      </w:pPr>
      <w:r>
        <w:t xml:space="preserve">Appendix A. Numerical verification</w:t>
      </w:r>
    </w:p>
    <w:p>
      <w:pPr>
        <w:pStyle w:val="TableCaption"/>
      </w:pPr>
      <w:r>
        <w:rPr>
          <w:bCs/>
          <w:b/>
        </w:rPr>
        <w:t xml:space="preserve">Table A.1.</w:t>
      </w:r>
      <w:r>
        <w:t xml:space="preserve"> </w:t>
      </w:r>
      <w:r>
        <w:t xml:space="preserve">Verification of the solvers: maximum error in</w:t>
      </w:r>
      <w:r>
        <w:t xml:space="preserve"> </w:t>
      </w:r>
      <m:oMath>
        <m:sSub>
          <m:e>
            <m:r>
              <m:t>S</m:t>
            </m:r>
          </m:e>
          <m:sub>
            <m:r>
              <m:rPr>
                <m:nor/>
              </m:rPr>
              <m:t>avg</m:t>
            </m:r>
          </m:sub>
        </m:sSub>
      </m:oMath>
      <w:r>
        <w:t xml:space="preserve"> </w:t>
      </w:r>
      <w:r>
        <w:t xml:space="preserve">between 0.25 and 90 days for three representative parameter sets, against a fine reference solution (640 cells for the slab solver, a 160-cell BDF solution for the differentiable solver, 96 × 64 cells for the disc).</w:t>
      </w:r>
    </w:p>
    <w:tbl>
      <w:tblPr>
        <w:tblStyle w:val="Table"/>
        <w:tblW w:type="auto" w:w="0"/>
        <w:jc w:val="center"/>
        <w:tblLook w:firstRow="1" w:lastRow="0" w:firstColumn="0" w:lastColumn="0" w:noHBand="0" w:noVBand="0" w:val="0020"/>
        <w:tblCaption w:val="Table A.1. Verification of the solvers: maximum error in S_{\text{avg}} between 0.25 and 90 days for three representative parameter sets, against a fine reference solution (640 cells for the slab solver, a 160-cell BDF solution for the differentiable solver, 96 × 64 cells for the disc)."/>
      </w:tblPr>
      <w:tblGrid>
        <w:gridCol w:w="2640"/>
        <w:gridCol w:w="2640"/>
        <w:gridCol w:w="2640"/>
      </w:tblGrid>
      <w:tr>
        <w:trPr>
          <w:tblHeader w:val="true"/>
        </w:trPr>
        <w:tc>
          <w:tcPr/>
          <w:p>
            <w:pPr>
              <w:pStyle w:val="Compact"/>
              <w:jc w:val="left"/>
            </w:pPr>
            <w:r>
              <w:t xml:space="preserve">Check</w:t>
            </w:r>
          </w:p>
        </w:tc>
        <w:tc>
          <w:tcPr/>
          <w:p>
            <w:pPr>
              <w:pStyle w:val="Compact"/>
              <w:jc w:val="left"/>
            </w:pPr>
            <w:r>
              <w:t xml:space="preserve">Setting</w:t>
            </w:r>
          </w:p>
        </w:tc>
        <w:tc>
          <w:tcPr/>
          <w:p>
            <w:pPr>
              <w:pStyle w:val="Compact"/>
              <w:jc w:val="center"/>
            </w:pPr>
            <w:r>
              <w:t xml:space="preserve">Max. error in</w:t>
            </w:r>
            <w:r>
              <w:t xml:space="preserve"> </w:t>
            </w:r>
            <m:oMath>
              <m:sSub>
                <m:e>
                  <m:r>
                    <m:t>S</m:t>
                  </m:r>
                </m:e>
                <m:sub>
                  <m:r>
                    <m:rPr>
                      <m:nor/>
                    </m:rPr>
                    <m:t>avg</m:t>
                  </m:r>
                </m:sub>
              </m:sSub>
            </m:oMath>
          </w:p>
        </w:tc>
      </w:tr>
      <w:tr>
        <w:tc>
          <w:tcPr/>
          <w:p>
            <w:pPr>
              <w:pStyle w:val="Compact"/>
              <w:jc w:val="left"/>
            </w:pPr>
            <w:r>
              <w:t xml:space="preserve">1D finite-volume solver (BDF)</w:t>
            </w:r>
          </w:p>
        </w:tc>
        <w:tc>
          <w:tcPr/>
          <w:p>
            <w:pPr>
              <w:pStyle w:val="Compact"/>
              <w:jc w:val="left"/>
            </w:pPr>
            <w:r>
              <w:t xml:space="preserve">20 cells</w:t>
            </w:r>
          </w:p>
        </w:tc>
        <w:tc>
          <w:tcPr/>
          <w:p>
            <w:pPr>
              <w:pStyle w:val="Compact"/>
              <w:jc w:val="center"/>
            </w:pPr>
            <w:r>
              <w:t xml:space="preserve">1.4 × 10</w:t>
            </w:r>
            <w:r>
              <w:rPr>
                <w:vertAlign w:val="superscript"/>
              </w:rPr>
              <w:t xml:space="preserve">−3</w:t>
            </w:r>
          </w:p>
        </w:tc>
      </w:tr>
      <w:tr>
        <w:tc>
          <w:tcPr/>
          <w:p>
            <w:pPr>
              <w:pStyle w:val="Compact"/>
              <w:jc w:val="left"/>
            </w:pPr>
            <w:r>
              <w:t xml:space="preserve">1D finite-volume solver (BDF)</w:t>
            </w:r>
          </w:p>
        </w:tc>
        <w:tc>
          <w:tcPr/>
          <w:p>
            <w:pPr>
              <w:pStyle w:val="Compact"/>
              <w:jc w:val="left"/>
            </w:pPr>
            <w:r>
              <w:t xml:space="preserve">40 cells</w:t>
            </w:r>
          </w:p>
        </w:tc>
        <w:tc>
          <w:tcPr/>
          <w:p>
            <w:pPr>
              <w:pStyle w:val="Compact"/>
              <w:jc w:val="center"/>
            </w:pPr>
            <w:r>
              <w:t xml:space="preserve">3.4 × 10</w:t>
            </w:r>
            <w:r>
              <w:rPr>
                <w:vertAlign w:val="superscript"/>
              </w:rPr>
              <w:t xml:space="preserve">−4</w:t>
            </w:r>
          </w:p>
        </w:tc>
      </w:tr>
      <w:tr>
        <w:tc>
          <w:tcPr/>
          <w:p>
            <w:pPr>
              <w:pStyle w:val="Compact"/>
              <w:jc w:val="left"/>
            </w:pPr>
            <w:r>
              <w:t xml:space="preserve">1D finite-volume solver (BDF)</w:t>
            </w:r>
          </w:p>
        </w:tc>
        <w:tc>
          <w:tcPr/>
          <w:p>
            <w:pPr>
              <w:pStyle w:val="Compact"/>
              <w:jc w:val="left"/>
            </w:pPr>
            <w:r>
              <w:t xml:space="preserve">60 cells</w:t>
            </w:r>
          </w:p>
        </w:tc>
        <w:tc>
          <w:tcPr/>
          <w:p>
            <w:pPr>
              <w:pStyle w:val="Compact"/>
              <w:jc w:val="center"/>
            </w:pPr>
            <w:r>
              <w:t xml:space="preserve">1.5 × 10</w:t>
            </w:r>
            <w:r>
              <w:rPr>
                <w:vertAlign w:val="superscript"/>
              </w:rPr>
              <w:t xml:space="preserve">−4</w:t>
            </w:r>
          </w:p>
        </w:tc>
      </w:tr>
      <w:tr>
        <w:tc>
          <w:tcPr/>
          <w:p>
            <w:pPr>
              <w:pStyle w:val="Compact"/>
              <w:jc w:val="left"/>
            </w:pPr>
            <w:r>
              <w:t xml:space="preserve">1D finite-volume solver (BDF)</w:t>
            </w:r>
          </w:p>
        </w:tc>
        <w:tc>
          <w:tcPr/>
          <w:p>
            <w:pPr>
              <w:pStyle w:val="Compact"/>
              <w:jc w:val="left"/>
            </w:pPr>
            <w:r>
              <w:t xml:space="preserve">80 cells</w:t>
            </w:r>
          </w:p>
        </w:tc>
        <w:tc>
          <w:tcPr/>
          <w:p>
            <w:pPr>
              <w:pStyle w:val="Compact"/>
              <w:jc w:val="center"/>
            </w:pPr>
            <w:r>
              <w:t xml:space="preserve">8.5 × 10</w:t>
            </w:r>
            <w:r>
              <w:rPr>
                <w:vertAlign w:val="superscript"/>
              </w:rPr>
              <w:t xml:space="preserve">−5</w:t>
            </w:r>
          </w:p>
        </w:tc>
      </w:tr>
      <w:tr>
        <w:tc>
          <w:tcPr/>
          <w:p>
            <w:pPr>
              <w:pStyle w:val="Compact"/>
              <w:jc w:val="left"/>
            </w:pPr>
            <w:r>
              <w:t xml:space="preserve">1D finite-volume solver (BDF)</w:t>
            </w:r>
          </w:p>
        </w:tc>
        <w:tc>
          <w:tcPr/>
          <w:p>
            <w:pPr>
              <w:pStyle w:val="Compact"/>
              <w:jc w:val="left"/>
            </w:pPr>
            <w:r>
              <w:t xml:space="preserve">160 cells</w:t>
            </w:r>
          </w:p>
        </w:tc>
        <w:tc>
          <w:tcPr/>
          <w:p>
            <w:pPr>
              <w:pStyle w:val="Compact"/>
              <w:jc w:val="center"/>
            </w:pPr>
            <w:r>
              <w:t xml:space="preserve">2.1 × 10</w:t>
            </w:r>
            <w:r>
              <w:rPr>
                <w:vertAlign w:val="superscript"/>
              </w:rPr>
              <w:t xml:space="preserve">−5</w:t>
            </w:r>
          </w:p>
        </w:tc>
      </w:tr>
      <w:tr>
        <w:tc>
          <w:tcPr/>
          <w:p>
            <w:pPr>
              <w:pStyle w:val="Compact"/>
              <w:jc w:val="left"/>
            </w:pPr>
            <w:r>
              <w:t xml:space="preserve">1D differentiable solver</w:t>
            </w:r>
          </w:p>
        </w:tc>
        <w:tc>
          <w:tcPr/>
          <w:p>
            <w:pPr>
              <w:pStyle w:val="Compact"/>
              <w:jc w:val="left"/>
            </w:pPr>
            <w:r>
              <w:t xml:space="preserve">60 time steps</w:t>
            </w:r>
          </w:p>
        </w:tc>
        <w:tc>
          <w:tcPr/>
          <w:p>
            <w:pPr>
              <w:pStyle w:val="Compact"/>
              <w:jc w:val="center"/>
            </w:pPr>
            <w:r>
              <w:t xml:space="preserve">1.2 × 10</w:t>
            </w:r>
            <w:r>
              <w:rPr>
                <w:vertAlign w:val="superscript"/>
              </w:rPr>
              <w:t xml:space="preserve">−2</w:t>
            </w:r>
          </w:p>
        </w:tc>
      </w:tr>
      <w:tr>
        <w:tc>
          <w:tcPr/>
          <w:p>
            <w:pPr>
              <w:pStyle w:val="Compact"/>
              <w:jc w:val="left"/>
            </w:pPr>
            <w:r>
              <w:t xml:space="preserve">1D differentiable solver</w:t>
            </w:r>
          </w:p>
        </w:tc>
        <w:tc>
          <w:tcPr/>
          <w:p>
            <w:pPr>
              <w:pStyle w:val="Compact"/>
              <w:jc w:val="left"/>
            </w:pPr>
            <w:r>
              <w:t xml:space="preserve">120 time steps</w:t>
            </w:r>
          </w:p>
        </w:tc>
        <w:tc>
          <w:tcPr/>
          <w:p>
            <w:pPr>
              <w:pStyle w:val="Compact"/>
              <w:jc w:val="center"/>
            </w:pPr>
            <w:r>
              <w:t xml:space="preserve">5.9 × 10</w:t>
            </w:r>
            <w:r>
              <w:rPr>
                <w:vertAlign w:val="superscript"/>
              </w:rPr>
              <w:t xml:space="preserve">−3</w:t>
            </w:r>
          </w:p>
        </w:tc>
      </w:tr>
      <w:tr>
        <w:tc>
          <w:tcPr/>
          <w:p>
            <w:pPr>
              <w:pStyle w:val="Compact"/>
              <w:jc w:val="left"/>
            </w:pPr>
            <w:r>
              <w:t xml:space="preserve">1D differentiable solver</w:t>
            </w:r>
          </w:p>
        </w:tc>
        <w:tc>
          <w:tcPr/>
          <w:p>
            <w:pPr>
              <w:pStyle w:val="Compact"/>
              <w:jc w:val="left"/>
            </w:pPr>
            <w:r>
              <w:t xml:space="preserve">240 time steps</w:t>
            </w:r>
          </w:p>
        </w:tc>
        <w:tc>
          <w:tcPr/>
          <w:p>
            <w:pPr>
              <w:pStyle w:val="Compact"/>
              <w:jc w:val="center"/>
            </w:pPr>
            <w:r>
              <w:t xml:space="preserve">3.0 × 10</w:t>
            </w:r>
            <w:r>
              <w:rPr>
                <w:vertAlign w:val="superscript"/>
              </w:rPr>
              <w:t xml:space="preserve">−3</w:t>
            </w:r>
          </w:p>
        </w:tc>
      </w:tr>
      <w:tr>
        <w:tc>
          <w:tcPr/>
          <w:p>
            <w:pPr>
              <w:pStyle w:val="Compact"/>
              <w:jc w:val="left"/>
            </w:pPr>
            <w:r>
              <w:t xml:space="preserve">1D differentiable solver</w:t>
            </w:r>
          </w:p>
        </w:tc>
        <w:tc>
          <w:tcPr/>
          <w:p>
            <w:pPr>
              <w:pStyle w:val="Compact"/>
              <w:jc w:val="left"/>
            </w:pPr>
            <w:r>
              <w:t xml:space="preserve">480 time steps</w:t>
            </w:r>
          </w:p>
        </w:tc>
        <w:tc>
          <w:tcPr/>
          <w:p>
            <w:pPr>
              <w:pStyle w:val="Compact"/>
              <w:jc w:val="center"/>
            </w:pPr>
            <w:r>
              <w:t xml:space="preserve">1.6 × 10</w:t>
            </w:r>
            <w:r>
              <w:rPr>
                <w:vertAlign w:val="superscript"/>
              </w:rPr>
              <w:t xml:space="preserve">−3</w:t>
            </w:r>
          </w:p>
        </w:tc>
      </w:tr>
      <w:tr>
        <w:tc>
          <w:tcPr/>
          <w:p>
            <w:pPr>
              <w:pStyle w:val="Compact"/>
              <w:jc w:val="left"/>
            </w:pPr>
            <w:r>
              <w:t xml:space="preserve">1D differentiable solver</w:t>
            </w:r>
          </w:p>
        </w:tc>
        <w:tc>
          <w:tcPr/>
          <w:p>
            <w:pPr>
              <w:pStyle w:val="Compact"/>
              <w:jc w:val="left"/>
            </w:pPr>
            <w:r>
              <w:t xml:space="preserve">960 time steps</w:t>
            </w:r>
          </w:p>
        </w:tc>
        <w:tc>
          <w:tcPr/>
          <w:p>
            <w:pPr>
              <w:pStyle w:val="Compact"/>
              <w:jc w:val="center"/>
            </w:pPr>
            <w:r>
              <w:t xml:space="preserve">8.1 × 10</w:t>
            </w:r>
            <w:r>
              <w:rPr>
                <w:vertAlign w:val="superscript"/>
              </w:rPr>
              <w:t xml:space="preserve">−4</w:t>
            </w:r>
          </w:p>
        </w:tc>
      </w:tr>
      <w:tr>
        <w:tc>
          <w:tcPr/>
          <w:p>
            <w:pPr>
              <w:pStyle w:val="Compact"/>
              <w:jc w:val="left"/>
            </w:pPr>
            <w:r>
              <w:t xml:space="preserve">Disc model (BDF)</w:t>
            </w:r>
          </w:p>
        </w:tc>
        <w:tc>
          <w:tcPr/>
          <w:p>
            <w:pPr>
              <w:pStyle w:val="Compact"/>
              <w:jc w:val="left"/>
            </w:pPr>
            <w:r>
              <w:t xml:space="preserve">12 × 8 cells</w:t>
            </w:r>
          </w:p>
        </w:tc>
        <w:tc>
          <w:tcPr/>
          <w:p>
            <w:pPr>
              <w:pStyle w:val="Compact"/>
              <w:jc w:val="center"/>
            </w:pPr>
            <w:r>
              <w:t xml:space="preserve">3.8 × 10</w:t>
            </w:r>
            <w:r>
              <w:rPr>
                <w:vertAlign w:val="superscript"/>
              </w:rPr>
              <w:t xml:space="preserve">−2</w:t>
            </w:r>
          </w:p>
        </w:tc>
      </w:tr>
      <w:tr>
        <w:tc>
          <w:tcPr/>
          <w:p>
            <w:pPr>
              <w:pStyle w:val="Compact"/>
              <w:jc w:val="left"/>
            </w:pPr>
            <w:r>
              <w:t xml:space="preserve">Disc model (BDF)</w:t>
            </w:r>
          </w:p>
        </w:tc>
        <w:tc>
          <w:tcPr/>
          <w:p>
            <w:pPr>
              <w:pStyle w:val="Compact"/>
              <w:jc w:val="left"/>
            </w:pPr>
            <w:r>
              <w:t xml:space="preserve">24 × 16 cells</w:t>
            </w:r>
          </w:p>
        </w:tc>
        <w:tc>
          <w:tcPr/>
          <w:p>
            <w:pPr>
              <w:pStyle w:val="Compact"/>
              <w:jc w:val="center"/>
            </w:pPr>
            <w:r>
              <w:t xml:space="preserve">3.7 × 10</w:t>
            </w:r>
            <w:r>
              <w:rPr>
                <w:vertAlign w:val="superscript"/>
              </w:rPr>
              <w:t xml:space="preserve">−3</w:t>
            </w:r>
          </w:p>
        </w:tc>
      </w:tr>
      <w:tr>
        <w:tc>
          <w:tcPr/>
          <w:p>
            <w:pPr>
              <w:pStyle w:val="Compact"/>
              <w:jc w:val="left"/>
            </w:pPr>
            <w:r>
              <w:t xml:space="preserve">Disc model (BDF)</w:t>
            </w:r>
          </w:p>
        </w:tc>
        <w:tc>
          <w:tcPr/>
          <w:p>
            <w:pPr>
              <w:pStyle w:val="Compact"/>
              <w:jc w:val="left"/>
            </w:pPr>
            <w:r>
              <w:t xml:space="preserve">48 × 32 cells</w:t>
            </w:r>
          </w:p>
        </w:tc>
        <w:tc>
          <w:tcPr/>
          <w:p>
            <w:pPr>
              <w:pStyle w:val="Compact"/>
              <w:jc w:val="center"/>
            </w:pPr>
            <w:r>
              <w:t xml:space="preserve">7.8 × 10</w:t>
            </w:r>
            <w:r>
              <w:rPr>
                <w:vertAlign w:val="superscript"/>
              </w:rPr>
              <w:t xml:space="preserve">−4</w:t>
            </w:r>
          </w:p>
        </w:tc>
      </w:tr>
      <w:tr>
        <w:tc>
          <w:tcPr/>
          <w:p>
            <w:pPr>
              <w:pStyle w:val="Compact"/>
              <w:jc w:val="left"/>
            </w:pPr>
            <w:r>
              <w:t xml:space="preserve">Global mass balance, 1D</w:t>
            </w:r>
          </w:p>
        </w:tc>
        <w:tc>
          <w:tcPr/>
          <w:p>
            <w:pPr>
              <w:pStyle w:val="Compact"/>
              <w:jc w:val="left"/>
            </w:pPr>
            <w:r>
              <w:t xml:space="preserve">28 days</w:t>
            </w:r>
          </w:p>
        </w:tc>
        <w:tc>
          <w:tcPr/>
          <w:p>
            <w:pPr>
              <w:pStyle w:val="Compact"/>
              <w:jc w:val="center"/>
            </w:pPr>
            <w:r>
              <w:t xml:space="preserve">1.2 × 10</w:t>
            </w:r>
            <w:r>
              <w:rPr>
                <w:vertAlign w:val="superscript"/>
              </w:rPr>
              <w:t xml:space="preserve">−15</w:t>
            </w:r>
            <w:r>
              <w:t xml:space="preserve"> </w:t>
            </w:r>
            <w:r>
              <w:t xml:space="preserve">(relative)</w:t>
            </w:r>
          </w:p>
        </w:tc>
      </w:tr>
    </w:tbl>
    <w:bookmarkEnd w:id="80"/>
    <w:bookmarkStart w:id="87" w:name="Xda09df44b9aa243860d11cc7964992e63a93efe"/>
    <w:p>
      <w:pPr>
        <w:pStyle w:val="Heading1"/>
      </w:pPr>
      <w:r>
        <w:t xml:space="preserve">Appendix B. Training histories and PINN profiles</w:t>
      </w:r>
    </w:p>
    <w:p>
      <w:pPr>
        <w:pStyle w:val="CaptionedFigure"/>
      </w:pPr>
      <w:r>
        <w:drawing>
          <wp:inline>
            <wp:extent cx="5334000" cy="2225226"/>
            <wp:effectExtent b="0" l="0" r="0" t="0"/>
            <wp:docPr descr="Fig. B.1. Training histories: (a) RMSE of the PENN on the training mixes (five seeds); (b) loss terms of the PINN (median and range over three seeds)." title="" id="82" name="Picture"/>
            <a:graphic>
              <a:graphicData uri="http://schemas.openxmlformats.org/drawingml/2006/picture">
                <pic:pic>
                  <pic:nvPicPr>
                    <pic:cNvPr descr="fig3/fig_convergence.png" id="83" name="Picture"/>
                    <pic:cNvPicPr>
                      <a:picLocks noChangeArrowheads="1" noChangeAspect="1"/>
                    </pic:cNvPicPr>
                  </pic:nvPicPr>
                  <pic:blipFill>
                    <a:blip r:embed="rId81"/>
                    <a:stretch>
                      <a:fillRect/>
                    </a:stretch>
                  </pic:blipFill>
                  <pic:spPr bwMode="auto">
                    <a:xfrm>
                      <a:off x="0" y="0"/>
                      <a:ext cx="5334000" cy="2225226"/>
                    </a:xfrm>
                    <a:prstGeom prst="rect">
                      <a:avLst/>
                    </a:prstGeom>
                    <a:noFill/>
                    <a:ln w="9525">
                      <a:noFill/>
                      <a:headEnd/>
                      <a:tailEnd/>
                    </a:ln>
                  </pic:spPr>
                </pic:pic>
              </a:graphicData>
            </a:graphic>
          </wp:inline>
        </w:drawing>
      </w:r>
    </w:p>
    <w:p>
      <w:pPr>
        <w:pStyle w:val="ImageCaption"/>
      </w:pPr>
      <w:r>
        <w:rPr>
          <w:bCs/>
          <w:b/>
        </w:rPr>
        <w:t xml:space="preserve">Fig. B.1.</w:t>
      </w:r>
      <w:r>
        <w:t xml:space="preserve"> </w:t>
      </w:r>
      <w:r>
        <w:t xml:space="preserve">Training histories: (a) RMSE of the PENN on the training mixes (five seeds); (b) loss terms of the PINN (median and range over three seeds).</w:t>
      </w:r>
    </w:p>
    <w:p>
      <w:pPr>
        <w:pStyle w:val="CaptionedFigure"/>
      </w:pPr>
      <w:r>
        <w:drawing>
          <wp:inline>
            <wp:extent cx="5334000" cy="2520429"/>
            <wp:effectExtent b="0" l="0" r="0" t="0"/>
            <wp:docPr descr="Fig. B.2. Saturation profiles of three withheld mixes on the slab model, computed by the BDF solver with the PENN parameters (solid) and by the PINN (dotted). The two differ most during the first two days." title="" id="85" name="Picture"/>
            <a:graphic>
              <a:graphicData uri="http://schemas.openxmlformats.org/drawingml/2006/picture">
                <pic:pic>
                  <pic:nvPicPr>
                    <pic:cNvPr descr="fig3/fig_profiles_slab.png" id="86" name="Picture"/>
                    <pic:cNvPicPr>
                      <a:picLocks noChangeArrowheads="1" noChangeAspect="1"/>
                    </pic:cNvPicPr>
                  </pic:nvPicPr>
                  <pic:blipFill>
                    <a:blip r:embed="rId84"/>
                    <a:stretch>
                      <a:fillRect/>
                    </a:stretch>
                  </pic:blipFill>
                  <pic:spPr bwMode="auto">
                    <a:xfrm>
                      <a:off x="0" y="0"/>
                      <a:ext cx="5334000" cy="2520429"/>
                    </a:xfrm>
                    <a:prstGeom prst="rect">
                      <a:avLst/>
                    </a:prstGeom>
                    <a:noFill/>
                    <a:ln w="9525">
                      <a:noFill/>
                      <a:headEnd/>
                      <a:tailEnd/>
                    </a:ln>
                  </pic:spPr>
                </pic:pic>
              </a:graphicData>
            </a:graphic>
          </wp:inline>
        </w:drawing>
      </w:r>
    </w:p>
    <w:p>
      <w:pPr>
        <w:pStyle w:val="ImageCaption"/>
      </w:pPr>
      <w:r>
        <w:rPr>
          <w:bCs/>
          <w:b/>
        </w:rPr>
        <w:t xml:space="preserve">Fig. B.2.</w:t>
      </w:r>
      <w:r>
        <w:t xml:space="preserve"> </w:t>
      </w:r>
      <w:r>
        <w:t xml:space="preserve">Saturation profiles of three withheld mixes on the slab model, computed by the BDF solver with the PENN parameters (solid) and by the PINN (dotted). The two differ most during the first two days.</w:t>
      </w:r>
    </w:p>
    <w:bookmarkEnd w:id="87"/>
    <w:bookmarkStart w:id="88" w:name="references"/>
    <w:p>
      <w:pPr>
        <w:pStyle w:val="Heading1"/>
      </w:pPr>
      <w:r>
        <w:t xml:space="preserve">References</w:t>
      </w:r>
    </w:p>
    <w:p>
      <w:pPr>
        <w:pStyle w:val="Reference"/>
      </w:pPr>
      <w:r>
        <w:t xml:space="preserve">[1] P.K. Mehta, P.J.M. Monteiro, Concrete: Microstructure, Properties, and Materials, 4th ed., McGraw-Hill Education, New York, 2014.</w:t>
      </w:r>
    </w:p>
    <w:p>
      <w:pPr>
        <w:pStyle w:val="Reference"/>
      </w:pPr>
      <w:r>
        <w:t xml:space="preserve">[2] A.M. Neville, Properties of Concrete, 5th ed., Pearson Education, Harlow, 2011.</w:t>
      </w:r>
    </w:p>
    <w:p>
      <w:pPr>
        <w:pStyle w:val="Reference"/>
      </w:pPr>
      <w:r>
        <w:t xml:space="preserve">[3] V. Baroghel-Bouny, Water vapour sorption experiments on hardened cementitious materials. Part I: Essential tool for analysis of hygral behaviour and its relation to pore structure, Cem. Concr. Res. 37 (2007) 414–437. https://doi.org/10.1016/j.cemconres.2006.11.019</w:t>
      </w:r>
    </w:p>
    <w:p>
      <w:pPr>
        <w:pStyle w:val="Reference"/>
      </w:pPr>
      <w:r>
        <w:t xml:space="preserve">[4] V. Baroghel-Bouny, M. Mainguy, T. Lassabatère, O. Coussy, Characterization and identification of equilibrium and transfer moisture properties for ordinary and high-performance cementitious materials, Cem. Concr. Res. 29 (1999) 1225–1238.</w:t>
      </w:r>
    </w:p>
    <w:p>
      <w:pPr>
        <w:pStyle w:val="Reference"/>
      </w:pPr>
      <w:r>
        <w:t xml:space="preserve">[5] M. Mainguy, O. Coussy, V. Baroghel-Bouny, Role of air pressure in drying of weakly permeable materials, J. Eng. Mech. 127 (2001) 582–592.</w:t>
      </w:r>
    </w:p>
    <w:p>
      <w:pPr>
        <w:pStyle w:val="Reference"/>
      </w:pPr>
      <w:r>
        <w:t xml:space="preserve">[6] X. Chen, T. Sanchez, D. Conciatori, H. Chaouki, L. Sorelli, B. Selma, M. Chekired, Numerical modeling of 2D hygrothermal transport in unsaturated concrete with capillary suction, J. Build. Eng. 45 (2022) 103640. https://doi.org/10.1016/j.jobe.2021.103640</w:t>
      </w:r>
    </w:p>
    <w:p>
      <w:pPr>
        <w:pStyle w:val="Reference"/>
      </w:pPr>
      <w:r>
        <w:t xml:space="preserve">[7] C. Hall, W.D. Hoff, Water Transport in Brick, Stone and Concrete, 2nd ed., Spon Press, London, 2012.</w:t>
      </w:r>
    </w:p>
    <w:p>
      <w:pPr>
        <w:pStyle w:val="Reference"/>
      </w:pPr>
      <w:r>
        <w:t xml:space="preserve">[8] S. Zhuang, Q. Wang, M. Zhang, Water absorption behaviour of concrete: Novel experimental findings and model characterization, J. Build. Eng. 53 (2022) 104602. https://doi.org/10.1016/j.jobe.2022.104602</w:t>
      </w:r>
    </w:p>
    <w:p>
      <w:pPr>
        <w:pStyle w:val="Reference"/>
      </w:pPr>
      <w:r>
        <w:t xml:space="preserve">[9] Z.P. Bažant, L.J. Najjar, Nonlinear water diffusion in nonsaturated concrete, Matér. Constr. 5 (1972) 3–20. https://doi.org/10.1007/BF02479073</w:t>
      </w:r>
    </w:p>
    <w:p>
      <w:pPr>
        <w:pStyle w:val="Reference"/>
      </w:pPr>
      <w:r>
        <w:t xml:space="preserve">[10] H.M. Künzel, Simultaneous Heat and Moisture Transport in Building Components: One- and Two-Dimensional Calculation Using Simple Parameters, Fraunhofer IRB Verlag, Stuttgart, 1995.</w:t>
      </w:r>
    </w:p>
    <w:p>
      <w:pPr>
        <w:pStyle w:val="Reference"/>
      </w:pPr>
      <w:r>
        <w:t xml:space="preserve">[11] D. Conciatori, H. Sadouki, E. Brühwiler, Capillary suction and diffusion model for chloride ingress into concrete, Cem. Concr. Res. 38 (2008) 1401–1408.</w:t>
      </w:r>
    </w:p>
    <w:p>
      <w:pPr>
        <w:pStyle w:val="Reference"/>
      </w:pPr>
      <w:r>
        <w:t xml:space="preserve">[12] J. Kaipio, E. Somersalo, Statistical and Computational Inverse Problems, Springer, New York, 2005.</w:t>
      </w:r>
    </w:p>
    <w:p>
      <w:pPr>
        <w:pStyle w:val="Reference"/>
      </w:pPr>
      <w:r>
        <w:t xml:space="preserve">[13] A. Tarantola, Inverse Problem Theory and Methods for Model Parameter Estimation, SIAM, Philadelphia, 2005.</w:t>
      </w:r>
    </w:p>
    <w:p>
      <w:pPr>
        <w:pStyle w:val="Reference"/>
      </w:pPr>
      <w:r>
        <w:t xml:space="preserve">[14] M. Raissi, P. Perdikaris, G.E. Karniadakis, Physics-informed neural networks: A deep learning framework for solving forward and inverse problems involving nonlinear partial differential equations, J. Comput. Phys. 378 (2019) 686–707. https://doi.org/10.1016/j.jcp.2018.10.045</w:t>
      </w:r>
    </w:p>
    <w:p>
      <w:pPr>
        <w:pStyle w:val="Reference"/>
      </w:pPr>
      <w:r>
        <w:t xml:space="preserve">[15] G.E. Karniadakis, I.G. Kevrekidis, L. Lu, P. Perdikaris, S. Wang, L. Yang, Physics-informed machine learning, Nat. Rev. Phys. 3 (2021) 422–440. https://doi.org/10.1038/s42254-021-00314-5</w:t>
      </w:r>
    </w:p>
    <w:p>
      <w:pPr>
        <w:pStyle w:val="Reference"/>
      </w:pPr>
      <w:r>
        <w:t xml:space="preserve">[16] S. Cuomo, V.S. Di Cola, F. Giampaolo, G. Rozza, M. Raissi, F. Piccialli, Scientific machine learning through physics-informed neural networks: where we are and what’s next, J. Sci. Comput. 92 (2022) 88.</w:t>
      </w:r>
    </w:p>
    <w:p>
      <w:pPr>
        <w:pStyle w:val="Reference"/>
      </w:pPr>
      <w:r>
        <w:t xml:space="preserve">[17] A.G. Baydin, B.A. Pearlmutter, A.A. Radul, J.M. Siskind, Automatic differentiation in machine learning: a survey, J. Mach. Learn. Res. 18 (2018) 1–43.</w:t>
      </w:r>
    </w:p>
    <w:p>
      <w:pPr>
        <w:pStyle w:val="Reference"/>
      </w:pPr>
      <w:r>
        <w:t xml:space="preserve">[18] A.M. Tartakovsky, C.O. Marrero, P. Perdikaris, G.D. Tartakovsky, D. Barajas-Solano, Physics-informed deep neural networks for learning parameters and constitutive relationships in subsurface flow problems, Water Resour. Res. 56 (2020) e2019WR026731.</w:t>
      </w:r>
    </w:p>
    <w:p>
      <w:pPr>
        <w:pStyle w:val="Reference"/>
      </w:pPr>
      <w:r>
        <w:t xml:space="preserve">[19] Y. Wan, W. Zheng, Y. Wang, Identification of chloride diffusion coefficient in concrete using physics-informed neural networks, Constr. Build. Mater. 393 (2023) 132049. https://doi.org/10.1016/j.conbuildmat.2023.132049</w:t>
      </w:r>
    </w:p>
    <w:p>
      <w:pPr>
        <w:pStyle w:val="Reference"/>
      </w:pPr>
      <w:r>
        <w:t xml:space="preserve">[20] Y. Wan, W. Zheng, Physics-informed neural network approach for identifying free chloride diffusion coefficient in alkali-activated mortars, J. Build. Eng. 112 (2025) 113820. https://doi.org/10.1016/j.jobe.2025.113820</w:t>
      </w:r>
    </w:p>
    <w:p>
      <w:pPr>
        <w:pStyle w:val="Reference"/>
      </w:pPr>
      <w:r>
        <w:t xml:space="preserve">[21] J.M. Lee, C.J. Lee, Inverse estimation of moisture diffusion model for concrete using artificial neural network, Materials 15 (2022) 5945. https://doi.org/10.3390/ma15175945</w:t>
      </w:r>
    </w:p>
    <w:p>
      <w:pPr>
        <w:pStyle w:val="Reference"/>
      </w:pPr>
      <w:r>
        <w:t xml:space="preserve">[22] A.S. Krishnapriyan, A. Gholami, S. Zhe, R.M. Kirby, M.W. Mahoney, Characterizing possible failure modes in physics-informed neural networks, Adv. Neural Inf. Process. Syst. 34 (2021) 26548–26560.</w:t>
      </w:r>
    </w:p>
    <w:p>
      <w:pPr>
        <w:pStyle w:val="Reference"/>
      </w:pPr>
      <w:r>
        <w:t xml:space="preserve">[23] S. Wang, Y. Teng, P. Perdikaris, Understanding and mitigating gradient flow pathologies in physics-informed neural networks, SIAM J. Sci. Comput. 43 (2021) A3055–A3081.</w:t>
      </w:r>
    </w:p>
    <w:p>
      <w:pPr>
        <w:pStyle w:val="Reference"/>
      </w:pPr>
      <w:r>
        <w:t xml:space="preserve">[24] S. Wang, S. Sankaran, P. Perdikaris, Respecting causality for training physics-informed neural networks, Comput. Methods Appl. Mech. Eng. 421 (2024) 116813.</w:t>
      </w:r>
    </w:p>
    <w:p>
      <w:pPr>
        <w:pStyle w:val="Reference"/>
      </w:pPr>
      <w:r>
        <w:t xml:space="preserve">[25] C. Rackauckas, Y. Ma, J. Martensen, C. Warner, K. Zubov, R. Supekar, D. Skinner, A. Ramadhan, A. Edelman, Universal differential equations for scientific machine learning, arXiv:2001.04385 (2020).</w:t>
      </w:r>
    </w:p>
    <w:p>
      <w:pPr>
        <w:pStyle w:val="Reference"/>
      </w:pPr>
      <w:r>
        <w:t xml:space="preserve">[26] N. Thuerey, P. Holl, M. Mueller, P. Schnell, F. Trost, K. Um, Physics-based Deep Learning, arXiv:2109.05237 (2021).</w:t>
      </w:r>
    </w:p>
    <w:p>
      <w:pPr>
        <w:pStyle w:val="Reference"/>
      </w:pPr>
      <w:r>
        <w:t xml:space="preserve">[27] ASTM C1585, Standard Test Method for Measurement of Rate of Absorption of Water by Hydraulic-Cement Concretes, ASTM International, West Conshohocken, PA.</w:t>
      </w:r>
    </w:p>
    <w:p>
      <w:pPr>
        <w:pStyle w:val="Reference"/>
      </w:pPr>
      <w:r>
        <w:t xml:space="preserve">[28] E. Hairer, G. Wanner, Solving Ordinary Differential Equations II: Stiff and Differential-Algebraic Problems, 2nd ed., Springer, Berlin, 1996.</w:t>
      </w:r>
    </w:p>
    <w:p>
      <w:pPr>
        <w:pStyle w:val="Reference"/>
      </w:pPr>
      <w:r>
        <w:t xml:space="preserve">[29] R.G. Keys, Cubic convolution interpolation for digital image processing, IEEE Trans. Acoust. Speech Signal Process. 29 (1981) 1153–1160. https://doi.org/10.1109/TASSP.1981.1163711</w:t>
      </w:r>
    </w:p>
    <w:p>
      <w:pPr>
        <w:pStyle w:val="Reference"/>
      </w:pPr>
      <w:r>
        <w:t xml:space="preserve">[30] D.P. Kingma, J. Ba, Adam: A method for stochastic optimization, in: Proc. 3rd Int. Conf. Learn. Represent. (ICLR), San Diego, 2015. arXiv:1412.6980.</w:t>
      </w:r>
    </w:p>
    <w:p>
      <w:pPr>
        <w:pStyle w:val="Reference"/>
      </w:pPr>
      <w:r>
        <w:t xml:space="preserve">[31] L. Yang, X. Meng, G.E. Karniadakis, B-PINNs: Bayesian physics-informed neural networks for forward and inverse PDE problems with noisy data, J. Comput. Phys. 425 (2021) 109913.</w:t>
      </w:r>
    </w:p>
    <w:bookmarkEnd w:id="88"/>
    <w:sectPr>
      <w:footerReference w:type="default" r:id="rIdFtr1"/>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0" w:author="Claude (review)" w:date="2026-10-17T12:00:00Z">
    <w:p>
      <w:pPr>
        <w:pStyle w:val="CommentText"/>
      </w:pPr>
      <w:r>
        <w:rPr>
          <w:rStyle w:val="CommentReference"/>
        </w:rPr>
        <w:annotationRef/>
      </w:r>
      <w:r>
        <w:t xml:space="preserve">To confirm by the authors: (1) the drying curves were digitised from the figures of Zhuang et al. (name the tool, e.g. WebPlotDigitizer); (2) the lateral surface was not sealed during drying, as assumed by the disc model. If it was sealed, set the lateral face to zero flux (one line in pinn_moisture/axisym.py) and re-run scripts/run_all_disc.sh.</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defaultTabStop w:val="720"/>
  <w:characterSpacingControl w:val="doNotCompress"/>
  <w:footnotePr>
    <w:footnote w:id="-1"/>
    <w:footnote w:id="0"/>
  </w:footnotePr>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w="http://schemas.openxmlformats.org/wordprocessingml/2006/main">
  <w:docDefaults>
    <w:rPrDefault>
      <w:rPr>
        <w:rFonts w:ascii="Times New Roman" w:cs="Times New Roman" w:eastAsia="Times New Roman" w:hAnsi="Times New Roman"/>
        <w:sz w:val="22"/>
        <w:szCs w:val="22"/>
        <w:lang w:val="en-US"/>
      </w:rPr>
    </w:rPrDefault>
    <w:pPrDefault>
      <w:pPr>
        <w:spacing w:after="120" w:line="300" w:lineRule="auto"/>
      </w:pPr>
    </w:pPrDefault>
  </w:docDefaults>
  <w:style w:default="1" w:styleId="Normal" w:type="paragraph">
    <w:name w:val="Normal"/>
    <w:qFormat/>
    <w:pPr>
      <w:jc w:val="both"/>
    </w:pPr>
  </w:style>
  <w:style w:styleId="BodyText" w:type="paragraph">
    <w:name w:val="Body Text"/>
    <w:basedOn w:val="Normal"/>
    <w:qFormat/>
    <w:pPr>
      <w:spacing w:after="140" w:before="0"/>
      <w:jc w:val="both"/>
    </w:pPr>
  </w:style>
  <w:style w:styleId="FirstParagraph" w:type="paragraph">
    <w:name w:val="First Paragraph"/>
    <w:basedOn w:val="BodyText"/>
    <w:next w:val="BodyText"/>
    <w:qFormat/>
  </w:style>
  <w:style w:styleId="Compact" w:type="paragraph">
    <w:name w:val="Compact"/>
    <w:basedOn w:val="BodyText"/>
    <w:qFormat/>
    <w:pPr>
      <w:spacing w:after="40" w:before="20"/>
    </w:pPr>
  </w:style>
  <w:style w:styleId="Title" w:type="paragraph">
    <w:name w:val="Title"/>
    <w:basedOn w:val="Normal"/>
    <w:next w:val="BodyText"/>
    <w:qFormat/>
    <w:pPr>
      <w:keepNext/>
      <w:spacing w:after="240" w:before="240" w:line="276" w:lineRule="auto"/>
      <w:jc w:val="center"/>
    </w:pPr>
    <w:rPr>
      <w:b/>
      <w:bCs/>
      <w:sz w:val="32"/>
      <w:szCs w:val="32"/>
    </w:rPr>
  </w:style>
  <w:style w:styleId="Subtitle" w:type="paragraph">
    <w:name w:val="Subtitle"/>
    <w:basedOn w:val="Title"/>
    <w:qFormat/>
    <w:rPr>
      <w:sz w:val="26"/>
    </w:rPr>
  </w:style>
  <w:style w:styleId="Author" w:type="paragraph">
    <w:name w:val="Author"/>
    <w:basedOn w:val="Normal"/>
    <w:pPr>
      <w:jc w:val="center"/>
    </w:pPr>
  </w:style>
  <w:style w:styleId="Date" w:type="paragraph">
    <w:name w:val="Date"/>
    <w:basedOn w:val="Normal"/>
    <w:pPr>
      <w:jc w:val="center"/>
    </w:pPr>
  </w:style>
  <w:style w:customStyle="1" w:styleId="Authors" w:type="paragraph">
    <w:name w:val="Authors"/>
    <w:basedOn w:val="Normal"/>
    <w:qFormat/>
    <w:pPr>
      <w:spacing w:after="120"/>
      <w:jc w:val="center"/>
    </w:pPr>
    <w:rPr>
      <w:sz w:val="24"/>
    </w:rPr>
  </w:style>
  <w:style w:customStyle="1" w:styleId="Affiliation" w:type="paragraph">
    <w:name w:val="Affiliation"/>
    <w:basedOn w:val="Normal"/>
    <w:qFormat/>
    <w:pPr>
      <w:spacing w:after="360" w:line="252" w:lineRule="auto"/>
      <w:jc w:val="center"/>
    </w:pPr>
    <w:rPr>
      <w:i/>
      <w:sz w:val="19"/>
    </w:rPr>
  </w:style>
  <w:style w:customStyle="1" w:styleId="Reference" w:type="paragraph">
    <w:name w:val="Reference"/>
    <w:basedOn w:val="Normal"/>
    <w:qFormat/>
    <w:pPr>
      <w:spacing w:after="60" w:line="252" w:lineRule="auto"/>
      <w:ind w:hanging="454" w:left="454"/>
      <w:jc w:val="left"/>
    </w:pPr>
    <w:rPr>
      <w:sz w:val="19"/>
    </w:rPr>
  </w:style>
  <w:style w:styleId="AbstractTitle" w:type="paragraph">
    <w:name w:val="Abstract Title"/>
    <w:basedOn w:val="Normal"/>
    <w:pPr>
      <w:jc w:val="center"/>
    </w:pPr>
    <w:rPr>
      <w:b/>
    </w:rPr>
  </w:style>
  <w:style w:styleId="Abstract" w:type="paragraph">
    <w:name w:val="Abstract"/>
    <w:basedOn w:val="Normal"/>
  </w:style>
  <w:style w:styleId="Bibliography" w:type="paragraph">
    <w:name w:val="Bibliography"/>
    <w:basedOn w:val="Normal"/>
  </w:style>
  <w:style w:styleId="Heading1" w:type="paragraph">
    <w:name w:val="heading 1"/>
    <w:basedOn w:val="Normal"/>
    <w:next w:val="BodyText"/>
    <w:uiPriority w:val="9"/>
    <w:qFormat/>
    <w:pPr>
      <w:keepNext/>
      <w:keepLines/>
      <w:spacing w:after="140" w:before="360"/>
      <w:jc w:val="left"/>
      <w:outlineLvl w:val="0"/>
    </w:pPr>
    <w:rPr>
      <w:b/>
      <w:bCs/>
      <w:sz w:val="26"/>
      <w:szCs w:val="26"/>
    </w:rPr>
  </w:style>
  <w:style w:styleId="Heading2" w:type="paragraph">
    <w:name w:val="heading 2"/>
    <w:basedOn w:val="Normal"/>
    <w:next w:val="BodyText"/>
    <w:uiPriority w:val="9"/>
    <w:unhideWhenUsed/>
    <w:qFormat/>
    <w:pPr>
      <w:keepNext/>
      <w:keepLines/>
      <w:spacing w:after="100" w:before="240"/>
      <w:jc w:val="left"/>
      <w:outlineLvl w:val="1"/>
    </w:pPr>
    <w:rPr>
      <w:b/>
      <w:i/>
      <w:sz w:val="23"/>
    </w:rPr>
  </w:style>
  <w:style w:styleId="Heading3" w:type="paragraph">
    <w:name w:val="heading 3"/>
    <w:basedOn w:val="Normal"/>
    <w:next w:val="BodyText"/>
    <w:uiPriority w:val="9"/>
    <w:unhideWhenUsed/>
    <w:qFormat/>
    <w:pPr>
      <w:keepNext/>
      <w:spacing w:after="80" w:before="200"/>
      <w:outlineLvl w:val="2"/>
    </w:pPr>
    <w:rPr>
      <w:i/>
    </w:rPr>
  </w:style>
  <w:style w:styleId="BlockText" w:type="paragraph">
    <w:name w:val="Block Text"/>
    <w:basedOn w:val="BodyText"/>
    <w:next w:val="BodyText"/>
  </w:style>
  <w:style w:styleId="FootnoteText" w:type="paragraph">
    <w:name w:val="footnote text"/>
    <w:basedOn w:val="Normal"/>
    <w:rPr>
      <w:sz w:val="18"/>
    </w:rPr>
  </w:style>
  <w:style w:default="1" w:styleId="DefaultParagraphFont" w:type="character">
    <w:name w:val="Default Paragraph Font"/>
    <w:uiPriority w:val="1"/>
    <w:semiHidden/>
    <w:unhideWhenUsed/>
  </w:style>
  <w:style w:default="1" w:styleId="Table" w:type="table">
    <w:name w:val="Table"/>
    <w:basedOn w:val="TableNormal"/>
    <w:pPr>
      <w:spacing w:after="0" w:before="0" w:line="240" w:lineRule="auto"/>
      <w:jc w:val="left"/>
    </w:pPr>
    <w:rPr>
      <w:sz w:val="19"/>
    </w:rPr>
    <w:tblPr>
      <w:jc w:val="center"/>
      <w:tblBorders>
        <w:top w:color="000000" w:space="0" w:sz="8" w:val="single"/>
        <w:bottom w:color="000000" w:space="0" w:sz="8" w:val="single"/>
      </w:tblBorders>
      <w:tblCellMar>
        <w:top w:type="dxa" w:w="20"/>
        <w:left w:type="dxa" w:w="100"/>
        <w:bottom w:type="dxa" w:w="20"/>
        <w:right w:type="dxa" w:w="100"/>
      </w:tblCellMar>
    </w:tblPr>
    <w:tblStylePr w:type="firstRow">
      <w:rPr>
        <w:b/>
      </w:rPr>
      <w:tcPr>
        <w:tcBorders>
          <w:bottom w:color="000000" w:space="0" w:sz="4" w:val="single"/>
        </w:tcBorders>
        <w:vAlign w:val="bottom"/>
      </w:tcPr>
    </w:tblStylePr>
  </w:style>
  <w:style w:styleId="TableNormal" w:type="table">
    <w:name w:val="Normal Table"/>
    <w:uiPriority w:val="99"/>
    <w:semiHidden/>
    <w:unhideWhenUsed/>
    <w:tblPr>
      <w:tblInd w:type="dxa" w:w="0"/>
      <w:tblCellMar>
        <w:top w:type="dxa" w:w="0"/>
        <w:left w:type="dxa" w:w="108"/>
        <w:bottom w:type="dxa" w:w="0"/>
        <w:right w:type="dxa" w:w="108"/>
      </w:tblCellMar>
    </w:tblPr>
  </w:style>
  <w:style w:styleId="DefinitionTerm" w:type="paragraph">
    <w:name w:val="Definition Term"/>
    <w:basedOn w:val="Normal"/>
    <w:next w:val="Definition"/>
    <w:rPr>
      <w:b/>
    </w:rPr>
  </w:style>
  <w:style w:styleId="Definition" w:type="paragraph">
    <w:name w:val="Definition"/>
    <w:basedOn w:val="Normal"/>
  </w:style>
  <w:style w:styleId="Caption" w:type="paragraph">
    <w:name w:val="caption"/>
    <w:basedOn w:val="Normal"/>
    <w:link w:val="BodyTextChar"/>
    <w:pPr>
      <w:spacing w:after="240" w:before="60" w:line="252" w:lineRule="auto"/>
      <w:jc w:val="both"/>
    </w:pPr>
    <w:rPr>
      <w:sz w:val="19"/>
    </w:rPr>
  </w:style>
  <w:style w:customStyle="1" w:styleId="TableCaption" w:type="paragraph">
    <w:name w:val="Table Caption"/>
    <w:basedOn w:val="Caption"/>
    <w:pPr>
      <w:keepNext/>
      <w:spacing w:after="80" w:before="240"/>
      <w:jc w:val="left"/>
    </w:pPr>
  </w:style>
  <w:style w:customStyle="1" w:styleId="ImageCaption" w:type="paragraph">
    <w:name w:val="Image Caption"/>
    <w:basedOn w:val="Caption"/>
  </w:style>
  <w:style w:customStyle="1" w:styleId="Figure" w:type="paragraph">
    <w:name w:val="Figure"/>
    <w:basedOn w:val="Normal"/>
    <w:pPr>
      <w:keepNext/>
      <w:spacing w:after="0" w:before="200"/>
      <w:jc w:val="center"/>
    </w:pPr>
  </w:style>
  <w:style w:customStyle="1" w:styleId="CaptionedFigure" w:type="paragraph">
    <w:name w:val="Captioned Figure"/>
    <w:basedOn w:val="Figure"/>
    <w:pPr>
      <w:keepNext/>
    </w:pPr>
  </w:style>
  <w:style w:customStyle="1" w:styleId="BodyTextChar" w:type="character">
    <w:name w:val="Body Text Char"/>
    <w:link w:val="BodyText"/>
  </w:style>
  <w:style w:customStyle="1" w:styleId="VerbatimChar" w:type="character">
    <w:name w:val="Verbatim Char"/>
    <w:basedOn w:val="BodyTextChar"/>
    <w:rPr>
      <w:rFonts w:ascii="Consolas" w:hAnsi="Consolas"/>
      <w:sz w:val="20"/>
    </w:rPr>
  </w:style>
  <w:style w:customStyle="1" w:styleId="ToUpdate" w:type="character">
    <w:name w:val="To update"/>
    <w:basedOn w:val="DefaultParagraphFont"/>
    <w:qFormat/>
    <w:rPr>
      <w:highlight w:val="yellow"/>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79"/>
    </w:rPr>
  </w:style>
  <w:style w:styleId="TOCHeading" w:type="paragraph">
    <w:name w:val="TOC Heading"/>
    <w:basedOn w:val="Heading1"/>
    <w:next w:val="BodyText"/>
    <w:uiPriority w:val="39"/>
    <w:unhideWhenUsed/>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png" /><Relationship Type="http://schemas.openxmlformats.org/officeDocument/2006/relationships/image" Id="rId54" Target="media/rId54.png" /><Relationship Type="http://schemas.openxmlformats.org/officeDocument/2006/relationships/image" Id="rId25" Target="media/rId25.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59" Target="media/rId59.png" /><Relationship Type="http://schemas.openxmlformats.org/officeDocument/2006/relationships/image" Id="rId31" Target="media/rId31.png" /><Relationship Type="http://schemas.openxmlformats.org/officeDocument/2006/relationships/image" Id="rId63" Target="media/rId63.png" /><Relationship Type="http://schemas.openxmlformats.org/officeDocument/2006/relationships/image" Id="rId50" Target="media/rId50.png" /><Relationship Type="http://schemas.openxmlformats.org/officeDocument/2006/relationships/image" Id="rId84" Target="media/rId84.png" /><Relationship Type="http://schemas.openxmlformats.org/officeDocument/2006/relationships/image" Id="rId47" Target="media/rId47.png" /><Relationship Type="http://schemas.openxmlformats.org/officeDocument/2006/relationships/image" Id="rId39" Target="media/rId39.png"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Physics-embedded neural network for predicting the moisture transport properties of concrete from mix composition, with a comparison to physics-informed neural networks</dc:title>
  <dc:creator/>
  <cp:keywords/>
  <dcterms:created xsi:type="dcterms:W3CDTF">2026-10-19T17:31:03Z</dcterms:created>
  <dcterms:modified xsi:type="dcterms:W3CDTF">2026-10-19T17:31:03Z</dcterms:modified>
</cp:coreProperties>
</file>

<file path=docProps/custom.xml><?xml version="1.0" encoding="utf-8"?>
<Properties xmlns="http://schemas.openxmlformats.org/officeDocument/2006/custom-properties" xmlns:vt="http://schemas.openxmlformats.org/officeDocument/2006/docPropsVTypes"/>
</file>