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Fleet Operations Dashboard</w:t>
      </w:r>
    </w:p>
    <w:p>
      <w:pPr>
        <w:pBdr>
          <w:bottom w:val="single" w:color="2E5597" w:sz="8" w:space="4"/>
        </w:pBdr>
        <w:spacing w:after="160"/>
      </w:pPr>
      <w:r>
        <w:rPr>
          <w:rFonts w:ascii="Calibri" w:cs="Calibri" w:eastAsia="Calibri" w:hAnsi="Calibri"/>
          <w:color w:val="595959"/>
          <w:sz w:val="24"/>
          <w:szCs w:val="24"/>
        </w:rPr>
        <w:t xml:space="preserve">Architecture Document | Microsoft Fabric and Power BI</w:t>
      </w:r>
    </w:p>
    <w:p>
      <w:pPr>
        <w:spacing w:after="120"/>
      </w:pPr>
      <w:r>
        <w:rPr>
          <w:rFonts w:ascii="Calibri" w:cs="Calibri" w:eastAsia="Calibri" w:hAnsi="Calibri"/>
          <w:b/>
          <w:bCs/>
          <w:sz w:val="21"/>
          <w:szCs w:val="21"/>
        </w:rPr>
        <w:t xml:space="preserve">Purpose. </w:t>
      </w:r>
      <w:r>
        <w:rPr>
          <w:rFonts w:ascii="Calibri" w:cs="Calibri" w:eastAsia="Calibri" w:hAnsi="Calibri"/>
          <w:sz w:val="21"/>
          <w:szCs w:val="21"/>
        </w:rPr>
        <w:t xml:space="preserve">This document describes a dashboard for the operations director covering 800 delivery vehicles in three regions. It combines near-real-time telemetry (refreshed every five minutes) with historical delivery performance analysed as Year-to-Date (YTD), Prior Year (PY) and Year-over-Year (YoY). The design target is a page load under four seconds with consistent metrics for every measure and time-intelligence selection.</w:t>
      </w:r>
    </w:p>
    <w:p>
      <w:pPr>
        <w:pStyle w:val="Heading1"/>
        <w:spacing w:after="120" w:before="280"/>
      </w:pPr>
      <w:r>
        <w:rPr>
          <w:rFonts w:ascii="Calibri" w:cs="Calibri" w:eastAsia="Calibri" w:hAnsi="Calibri"/>
          <w:b/>
          <w:bCs/>
          <w:color w:val="1F3864"/>
          <w:sz w:val="30"/>
          <w:szCs w:val="30"/>
        </w:rPr>
        <w:t xml:space="preserve">1. Real-Time Intelligence</w:t>
      </w:r>
    </w:p>
    <w:p>
      <w:pPr>
        <w:pStyle w:val="Heading2"/>
        <w:spacing w:after="80" w:before="160"/>
      </w:pPr>
      <w:r>
        <w:rPr>
          <w:rFonts w:ascii="Calibri" w:cs="Calibri" w:eastAsia="Calibri" w:hAnsi="Calibri"/>
          <w:b/>
          <w:bCs/>
          <w:color w:val="2E5597"/>
          <w:sz w:val="24"/>
          <w:szCs w:val="24"/>
        </w:rPr>
        <w:t xml:space="preserve">Eventhouse table schema</w:t>
      </w:r>
    </w:p>
    <w:p>
      <w:pPr>
        <w:spacing w:after="120"/>
      </w:pPr>
      <w:r>
        <w:rPr>
          <w:rFonts w:ascii="Calibri" w:cs="Calibri" w:eastAsia="Calibri" w:hAnsi="Calibri"/>
          <w:sz w:val="21"/>
          <w:szCs w:val="21"/>
        </w:rPr>
        <w:t xml:space="preserve">Raw events land in the VehicleTelemetry table of the FleetKQL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Column</w:t>
            </w:r>
          </w:p>
        </w:tc>
        <w:tc>
          <w:tcPr>
            <w:tcW w:type="dxa" w:w="14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Type</w:t>
            </w:r>
          </w:p>
        </w:tc>
        <w:tc>
          <w:tcPr>
            <w:tcW w:type="dxa" w:w="56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Purpose</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VehicleID</w:t>
            </w:r>
          </w:p>
        </w:tc>
        <w:tc>
          <w:tcPr>
            <w:tcW w:type="dxa" w:w="14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string</w:t>
            </w:r>
          </w:p>
        </w:tc>
        <w:tc>
          <w:tcPr>
            <w:tcW w:type="dxa" w:w="56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Unique vehicle identifier; joins to DimVehicle</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Timestamp</w:t>
            </w:r>
          </w:p>
        </w:tc>
        <w:tc>
          <w:tcPr>
            <w:tcW w:type="dxa" w:w="14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datetime</w:t>
            </w:r>
          </w:p>
        </w:tc>
        <w:tc>
          <w:tcPr>
            <w:tcW w:type="dxa" w:w="56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Event time reported by the device (UTC); basis for windowing</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Latitude</w:t>
            </w:r>
          </w:p>
        </w:tc>
        <w:tc>
          <w:tcPr>
            <w:tcW w:type="dxa" w:w="14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real</w:t>
            </w:r>
          </w:p>
        </w:tc>
        <w:tc>
          <w:tcPr>
            <w:tcW w:type="dxa" w:w="56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GPS latitude for map display</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Longitude</w:t>
            </w:r>
          </w:p>
        </w:tc>
        <w:tc>
          <w:tcPr>
            <w:tcW w:type="dxa" w:w="14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real</w:t>
            </w:r>
          </w:p>
        </w:tc>
        <w:tc>
          <w:tcPr>
            <w:tcW w:type="dxa" w:w="56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GPS longitude for map display</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EngineTemp</w:t>
            </w:r>
          </w:p>
        </w:tc>
        <w:tc>
          <w:tcPr>
            <w:tcW w:type="dxa" w:w="14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real</w:t>
            </w:r>
          </w:p>
        </w:tc>
        <w:tc>
          <w:tcPr>
            <w:tcW w:type="dxa" w:w="56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Engine temperature in °C; overheating alerts</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FuelLevel</w:t>
            </w:r>
          </w:p>
        </w:tc>
        <w:tc>
          <w:tcPr>
            <w:tcW w:type="dxa" w:w="14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real</w:t>
            </w:r>
          </w:p>
        </w:tc>
        <w:tc>
          <w:tcPr>
            <w:tcW w:type="dxa" w:w="56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Tank level in percent; refuelling and consumption monitoring</w:t>
            </w:r>
          </w:p>
        </w:tc>
      </w:tr>
    </w:tbl>
    <w:p>
      <w:pPr>
        <w:spacing w:after="100"/>
      </w:pPr>
    </w:p>
    <w:p>
      <w:pPr>
        <w:pStyle w:val="Heading2"/>
        <w:spacing w:after="80" w:before="160"/>
      </w:pPr>
      <w:r>
        <w:rPr>
          <w:rFonts w:ascii="Calibri" w:cs="Calibri" w:eastAsia="Calibri" w:hAnsi="Calibri"/>
          <w:b/>
          <w:bCs/>
          <w:color w:val="2E5597"/>
          <w:sz w:val="24"/>
          <w:szCs w:val="24"/>
        </w:rPr>
        <w:t xml:space="preserve">KQL time-series query</w:t>
      </w:r>
    </w:p>
    <w:p>
      <w:pPr>
        <w:spacing w:after="120"/>
      </w:pPr>
      <w:r>
        <w:rPr>
          <w:rFonts w:ascii="Calibri" w:cs="Calibri" w:eastAsia="Calibri" w:hAnsi="Calibri"/>
          <w:sz w:val="21"/>
          <w:szCs w:val="21"/>
        </w:rPr>
        <w:t xml:space="preserve">The query aggregates telemetry into five-minute windows per vehicle and keeps the last known position.</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VehicleTelemetry</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where Timestamp &gt; ago(1h)</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summarize AvgEngineTemp = round(avg(EngineTemp), 1),</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MaxEngineTemp = max(EngineTemp),</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MinFuelLevel  = min(FuelLevel),</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LastPosition  = arg_max(Timestamp, Latitude, Longitude)</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by VehicleID, Window = bin(Timestamp, 5m)</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order by Window desc, VehicleID asc</w:t>
      </w:r>
    </w:p>
    <w:p>
      <w:pPr>
        <w:spacing w:after="80"/>
      </w:pPr>
    </w:p>
    <w:p>
      <w:pPr>
        <w:pStyle w:val="Heading2"/>
        <w:spacing w:after="80" w:before="160"/>
      </w:pPr>
      <w:r>
        <w:rPr>
          <w:rFonts w:ascii="Calibri" w:cs="Calibri" w:eastAsia="Calibri" w:hAnsi="Calibri"/>
          <w:b/>
          <w:bCs/>
          <w:color w:val="2E5597"/>
          <w:sz w:val="24"/>
          <w:szCs w:val="24"/>
        </w:rPr>
        <w:t xml:space="preserve">Eventstream configuration</w:t>
      </w:r>
    </w:p>
    <w:p>
      <w:pPr>
        <w:pStyle w:val="ListParagraph"/>
        <w:numPr>
          <w:ilvl w:val="0"/>
          <w:numId w:val="2"/>
        </w:numPr>
        <w:spacing w:after="60"/>
      </w:pPr>
      <w:r>
        <w:rPr>
          <w:rFonts w:ascii="Calibri" w:cs="Calibri" w:eastAsia="Calibri" w:hAnsi="Calibri"/>
          <w:b/>
          <w:bCs/>
          <w:sz w:val="21"/>
          <w:szCs w:val="21"/>
        </w:rPr>
        <w:t xml:space="preserve">Source: </w:t>
      </w:r>
      <w:r>
        <w:rPr>
          <w:rFonts w:ascii="Calibri" w:cs="Calibri" w:eastAsia="Calibri" w:hAnsi="Calibri"/>
          <w:sz w:val="21"/>
          <w:szCs w:val="21"/>
        </w:rPr>
        <w:t xml:space="preserve">Azure IoT Hub (device-to-cloud messages in JSON).</w:t>
      </w:r>
    </w:p>
    <w:p>
      <w:pPr>
        <w:pStyle w:val="ListParagraph"/>
        <w:numPr>
          <w:ilvl w:val="0"/>
          <w:numId w:val="2"/>
        </w:numPr>
        <w:spacing w:after="60"/>
      </w:pPr>
      <w:r>
        <w:rPr>
          <w:rFonts w:ascii="Calibri" w:cs="Calibri" w:eastAsia="Calibri" w:hAnsi="Calibri"/>
          <w:b/>
          <w:bCs/>
          <w:sz w:val="21"/>
          <w:szCs w:val="21"/>
        </w:rPr>
        <w:t xml:space="preserve">Transformation: </w:t>
      </w:r>
      <w:r>
        <w:rPr>
          <w:rFonts w:ascii="Calibri" w:cs="Calibri" w:eastAsia="Calibri" w:hAnsi="Calibri"/>
          <w:sz w:val="21"/>
          <w:szCs w:val="21"/>
        </w:rPr>
        <w:t xml:space="preserve">a Filter operator drops malformed events (null VehicleID, latitude outside ±90, longitude outside ±180, EngineTemp outside -40 to 200 °C). A Manage Fields operator maps JSON properties to the table columns.</w:t>
      </w:r>
    </w:p>
    <w:p>
      <w:pPr>
        <w:pStyle w:val="ListParagraph"/>
        <w:numPr>
          <w:ilvl w:val="0"/>
          <w:numId w:val="2"/>
        </w:numPr>
        <w:spacing w:after="60"/>
      </w:pPr>
      <w:r>
        <w:rPr>
          <w:rFonts w:ascii="Calibri" w:cs="Calibri" w:eastAsia="Calibri" w:hAnsi="Calibri"/>
          <w:b/>
          <w:bCs/>
          <w:sz w:val="21"/>
          <w:szCs w:val="21"/>
        </w:rPr>
        <w:t xml:space="preserve">Destination: </w:t>
      </w:r>
      <w:r>
        <w:rPr>
          <w:rFonts w:ascii="Calibri" w:cs="Calibri" w:eastAsia="Calibri" w:hAnsi="Calibri"/>
          <w:sz w:val="21"/>
          <w:szCs w:val="21"/>
        </w:rPr>
        <w:t xml:space="preserve">the VehicleTelemetry table in the Eventhouse, using direct ingestion.</w:t>
      </w:r>
    </w:p>
    <w:p>
      <w:pPr>
        <w:pStyle w:val="Heading2"/>
        <w:spacing w:after="80" w:before="160"/>
      </w:pPr>
      <w:r>
        <w:rPr>
          <w:rFonts w:ascii="Calibri" w:cs="Calibri" w:eastAsia="Calibri" w:hAnsi="Calibri"/>
          <w:b/>
          <w:bCs/>
          <w:color w:val="2E5597"/>
          <w:sz w:val="24"/>
          <w:szCs w:val="24"/>
        </w:rPr>
        <w:t xml:space="preserve">Retention policy</w:t>
      </w:r>
    </w:p>
    <w:p>
      <w:pPr>
        <w:spacing w:after="120"/>
      </w:pPr>
      <w:r>
        <w:rPr>
          <w:rFonts w:ascii="Calibri" w:cs="Calibri" w:eastAsia="Calibri" w:hAnsi="Calibri"/>
          <w:sz w:val="21"/>
          <w:szCs w:val="21"/>
        </w:rPr>
        <w:t xml:space="preserve">Raw telemetry is retained for 60 days, then deleted automatically. A materialized view of the five-minute aggregates is kept for 24 months to support trend analysis at a fraction of the storage cost.</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.alter-merge table VehicleTelemetry policy retention</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```{"SoftDeletePeriod": "60.00:00:00", "Recoverability": "Disabled"}```</w:t>
      </w:r>
    </w:p>
    <w:p>
      <w:pPr>
        <w:spacing w:after="80"/>
      </w:pPr>
    </w:p>
    <w:p>
      <w:pPr>
        <w:pStyle w:val="Heading1"/>
        <w:spacing w:after="120" w:before="280"/>
      </w:pPr>
      <w:r>
        <w:rPr>
          <w:rFonts w:ascii="Calibri" w:cs="Calibri" w:eastAsia="Calibri" w:hAnsi="Calibri"/>
          <w:b/>
          <w:bCs/>
          <w:color w:val="1F3864"/>
          <w:sz w:val="30"/>
          <w:szCs w:val="30"/>
        </w:rPr>
        <w:t xml:space="preserve">2. Semantic Model Design</w:t>
      </w:r>
    </w:p>
    <w:p>
      <w:pPr>
        <w:spacing w:after="120"/>
      </w:pPr>
      <w:r>
        <w:rPr>
          <w:rFonts w:ascii="Calibri" w:cs="Calibri" w:eastAsia="Calibri" w:hAnsi="Calibri"/>
          <w:sz w:val="21"/>
          <w:szCs w:val="21"/>
        </w:rPr>
        <w:t xml:space="preserve">The model is a star schema with one fact table and three dimensions. Date is marked as the date table, and auto date/time is disabled.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Table</w:t>
            </w:r>
          </w:p>
        </w:tc>
        <w:tc>
          <w:tcPr>
            <w:tcW w:type="dxa" w:w="33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Key columns</w:t>
            </w:r>
          </w:p>
        </w:tc>
        <w:tc>
          <w:tcPr>
            <w:tcW w:type="dxa" w:w="34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Role</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FactDeliveries</w:t>
            </w:r>
          </w:p>
        </w:tc>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DeliveryID, DateKey, VehicleKey, RouteKey, DeliveryTime, Distance, FuelUsed</w:t>
            </w:r>
          </w:p>
        </w:tc>
        <w:tc>
          <w:tcPr>
            <w:tcW w:type="dxa" w:w="3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Fact: one row per delivery</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DimDate</w:t>
            </w:r>
          </w:p>
        </w:tc>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DateKey, Date, Year, Quarter, Month, Day</w:t>
            </w:r>
          </w:p>
        </w:tc>
        <w:tc>
          <w:tcPr>
            <w:tcW w:type="dxa" w:w="3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Calendar dimension</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DimVehicle</w:t>
            </w:r>
          </w:p>
        </w:tc>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VehicleKey, VehicleID, VehicleType, Region</w:t>
            </w:r>
          </w:p>
        </w:tc>
        <w:tc>
          <w:tcPr>
            <w:tcW w:type="dxa" w:w="3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Vehicle attributes</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DimRoute</w:t>
            </w:r>
          </w:p>
        </w:tc>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RouteKey, RouteName, Region</w:t>
            </w:r>
          </w:p>
        </w:tc>
        <w:tc>
          <w:tcPr>
            <w:tcW w:type="dxa" w:w="3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Route attributes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3226"/>
      </w:tblGrid>
      <w:tr>
        <w:trPr>
          <w:tblHeader/>
        </w:trPr>
        <w:tc>
          <w:tcPr>
            <w:tcW w:type="dxa" w:w="31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Relationship</w:t>
            </w:r>
          </w:p>
        </w:tc>
        <w:tc>
          <w:tcPr>
            <w:tcW w:type="dxa" w:w="27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Cardinality</w:t>
            </w:r>
          </w:p>
        </w:tc>
        <w:tc>
          <w:tcPr>
            <w:tcW w:type="dxa" w:w="32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Filter direction</w:t>
            </w:r>
          </w:p>
        </w:tc>
      </w:tr>
      <w:tr>
        <w:trPr>
          <w:tblHeader w:val="false"/>
        </w:trPr>
        <w:tc>
          <w:tcPr>
            <w:tcW w:type="dxa" w:w="31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FactDeliveries[DateKey] to DimDate[DateKey]</w:t>
            </w:r>
          </w:p>
        </w:tc>
        <w:tc>
          <w:tcPr>
            <w:tcW w:type="dxa" w:w="27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Many-to-one</w:t>
            </w:r>
          </w:p>
        </w:tc>
        <w:tc>
          <w:tcPr>
            <w:tcW w:type="dxa" w:w="32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Single (dimension to fact)</w:t>
            </w:r>
          </w:p>
        </w:tc>
      </w:tr>
      <w:tr>
        <w:trPr>
          <w:tblHeader w:val="false"/>
        </w:trPr>
        <w:tc>
          <w:tcPr>
            <w:tcW w:type="dxa" w:w="31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FactDeliveries[VehicleKey] to DimVehicle[VehicleKey]</w:t>
            </w:r>
          </w:p>
        </w:tc>
        <w:tc>
          <w:tcPr>
            <w:tcW w:type="dxa" w:w="27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Many-to-one</w:t>
            </w:r>
          </w:p>
        </w:tc>
        <w:tc>
          <w:tcPr>
            <w:tcW w:type="dxa" w:w="32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Single (dimension to fact)</w:t>
            </w:r>
          </w:p>
        </w:tc>
      </w:tr>
      <w:tr>
        <w:trPr>
          <w:tblHeader w:val="false"/>
        </w:trPr>
        <w:tc>
          <w:tcPr>
            <w:tcW w:type="dxa" w:w="31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FactDeliveries[RouteKey] to DimRoute[RouteKey]</w:t>
            </w:r>
          </w:p>
        </w:tc>
        <w:tc>
          <w:tcPr>
            <w:tcW w:type="dxa" w:w="27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Many-to-one</w:t>
            </w:r>
          </w:p>
        </w:tc>
        <w:tc>
          <w:tcPr>
            <w:tcW w:type="dxa" w:w="32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Single (dimension to fact)</w:t>
            </w:r>
          </w:p>
        </w:tc>
      </w:tr>
    </w:tbl>
    <w:p>
      <w:pPr>
        <w:spacing w:after="100"/>
      </w:pPr>
    </w:p>
    <w:p>
      <w:pPr>
        <w:pStyle w:val="Heading2"/>
        <w:spacing w:after="80" w:before="160"/>
      </w:pPr>
      <w:r>
        <w:rPr>
          <w:rFonts w:ascii="Calibri" w:cs="Calibri" w:eastAsia="Calibri" w:hAnsi="Calibri"/>
          <w:b/>
          <w:bCs/>
          <w:color w:val="2E5597"/>
          <w:sz w:val="24"/>
          <w:szCs w:val="24"/>
        </w:rPr>
        <w:t xml:space="preserve">Hierarchies</w:t>
      </w:r>
    </w:p>
    <w:p>
      <w:pPr>
        <w:pStyle w:val="ListParagraph"/>
        <w:numPr>
          <w:ilvl w:val="0"/>
          <w:numId w:val="2"/>
        </w:numPr>
        <w:spacing w:after="60"/>
      </w:pPr>
      <w:r>
        <w:rPr>
          <w:rFonts w:ascii="Calibri" w:cs="Calibri" w:eastAsia="Calibri" w:hAnsi="Calibri"/>
          <w:b/>
          <w:bCs/>
          <w:sz w:val="21"/>
          <w:szCs w:val="21"/>
        </w:rPr>
        <w:t xml:space="preserve">Date: </w:t>
      </w:r>
      <w:r>
        <w:rPr>
          <w:rFonts w:ascii="Calibri" w:cs="Calibri" w:eastAsia="Calibri" w:hAnsi="Calibri"/>
          <w:sz w:val="21"/>
          <w:szCs w:val="21"/>
        </w:rPr>
        <w:t xml:space="preserve">Year &gt; Quarter &gt; Month &gt; Day.</w:t>
      </w:r>
    </w:p>
    <w:p>
      <w:pPr>
        <w:pStyle w:val="ListParagraph"/>
        <w:numPr>
          <w:ilvl w:val="0"/>
          <w:numId w:val="2"/>
        </w:numPr>
        <w:spacing w:after="60"/>
      </w:pPr>
      <w:r>
        <w:rPr>
          <w:rFonts w:ascii="Calibri" w:cs="Calibri" w:eastAsia="Calibri" w:hAnsi="Calibri"/>
          <w:b/>
          <w:bCs/>
          <w:sz w:val="21"/>
          <w:szCs w:val="21"/>
        </w:rPr>
        <w:t xml:space="preserve">Geography: </w:t>
      </w:r>
      <w:r>
        <w:rPr>
          <w:rFonts w:ascii="Calibri" w:cs="Calibri" w:eastAsia="Calibri" w:hAnsi="Calibri"/>
          <w:sz w:val="21"/>
          <w:szCs w:val="21"/>
        </w:rPr>
        <w:t xml:space="preserve">Region &gt; Route, for drill-down from regional to route performance.</w:t>
      </w:r>
    </w:p>
    <w:p>
      <w:pPr>
        <w:pStyle w:val="Heading2"/>
        <w:spacing w:after="80" w:before="160"/>
      </w:pPr>
      <w:r>
        <w:rPr>
          <w:rFonts w:ascii="Calibri" w:cs="Calibri" w:eastAsia="Calibri" w:hAnsi="Calibri"/>
          <w:b/>
          <w:bCs/>
          <w:color w:val="2E5597"/>
          <w:sz w:val="24"/>
          <w:szCs w:val="24"/>
        </w:rPr>
        <w:t xml:space="preserve">Field parameter</w:t>
      </w:r>
    </w:p>
    <w:p>
      <w:pPr>
        <w:spacing w:after="120"/>
      </w:pPr>
      <w:r>
        <w:rPr>
          <w:rFonts w:ascii="Calibri" w:cs="Calibri" w:eastAsia="Calibri" w:hAnsi="Calibri"/>
          <w:sz w:val="21"/>
          <w:szCs w:val="21"/>
        </w:rPr>
        <w:t xml:space="preserve">A field parameter lets users switch the measure shown in a single visual.</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Metric Selector =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("Avg Delivery Time",    NAMEOF('Measures'[Avg Delivery Time]),    0),</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("Total Distance",       NAMEOF('Measures'[Total Distance]),       1),</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("Avg Fuel Efficiency",  NAMEOF('Measures'[Avg Fuel Efficiency]),  2)</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w:t>
      </w:r>
    </w:p>
    <w:p>
      <w:pPr>
        <w:spacing w:after="80"/>
      </w:pPr>
    </w:p>
    <w:p>
      <w:pPr>
        <w:pStyle w:val="Heading1"/>
        <w:spacing w:after="120" w:before="280"/>
      </w:pPr>
      <w:r>
        <w:rPr>
          <w:rFonts w:ascii="Calibri" w:cs="Calibri" w:eastAsia="Calibri" w:hAnsi="Calibri"/>
          <w:b/>
          <w:bCs/>
          <w:color w:val="1F3864"/>
          <w:sz w:val="30"/>
          <w:szCs w:val="30"/>
        </w:rPr>
        <w:t xml:space="preserve">3. DAX Optimization</w:t>
      </w:r>
    </w:p>
    <w:p>
      <w:pPr>
        <w:pStyle w:val="Heading2"/>
        <w:spacing w:after="80" w:before="160"/>
      </w:pPr>
      <w:r>
        <w:rPr>
          <w:rFonts w:ascii="Calibri" w:cs="Calibri" w:eastAsia="Calibri" w:hAnsi="Calibri"/>
          <w:b/>
          <w:bCs/>
          <w:color w:val="2E5597"/>
          <w:sz w:val="24"/>
          <w:szCs w:val="24"/>
        </w:rPr>
        <w:t xml:space="preserve">Optimized measures</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Avg Delivery Time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TotalMinutes = SUM ( FactDeliveries[DeliveryTime]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Deliveries   = COUNTROWS ( FactDeliveries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RETURN DIVIDE ( TotalMinutes, Deliveries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Total Distance = SUM ( FactDeliveries[Distance]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Avg Fuel Efficiency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Km   = SUM ( FactDeliveries[Distance]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Fuel = SUM ( FactDeliveries[FuelUsed]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RETURN DIVIDE ( Km, Fuel )</w:t>
      </w:r>
    </w:p>
    <w:p>
      <w:pPr>
        <w:spacing w:after="80"/>
      </w:pPr>
    </w:p>
    <w:p>
      <w:pPr>
        <w:pStyle w:val="ListParagraph"/>
        <w:numPr>
          <w:ilvl w:val="0"/>
          <w:numId w:val="2"/>
        </w:numPr>
        <w:spacing w:after="60"/>
      </w:pPr>
      <w:r>
        <w:rPr>
          <w:rFonts w:ascii="Calibri" w:cs="Calibri" w:eastAsia="Calibri" w:hAnsi="Calibri"/>
          <w:sz w:val="21"/>
          <w:szCs w:val="21"/>
        </w:rPr>
        <w:t xml:space="preserve">VAR statements evaluate each aggregation once and make the logic easy to read.</w:t>
      </w:r>
    </w:p>
    <w:p>
      <w:pPr>
        <w:pStyle w:val="ListParagraph"/>
        <w:numPr>
          <w:ilvl w:val="0"/>
          <w:numId w:val="2"/>
        </w:numPr>
        <w:spacing w:after="60"/>
      </w:pPr>
      <w:r>
        <w:rPr>
          <w:rFonts w:ascii="Calibri" w:cs="Calibri" w:eastAsia="Calibri" w:hAnsi="Calibri"/>
          <w:sz w:val="21"/>
          <w:szCs w:val="21"/>
        </w:rPr>
        <w:t xml:space="preserve">Measures reference columns directly (SUM over a column), never other measures inside iterators, which avoids repeated context transition.</w:t>
      </w:r>
    </w:p>
    <w:p>
      <w:pPr>
        <w:pStyle w:val="ListParagraph"/>
        <w:numPr>
          <w:ilvl w:val="0"/>
          <w:numId w:val="2"/>
        </w:numPr>
        <w:spacing w:after="60"/>
      </w:pPr>
      <w:r>
        <w:rPr>
          <w:rFonts w:ascii="Calibri" w:cs="Calibri" w:eastAsia="Calibri" w:hAnsi="Calibri"/>
          <w:sz w:val="21"/>
          <w:szCs w:val="21"/>
        </w:rPr>
        <w:t xml:space="preserve">DIVIDE handles zero denominators safely, replacing slower IF-based checks.</w:t>
      </w:r>
    </w:p>
    <w:p>
      <w:pPr>
        <w:pStyle w:val="Heading2"/>
        <w:spacing w:after="80" w:before="160"/>
      </w:pPr>
      <w:r>
        <w:rPr>
          <w:rFonts w:ascii="Calibri" w:cs="Calibri" w:eastAsia="Calibri" w:hAnsi="Calibri"/>
          <w:b/>
          <w:bCs/>
          <w:color w:val="2E5597"/>
          <w:sz w:val="24"/>
          <w:szCs w:val="24"/>
        </w:rPr>
        <w:t xml:space="preserve">Time intelligence and calculation group</w:t>
      </w:r>
    </w:p>
    <w:p>
      <w:pPr>
        <w:spacing w:after="120"/>
      </w:pPr>
      <w:r>
        <w:rPr>
          <w:rFonts w:ascii="Calibri" w:cs="Calibri" w:eastAsia="Calibri" w:hAnsi="Calibri"/>
          <w:sz w:val="21"/>
          <w:szCs w:val="21"/>
        </w:rPr>
        <w:t xml:space="preserve">One calculation group, Time Intelligence, wraps any base measure through SELECTEDMEASURE(). Because DimDate is a marked date table, the time functions work reliably on every measure, so results stay consistent whichever metric the user selects. The five items below replace roughly 15 to 20 explicit measures (three base measures times five variants).</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Current = SELECTEDMEASURE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YTD = CALCULATE ( SELECTEDMEASURE (), DATESYTD ( DimDate[Date] )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PY  = CALCULATE ( SELECTEDMEASURE (), SAMEPERIODLASTYEAR ( DimDate[Date] )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YoY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Cur = SELECTEDMEASURE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PY  = CALCULATE ( SELECTEDMEASURE (), SAMEPERIODLASTYEAR ( DimDate[Date] )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RETURN IF ( NOT ISBLANK ( PY ), Cur - PY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YoY %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Cur = SELECTEDMEASURE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VAR PY  = CALCULATE ( SELECTEDMEASURE (), SAMEPERIODLASTYEAR ( DimDate[Date] )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RETURN DIVIDE ( Cur - PY, PY )</w:t>
      </w:r>
    </w:p>
    <w:p>
      <w:pPr>
        <w:pBdr>
          <w:left w:val="single" w:color="2E5597" w:sz="12" w:space="6"/>
        </w:pBdr>
        <w:shd w:fill="F2F4F7" w:color="auto" w:val="clear"/>
        <w:spacing w:after="0" w:line="240"/>
        <w:ind w:left="120"/>
      </w:pPr>
      <w:r>
        <w:rPr>
          <w:rFonts w:ascii="Consolas" w:cs="Consolas" w:eastAsia="Consolas" w:hAnsi="Consolas"/>
          <w:sz w:val="17"/>
          <w:szCs w:val="17"/>
        </w:rPr>
        <w:t xml:space="preserve">-- Format string expression: "0.0%"</w:t>
      </w:r>
    </w:p>
    <w:p>
      <w:pPr>
        <w:spacing w:after="80"/>
      </w:pPr>
    </w:p>
    <w:p>
      <w:pPr>
        <w:spacing w:after="120"/>
      </w:pPr>
      <w:r>
        <w:rPr>
          <w:rFonts w:ascii="Calibri" w:cs="Calibri" w:eastAsia="Calibri" w:hAnsi="Calibri"/>
          <w:b/>
          <w:bCs/>
          <w:sz w:val="21"/>
          <w:szCs w:val="21"/>
        </w:rPr>
        <w:t xml:space="preserve">Dynamic formatting: </w:t>
      </w:r>
      <w:r>
        <w:rPr>
          <w:rFonts w:ascii="Calibri" w:cs="Calibri" w:eastAsia="Calibri" w:hAnsi="Calibri"/>
          <w:sz w:val="21"/>
          <w:szCs w:val="21"/>
        </w:rPr>
        <w:t xml:space="preserve">Current, YTD, PY and YoY use SELECTEDMEASUREFORMATSTRING() to inherit each base measure’s format. YoY % uses the fixed format 0.0%.</w:t>
      </w:r>
    </w:p>
    <w:p>
      <w:pPr>
        <w:pStyle w:val="Heading1"/>
        <w:spacing w:after="120" w:before="280"/>
      </w:pPr>
      <w:r>
        <w:rPr>
          <w:rFonts w:ascii="Calibri" w:cs="Calibri" w:eastAsia="Calibri" w:hAnsi="Calibri"/>
          <w:b/>
          <w:bCs/>
          <w:color w:val="1F3864"/>
          <w:sz w:val="30"/>
          <w:szCs w:val="30"/>
        </w:rPr>
        <w:t xml:space="preserve">4. Performance Tuning</w:t>
      </w:r>
    </w:p>
    <w:p>
      <w:pPr>
        <w:pStyle w:val="Heading2"/>
        <w:spacing w:after="80" w:before="160"/>
      </w:pPr>
      <w:r>
        <w:rPr>
          <w:rFonts w:ascii="Calibri" w:cs="Calibri" w:eastAsia="Calibri" w:hAnsi="Calibri"/>
          <w:b/>
          <w:bCs/>
          <w:color w:val="2E5597"/>
          <w:sz w:val="24"/>
          <w:szCs w:val="24"/>
        </w:rPr>
        <w:t xml:space="preserve">Incremental refresh</w:t>
      </w:r>
    </w:p>
    <w:p>
      <w:pPr>
        <w:spacing w:after="120"/>
      </w:pPr>
      <w:r>
        <w:rPr>
          <w:rFonts w:ascii="Calibri" w:cs="Calibri" w:eastAsia="Calibri" w:hAnsi="Calibri"/>
          <w:sz w:val="21"/>
          <w:szCs w:val="21"/>
        </w:rPr>
        <w:t xml:space="preserve">The daily aggregation table refreshes incrementally using the datetime parameters RangeStart and RangeEnd, applied as a filter on the delivery date column (&gt;= RangeStart and &lt; RangeEnd). The archive period is three years, and the incremental period is the last seven days. Each scheduled refresh reloads only the seven-day window; older partitions are untouched, and “detect data changes” on a ModifiedDate column skips unchanged partitions.</w:t>
      </w:r>
    </w:p>
    <w:p>
      <w:pPr>
        <w:pStyle w:val="Heading2"/>
        <w:spacing w:after="80" w:before="160"/>
      </w:pPr>
      <w:r>
        <w:rPr>
          <w:rFonts w:ascii="Calibri" w:cs="Calibri" w:eastAsia="Calibri" w:hAnsi="Calibri"/>
          <w:b/>
          <w:bCs/>
          <w:color w:val="2E5597"/>
          <w:sz w:val="24"/>
          <w:szCs w:val="24"/>
        </w:rPr>
        <w:t xml:space="preserve">Aggregation table</w:t>
      </w:r>
    </w:p>
    <w:p>
      <w:pPr>
        <w:spacing w:after="120"/>
      </w:pPr>
      <w:r>
        <w:rPr>
          <w:rFonts w:ascii="Calibri" w:cs="Calibri" w:eastAsia="Calibri" w:hAnsi="Calibri"/>
          <w:sz w:val="21"/>
          <w:szCs w:val="21"/>
        </w:rPr>
        <w:t xml:space="preserve">AggDeliveriesDaily is stored in Import mode. FactDeliveries stays in DirectQuery as the detail table, and dimensions use Dual storage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Setting</w:t>
            </w:r>
          </w:p>
        </w:tc>
        <w:tc>
          <w:tcPr>
            <w:tcW w:type="dxa" w:w="64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Configuration</w:t>
            </w:r>
          </w:p>
        </w:tc>
      </w:tr>
      <w:tr>
        <w:trPr>
          <w:tblHeader w:val="false"/>
        </w:trPr>
        <w:tc>
          <w:tcPr>
            <w:tcW w:type="dxa" w:w="26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Grouping columns</w:t>
            </w:r>
          </w:p>
        </w:tc>
        <w:tc>
          <w:tcPr>
            <w:tcW w:type="dxa" w:w="6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DateKey, RouteKey, VehicleKey</w:t>
            </w:r>
          </w:p>
        </w:tc>
      </w:tr>
      <w:tr>
        <w:trPr>
          <w:tblHeader w:val="false"/>
        </w:trPr>
        <w:tc>
          <w:tcPr>
            <w:tcW w:type="dxa" w:w="26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Aggregations</w:t>
            </w:r>
          </w:p>
        </w:tc>
        <w:tc>
          <w:tcPr>
            <w:tcW w:type="dxa" w:w="6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Sum of Distance, Sum of FuelUsed, Sum of DeliveryTime, Count of rows</w:t>
            </w:r>
          </w:p>
        </w:tc>
      </w:tr>
      <w:tr>
        <w:trPr>
          <w:tblHeader w:val="false"/>
        </w:trPr>
        <w:tc>
          <w:tcPr>
            <w:tcW w:type="dxa" w:w="26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Manage Aggregations</w:t>
            </w:r>
          </w:p>
        </w:tc>
        <w:tc>
          <w:tcPr>
            <w:tcW w:type="dxa" w:w="6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Each summarised column maps to the matching FactDeliveries column (Sum or Count rows)</w:t>
            </w:r>
          </w:p>
        </w:tc>
      </w:tr>
      <w:tr>
        <w:trPr>
          <w:tblHeader w:val="false"/>
        </w:trPr>
        <w:tc>
          <w:tcPr>
            <w:tcW w:type="dxa" w:w="26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Queries accelerated</w:t>
            </w:r>
          </w:p>
        </w:tc>
        <w:tc>
          <w:tcPr>
            <w:tcW w:type="dxa" w:w="64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Regional and route totals, YTD, PY and YoY comparisons, and averages at day level or above</w:t>
            </w:r>
          </w:p>
        </w:tc>
      </w:tr>
    </w:tbl>
    <w:p>
      <w:pPr>
        <w:spacing w:after="100"/>
      </w:pPr>
    </w:p>
    <w:p>
      <w:pPr>
        <w:pStyle w:val="Heading2"/>
        <w:spacing w:after="80" w:before="160"/>
      </w:pPr>
      <w:r>
        <w:rPr>
          <w:rFonts w:ascii="Calibri" w:cs="Calibri" w:eastAsia="Calibri" w:hAnsi="Calibri"/>
          <w:b/>
          <w:bCs/>
          <w:color w:val="2E5597"/>
          <w:sz w:val="24"/>
          <w:szCs w:val="24"/>
        </w:rPr>
        <w:t xml:space="preserve">Performance Analyzer results</w:t>
      </w:r>
    </w:p>
    <w:p>
      <w:pPr>
        <w:spacing w:after="120"/>
      </w:pPr>
      <w:r>
        <w:rPr>
          <w:rFonts w:ascii="Calibri" w:cs="Calibri" w:eastAsia="Calibri" w:hAnsi="Calibri"/>
          <w:sz w:val="21"/>
          <w:szCs w:val="21"/>
        </w:rPr>
        <w:t xml:space="preserve">The slowest visual was the route-level matrix with YoY %. Its bottleneck was DAX query time, caused by scanning the detail table. Routing it to the aggregation table resolved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tblHeader/>
        </w:trPr>
        <w:tc>
          <w:tcPr>
            <w:tcW w:type="dxa" w:w="33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Visual</w:t>
            </w:r>
          </w:p>
        </w:tc>
        <w:tc>
          <w:tcPr>
            <w:tcW w:type="dxa" w:w="19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Baseline</w:t>
            </w:r>
          </w:p>
        </w:tc>
        <w:tc>
          <w:tcPr>
            <w:tcW w:type="dxa" w:w="19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Optimized</w:t>
            </w:r>
          </w:p>
        </w:tc>
        <w:tc>
          <w:tcPr>
            <w:tcW w:type="dxa" w:w="19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Bottleneck</w:t>
            </w:r>
          </w:p>
        </w:tc>
      </w:tr>
      <w:tr>
        <w:trPr>
          <w:tblHeader w:val="false"/>
        </w:trPr>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Route matrix (YoY %)</w:t>
            </w:r>
          </w:p>
        </w:tc>
        <w:tc>
          <w:tcPr>
            <w:tcW w:type="dxa" w:w="19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2,900 ms</w:t>
            </w:r>
          </w:p>
        </w:tc>
        <w:tc>
          <w:tcPr>
            <w:tcW w:type="dxa" w:w="19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420 ms</w:t>
            </w:r>
          </w:p>
        </w:tc>
        <w:tc>
          <w:tcPr>
            <w:tcW w:type="dxa" w:w="19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DAX</w:t>
            </w:r>
          </w:p>
        </w:tc>
      </w:tr>
      <w:tr>
        <w:trPr>
          <w:tblHeader w:val="false"/>
        </w:trPr>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Trend line chart</w:t>
            </w:r>
          </w:p>
        </w:tc>
        <w:tc>
          <w:tcPr>
            <w:tcW w:type="dxa" w:w="19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1,100 ms</w:t>
            </w:r>
          </w:p>
        </w:tc>
        <w:tc>
          <w:tcPr>
            <w:tcW w:type="dxa" w:w="19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310 ms</w:t>
            </w:r>
          </w:p>
        </w:tc>
        <w:tc>
          <w:tcPr>
            <w:tcW w:type="dxa" w:w="19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DAX</w:t>
            </w:r>
          </w:p>
        </w:tc>
      </w:tr>
      <w:tr>
        <w:trPr>
          <w:tblHeader w:val="false"/>
        </w:trPr>
        <w:tc>
          <w:tcPr>
            <w:tcW w:type="dxa" w:w="3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Fleet map</w:t>
            </w:r>
          </w:p>
        </w:tc>
        <w:tc>
          <w:tcPr>
            <w:tcW w:type="dxa" w:w="19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900 ms</w:t>
            </w:r>
          </w:p>
        </w:tc>
        <w:tc>
          <w:tcPr>
            <w:tcW w:type="dxa" w:w="19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650 ms</w:t>
            </w:r>
          </w:p>
        </w:tc>
        <w:tc>
          <w:tcPr>
            <w:tcW w:type="dxa" w:w="19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Display</w:t>
            </w:r>
          </w:p>
        </w:tc>
      </w:tr>
    </w:tbl>
    <w:p>
      <w:pPr>
        <w:spacing w:after="100"/>
      </w:pPr>
    </w:p>
    <w:p>
      <w:pPr>
        <w:pStyle w:val="Heading2"/>
        <w:spacing w:after="80" w:before="160"/>
      </w:pPr>
      <w:r>
        <w:rPr>
          <w:rFonts w:ascii="Calibri" w:cs="Calibri" w:eastAsia="Calibri" w:hAnsi="Calibri"/>
          <w:b/>
          <w:bCs/>
          <w:color w:val="2E5597"/>
          <w:sz w:val="24"/>
          <w:szCs w:val="24"/>
        </w:rPr>
        <w:t xml:space="preserve">Optimization summary</w:t>
      </w:r>
    </w:p>
    <w:p>
      <w:pPr>
        <w:pStyle w:val="ListParagraph"/>
        <w:numPr>
          <w:ilvl w:val="0"/>
          <w:numId w:val="2"/>
        </w:numPr>
        <w:spacing w:after="60"/>
      </w:pPr>
      <w:r>
        <w:rPr>
          <w:rFonts w:ascii="Calibri" w:cs="Calibri" w:eastAsia="Calibri" w:hAnsi="Calibri"/>
          <w:sz w:val="21"/>
          <w:szCs w:val="21"/>
        </w:rPr>
        <w:t xml:space="preserve">Disabled auto date/time, removing hidden date tables.</w:t>
      </w:r>
    </w:p>
    <w:p>
      <w:pPr>
        <w:pStyle w:val="ListParagraph"/>
        <w:numPr>
          <w:ilvl w:val="0"/>
          <w:numId w:val="2"/>
        </w:numPr>
        <w:spacing w:after="60"/>
      </w:pPr>
      <w:r>
        <w:rPr>
          <w:rFonts w:ascii="Calibri" w:cs="Calibri" w:eastAsia="Calibri" w:hAnsi="Calibri"/>
          <w:sz w:val="21"/>
          <w:szCs w:val="21"/>
        </w:rPr>
        <w:t xml:space="preserve">Added the aggregation table: the largest gain, about 85% faster on the matrix.</w:t>
      </w:r>
    </w:p>
    <w:p>
      <w:pPr>
        <w:pStyle w:val="ListParagraph"/>
        <w:numPr>
          <w:ilvl w:val="0"/>
          <w:numId w:val="2"/>
        </w:numPr>
        <w:spacing w:after="60"/>
      </w:pPr>
      <w:r>
        <w:rPr>
          <w:rFonts w:ascii="Calibri" w:cs="Calibri" w:eastAsia="Calibri" w:hAnsi="Calibri"/>
          <w:sz w:val="21"/>
          <w:szCs w:val="21"/>
        </w:rPr>
        <w:t xml:space="preserve">Replaced explicit time-intelligence measures with the calculation group, shrinking the model.</w:t>
      </w:r>
    </w:p>
    <w:p>
      <w:pPr>
        <w:pStyle w:val="ListParagraph"/>
        <w:numPr>
          <w:ilvl w:val="0"/>
          <w:numId w:val="2"/>
        </w:numPr>
        <w:spacing w:after="60"/>
      </w:pPr>
      <w:r>
        <w:rPr>
          <w:rFonts w:ascii="Calibri" w:cs="Calibri" w:eastAsia="Calibri" w:hAnsi="Calibri"/>
          <w:sz w:val="21"/>
          <w:szCs w:val="21"/>
        </w:rPr>
        <w:t xml:space="preserve">Limited each page to eight visuals or fewer and replaced high-cardinality slicers with Top N filters.</w:t>
      </w:r>
    </w:p>
    <w:p>
      <w:pPr>
        <w:pStyle w:val="ListParagraph"/>
        <w:numPr>
          <w:ilvl w:val="0"/>
          <w:numId w:val="2"/>
        </w:numPr>
        <w:spacing w:after="60"/>
      </w:pPr>
      <w:r>
        <w:rPr>
          <w:rFonts w:ascii="Calibri" w:cs="Calibri" w:eastAsia="Calibri" w:hAnsi="Calibri"/>
          <w:sz w:val="21"/>
          <w:szCs w:val="21"/>
        </w:rPr>
        <w:t xml:space="preserve">Used single-direction relationships and VAR-based measures.</w:t>
      </w:r>
    </w:p>
    <w:p>
      <w:pPr>
        <w:spacing w:after="120" w:before="80"/>
      </w:pPr>
      <w:r>
        <w:rPr>
          <w:rFonts w:ascii="Calibri" w:cs="Calibri" w:eastAsia="Calibri" w:hAnsi="Calibri"/>
          <w:b/>
          <w:bCs/>
          <w:sz w:val="21"/>
          <w:szCs w:val="21"/>
        </w:rPr>
        <w:t xml:space="preserve">Note: </w:t>
      </w:r>
      <w:r>
        <w:rPr>
          <w:rFonts w:ascii="Calibri" w:cs="Calibri" w:eastAsia="Calibri" w:hAnsi="Calibri"/>
          <w:sz w:val="21"/>
          <w:szCs w:val="21"/>
        </w:rPr>
        <w:t xml:space="preserve">the timings in this document are representative benchmarks. Replace them with values captured from Performance Analyzer in your environment before sign-off.</w:t>
      </w:r>
    </w:p>
    <w:p>
      <w:pPr>
        <w:pStyle w:val="Heading1"/>
        <w:spacing w:after="120" w:before="280"/>
      </w:pPr>
      <w:r>
        <w:rPr>
          <w:rFonts w:ascii="Calibri" w:cs="Calibri" w:eastAsia="Calibri" w:hAnsi="Calibri"/>
          <w:b/>
          <w:bCs/>
          <w:color w:val="1F3864"/>
          <w:sz w:val="30"/>
          <w:szCs w:val="30"/>
        </w:rPr>
        <w:t xml:space="preserve">5. Dashboard Architecture</w:t>
      </w:r>
    </w:p>
    <w:p>
      <w:pPr>
        <w:pStyle w:val="Heading2"/>
        <w:spacing w:after="80" w:before="160"/>
      </w:pPr>
      <w:r>
        <w:rPr>
          <w:rFonts w:ascii="Calibri" w:cs="Calibri" w:eastAsia="Calibri" w:hAnsi="Calibri"/>
          <w:b/>
          <w:bCs/>
          <w:color w:val="2E5597"/>
          <w:sz w:val="24"/>
          <w:szCs w:val="24"/>
        </w:rPr>
        <w:t xml:space="preserve">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Page</w:t>
            </w:r>
          </w:p>
        </w:tc>
        <w:tc>
          <w:tcPr>
            <w:tcW w:type="dxa" w:w="35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Purpose</w:t>
            </w:r>
          </w:p>
        </w:tc>
        <w:tc>
          <w:tcPr>
            <w:tcW w:type="dxa" w:w="32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Visuals</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Fleet Live View</w:t>
            </w:r>
          </w:p>
        </w:tc>
        <w:tc>
          <w:tcPr>
            <w:tcW w:type="dxa" w:w="3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Monitor vehicles in near real time</w:t>
            </w:r>
          </w:p>
        </w:tc>
        <w:tc>
          <w:tcPr>
            <w:tcW w:type="dxa" w:w="32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Map, KPI cards, engine-temperature table</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Delivery Performance</w:t>
            </w:r>
          </w:p>
        </w:tc>
        <w:tc>
          <w:tcPr>
            <w:tcW w:type="dxa" w:w="3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Compare YTD, PY and YoY results</w:t>
            </w:r>
          </w:p>
        </w:tc>
        <w:tc>
          <w:tcPr>
            <w:tcW w:type="dxa" w:w="32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Line chart, matrix, metric selector</w:t>
            </w:r>
          </w:p>
        </w:tc>
      </w:tr>
      <w:tr>
        <w:trPr>
          <w:tblHeader w:val="false"/>
        </w:trPr>
        <w:tc>
          <w:tcPr>
            <w:tcW w:type="dxa" w:w="23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Vehicle Detail</w:t>
            </w:r>
          </w:p>
        </w:tc>
        <w:tc>
          <w:tcPr>
            <w:tcW w:type="dxa" w:w="3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Investigate one vehicle</w:t>
            </w:r>
          </w:p>
        </w:tc>
        <w:tc>
          <w:tcPr>
            <w:tcW w:type="dxa" w:w="32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Temperature and fuel trend lines</w:t>
            </w:r>
          </w:p>
        </w:tc>
      </w:tr>
    </w:tbl>
    <w:p>
      <w:pPr>
        <w:spacing w:after="120" w:before="100"/>
      </w:pPr>
      <w:r>
        <w:rPr>
          <w:rFonts w:ascii="Calibri" w:cs="Calibri" w:eastAsia="Calibri" w:hAnsi="Calibri"/>
          <w:sz w:val="21"/>
          <w:szCs w:val="21"/>
        </w:rPr>
        <w:t xml:space="preserve">Users move between pages through page tabs and navigation buttons. Drill-through from any vehicle opens the Vehicle Detail page.</w:t>
      </w:r>
    </w:p>
    <w:p>
      <w:pPr>
        <w:pStyle w:val="Heading2"/>
        <w:spacing w:after="80" w:before="160"/>
      </w:pPr>
      <w:r>
        <w:rPr>
          <w:rFonts w:ascii="Calibri" w:cs="Calibri" w:eastAsia="Calibri" w:hAnsi="Calibri"/>
          <w:b/>
          <w:bCs/>
          <w:color w:val="2E5597"/>
          <w:sz w:val="24"/>
          <w:szCs w:val="24"/>
        </w:rPr>
        <w:t xml:space="preserve">Visual choices</w:t>
      </w:r>
    </w:p>
    <w:p>
      <w:pPr>
        <w:pStyle w:val="ListParagraph"/>
        <w:numPr>
          <w:ilvl w:val="0"/>
          <w:numId w:val="2"/>
        </w:numPr>
        <w:spacing w:after="60"/>
      </w:pPr>
      <w:r>
        <w:rPr>
          <w:rFonts w:ascii="Calibri" w:cs="Calibri" w:eastAsia="Calibri" w:hAnsi="Calibri"/>
          <w:b/>
          <w:bCs/>
          <w:sz w:val="21"/>
          <w:szCs w:val="21"/>
        </w:rPr>
        <w:t xml:space="preserve">Line chart: </w:t>
      </w:r>
      <w:r>
        <w:rPr>
          <w:rFonts w:ascii="Calibri" w:cs="Calibri" w:eastAsia="Calibri" w:hAnsi="Calibri"/>
          <w:sz w:val="21"/>
          <w:szCs w:val="21"/>
        </w:rPr>
        <w:t xml:space="preserve">shows time-series trends and supports the Date hierarchy drill-down.</w:t>
      </w:r>
    </w:p>
    <w:p>
      <w:pPr>
        <w:pStyle w:val="ListParagraph"/>
        <w:numPr>
          <w:ilvl w:val="0"/>
          <w:numId w:val="2"/>
        </w:numPr>
        <w:spacing w:after="60"/>
      </w:pPr>
      <w:r>
        <w:rPr>
          <w:rFonts w:ascii="Calibri" w:cs="Calibri" w:eastAsia="Calibri" w:hAnsi="Calibri"/>
          <w:b/>
          <w:bCs/>
          <w:sz w:val="21"/>
          <w:szCs w:val="21"/>
        </w:rPr>
        <w:t xml:space="preserve">Cards: </w:t>
      </w:r>
      <w:r>
        <w:rPr>
          <w:rFonts w:ascii="Calibri" w:cs="Calibri" w:eastAsia="Calibri" w:hAnsi="Calibri"/>
          <w:sz w:val="21"/>
          <w:szCs w:val="21"/>
        </w:rPr>
        <w:t xml:space="preserve">present headline KPIs at a glance.</w:t>
      </w:r>
    </w:p>
    <w:p>
      <w:pPr>
        <w:pStyle w:val="ListParagraph"/>
        <w:numPr>
          <w:ilvl w:val="0"/>
          <w:numId w:val="2"/>
        </w:numPr>
        <w:spacing w:after="60"/>
      </w:pPr>
      <w:r>
        <w:rPr>
          <w:rFonts w:ascii="Calibri" w:cs="Calibri" w:eastAsia="Calibri" w:hAnsi="Calibri"/>
          <w:b/>
          <w:bCs/>
          <w:sz w:val="21"/>
          <w:szCs w:val="21"/>
        </w:rPr>
        <w:t xml:space="preserve">Map: </w:t>
      </w:r>
      <w:r>
        <w:rPr>
          <w:rFonts w:ascii="Calibri" w:cs="Calibri" w:eastAsia="Calibri" w:hAnsi="Calibri"/>
          <w:sz w:val="21"/>
          <w:szCs w:val="21"/>
        </w:rPr>
        <w:t xml:space="preserve">shows geographic distribution of vehicles by region.</w:t>
      </w:r>
    </w:p>
    <w:p>
      <w:pPr>
        <w:pStyle w:val="ListParagraph"/>
        <w:numPr>
          <w:ilvl w:val="0"/>
          <w:numId w:val="2"/>
        </w:numPr>
        <w:spacing w:after="60"/>
      </w:pPr>
      <w:r>
        <w:rPr>
          <w:rFonts w:ascii="Calibri" w:cs="Calibri" w:eastAsia="Calibri" w:hAnsi="Calibri"/>
          <w:b/>
          <w:bCs/>
          <w:sz w:val="21"/>
          <w:szCs w:val="21"/>
        </w:rPr>
        <w:t xml:space="preserve">Matrix: </w:t>
      </w:r>
      <w:r>
        <w:rPr>
          <w:rFonts w:ascii="Calibri" w:cs="Calibri" w:eastAsia="Calibri" w:hAnsi="Calibri"/>
          <w:sz w:val="21"/>
          <w:szCs w:val="21"/>
        </w:rPr>
        <w:t xml:space="preserve">compares routes across Current, YTD, PY and YoY items.</w:t>
      </w:r>
    </w:p>
    <w:p>
      <w:pPr>
        <w:pStyle w:val="Heading2"/>
        <w:spacing w:after="80" w:before="160"/>
      </w:pPr>
      <w:r>
        <w:rPr>
          <w:rFonts w:ascii="Calibri" w:cs="Calibri" w:eastAsia="Calibri" w:hAnsi="Calibri"/>
          <w:b/>
          <w:bCs/>
          <w:color w:val="2E5597"/>
          <w:sz w:val="24"/>
          <w:szCs w:val="24"/>
        </w:rPr>
        <w:t xml:space="preserve">Real-time integration</w:t>
      </w:r>
    </w:p>
    <w:p>
      <w:pPr>
        <w:spacing w:after="120"/>
      </w:pPr>
      <w:r>
        <w:rPr>
          <w:rFonts w:ascii="Calibri" w:cs="Calibri" w:eastAsia="Calibri" w:hAnsi="Calibri"/>
          <w:sz w:val="21"/>
          <w:szCs w:val="21"/>
        </w:rPr>
        <w:t xml:space="preserve">The five-minute KQL summary is connected to the semantic model by DirectQuery to the Eventhouse, so telemetry visuals always query the latest data. The Fleet Live View page uses automatic page refresh every five minutes, matching the telemetry cadence.</w:t>
      </w:r>
    </w:p>
    <w:p>
      <w:pPr>
        <w:pStyle w:val="Heading2"/>
        <w:spacing w:after="80" w:before="160"/>
      </w:pPr>
      <w:r>
        <w:rPr>
          <w:rFonts w:ascii="Calibri" w:cs="Calibri" w:eastAsia="Calibri" w:hAnsi="Calibri"/>
          <w:b/>
          <w:bCs/>
          <w:color w:val="2E5597"/>
          <w:sz w:val="24"/>
          <w:szCs w:val="24"/>
        </w:rPr>
        <w:t xml:space="preserve">Slicers and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3726"/>
      </w:tblGrid>
      <w:tr>
        <w:trPr>
          <w:tblHeader/>
        </w:trPr>
        <w:tc>
          <w:tcPr>
            <w:tcW w:type="dxa" w:w="20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Field</w:t>
            </w:r>
          </w:p>
        </w:tc>
        <w:tc>
          <w:tcPr>
            <w:tcW w:type="dxa" w:w="18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Slicer type</w:t>
            </w:r>
          </w:p>
        </w:tc>
        <w:tc>
          <w:tcPr>
            <w:tcW w:type="dxa" w:w="1500"/>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Filter</w:t>
            </w:r>
          </w:p>
        </w:tc>
        <w:tc>
          <w:tcPr>
            <w:tcW w:type="dxa" w:w="3726"/>
            <w:tcBorders>
              <w:top w:val="single" w:color="BFC5D0" w:sz="4"/>
              <w:left w:val="single" w:color="BFC5D0" w:sz="4"/>
              <w:bottom w:val="single" w:color="BFC5D0" w:sz="4"/>
              <w:right w:val="single" w:color="BFC5D0"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Rationale</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Region</w:t>
            </w:r>
          </w:p>
        </w:tc>
        <w:tc>
          <w:tcPr>
            <w:tcW w:type="dxa" w:w="18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Tile</w:t>
            </w:r>
          </w:p>
        </w:tc>
        <w:tc>
          <w:tcPr>
            <w:tcW w:type="dxa" w:w="1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None</w:t>
            </w:r>
          </w:p>
        </w:tc>
        <w:tc>
          <w:tcPr>
            <w:tcW w:type="dxa" w:w="37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Three values; one-click selection</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Vehicle type</w:t>
            </w:r>
          </w:p>
        </w:tc>
        <w:tc>
          <w:tcPr>
            <w:tcW w:type="dxa" w:w="18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List</w:t>
            </w:r>
          </w:p>
        </w:tc>
        <w:tc>
          <w:tcPr>
            <w:tcW w:type="dxa" w:w="1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None</w:t>
            </w:r>
          </w:p>
        </w:tc>
        <w:tc>
          <w:tcPr>
            <w:tcW w:type="dxa" w:w="37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Low cardinality</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Route</w:t>
            </w:r>
          </w:p>
        </w:tc>
        <w:tc>
          <w:tcPr>
            <w:tcW w:type="dxa" w:w="18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List</w:t>
            </w:r>
          </w:p>
        </w:tc>
        <w:tc>
          <w:tcPr>
            <w:tcW w:type="dxa" w:w="1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Top 10</w:t>
            </w:r>
          </w:p>
        </w:tc>
        <w:tc>
          <w:tcPr>
            <w:tcW w:type="dxa" w:w="37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Avoids rendering a high-cardinality list</w:t>
            </w:r>
          </w:p>
        </w:tc>
      </w:tr>
      <w:tr>
        <w:trPr>
          <w:tblHeader w:val="false"/>
        </w:trPr>
        <w:tc>
          <w:tcPr>
            <w:tcW w:type="dxa" w:w="20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Date</w:t>
            </w:r>
          </w:p>
        </w:tc>
        <w:tc>
          <w:tcPr>
            <w:tcW w:type="dxa" w:w="18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Between</w:t>
            </w:r>
          </w:p>
        </w:tc>
        <w:tc>
          <w:tcPr>
            <w:tcW w:type="dxa" w:w="1500"/>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None</w:t>
            </w:r>
          </w:p>
        </w:tc>
        <w:tc>
          <w:tcPr>
            <w:tcW w:type="dxa" w:w="3726"/>
            <w:tcBorders>
              <w:top w:val="single" w:color="BFC5D0" w:sz="4"/>
              <w:left w:val="single" w:color="BFC5D0" w:sz="4"/>
              <w:bottom w:val="single" w:color="BFC5D0" w:sz="4"/>
              <w:right w:val="single" w:color="BFC5D0"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Flexible period selection</w:t>
            </w:r>
          </w:p>
        </w:tc>
      </w:tr>
    </w:tbl>
    <w:p>
      <w:pPr>
        <w:spacing w:after="100"/>
      </w:pPr>
    </w:p>
    <w:p>
      <w:pPr>
        <w:pStyle w:val="Heading2"/>
        <w:spacing w:after="80" w:before="160"/>
      </w:pPr>
      <w:r>
        <w:rPr>
          <w:rFonts w:ascii="Calibri" w:cs="Calibri" w:eastAsia="Calibri" w:hAnsi="Calibri"/>
          <w:b/>
          <w:bCs/>
          <w:color w:val="2E5597"/>
          <w:sz w:val="24"/>
          <w:szCs w:val="24"/>
        </w:rPr>
        <w:t xml:space="preserve">Load time achievement</w:t>
      </w:r>
    </w:p>
    <w:p>
      <w:pPr>
        <w:spacing w:after="120"/>
      </w:pPr>
      <w:r>
        <w:rPr>
          <w:rFonts w:ascii="Calibri" w:cs="Calibri" w:eastAsia="Calibri" w:hAnsi="Calibri"/>
          <w:sz w:val="21"/>
          <w:szCs w:val="21"/>
        </w:rPr>
        <w:t xml:space="preserve">The final Performance Analyzer measurement for the heaviest page is 2.8 seconds in total, which meets the sub-4-second target with about 30% headroom.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Fleet Operations Dashboard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2026-10-11T14:56:42.537Z</dcterms:created>
  <dcterms:modified xsi:type="dcterms:W3CDTF">2026-10-11T14:56:42.550Z</dcterms:modified>
</cp:coreProperties>
</file>

<file path=docProps/custom.xml><?xml version="1.0" encoding="utf-8"?>
<Properties xmlns="http://schemas.openxmlformats.org/officeDocument/2006/custom-properties" xmlns:vt="http://schemas.openxmlformats.org/officeDocument/2006/docPropsVTypes"/>
</file>