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F3764"/>
          <w:sz w:val="56"/>
        </w:rPr>
        <w:t>Carrier Tender Optimization</w:t>
      </w:r>
    </w:p>
    <w:p>
      <w:pPr>
        <w:jc w:val="center"/>
      </w:pPr>
      <w:r>
        <w:rPr>
          <w:color w:val="2E5C9E"/>
          <w:sz w:val="40"/>
        </w:rPr>
        <w:t>Capabilities, Constraints &amp;</w:t>
        <w:br/>
        <w:t>Freight Allocation Reference</w:t>
      </w:r>
    </w:p>
    <w:p>
      <w:pPr>
        <w:jc w:val="center"/>
      </w:pPr>
      <w:r>
        <w:rPr>
          <w:i/>
          <w:color w:val="555555"/>
          <w:sz w:val="24"/>
        </w:rPr>
        <w:t>What the system does  •  How freight is allocated  •  How constraints work</w:t>
      </w:r>
    </w:p>
    <w:p>
      <w:pPr>
        <w:spacing w:before="800"/>
        <w:jc w:val="center"/>
      </w:pPr>
      <w:r>
        <w:rPr>
          <w:i/>
          <w:color w:val="555555"/>
          <w:sz w:val="22"/>
        </w:rPr>
        <w:t>A Streamlit application that allocates inbound ocean containers to drayage carriers (SCACs) by balancing rate, performance, historical volume, and operational constraints. This document is a reference for the capabilities and the allocation rules; it is generated from the codebase so it tracks the system.</w:t>
      </w:r>
    </w:p>
    <w:p>
      <w:r>
        <w:br w:type="page"/>
      </w:r>
    </w:p>
    <w:p>
      <w:pPr>
        <w:pStyle w:val="Heading1"/>
      </w:pPr>
      <w:r>
        <w:rPr>
          <w:color w:val="1F3764"/>
          <w:sz w:val="36"/>
        </w:rPr>
        <w:t>Contents</w:t>
      </w:r>
    </w:p>
    <w:p>
      <w:pPr>
        <w:pStyle w:val="ListBullet"/>
        <w:spacing w:after="60"/>
      </w:pPr>
      <w:r>
        <w:rPr>
          <w:b/>
        </w:rPr>
        <w:t xml:space="preserve">Part 1 — Capabilities: </w:t>
      </w:r>
      <w:r>
        <w:t>what the system can do, the inputs it needs, and the core conservation rule.</w:t>
      </w:r>
    </w:p>
    <w:p>
      <w:pPr>
        <w:pStyle w:val="ListBullet"/>
        <w:spacing w:after="60"/>
      </w:pPr>
      <w:r>
        <w:rPr>
          <w:b/>
        </w:rPr>
        <w:t xml:space="preserve">Part 2 — How Freight Gets Allocated: </w:t>
      </w:r>
      <w:r>
        <w:t>the end-to-end allocation pipeline and the four allocation scenarios.</w:t>
      </w:r>
    </w:p>
    <w:p>
      <w:pPr>
        <w:pStyle w:val="ListBullet"/>
        <w:spacing w:after="60"/>
      </w:pPr>
      <w:r>
        <w:rPr>
          <w:b/>
        </w:rPr>
        <w:t xml:space="preserve">Part 3 — Constraints: </w:t>
      </w:r>
      <w:r>
        <w:t>the constraint engine — file format, scope, amount types, precedence.</w:t>
      </w:r>
    </w:p>
    <w:p>
      <w:pPr>
        <w:pStyle w:val="ListBullet"/>
        <w:spacing w:after="60"/>
      </w:pPr>
      <w:r>
        <w:rPr>
          <w:b/>
        </w:rPr>
        <w:t xml:space="preserve">Part 4 — Standing Rules: </w:t>
      </w:r>
      <w:r>
        <w:t>always-on prebuilt port rules and the Pacific-Northwest waterfront rules.</w:t>
      </w:r>
    </w:p>
    <w:p>
      <w:pPr>
        <w:pStyle w:val="ListBullet"/>
        <w:spacing w:after="60"/>
      </w:pPr>
      <w:r>
        <w:rPr>
          <w:b/>
        </w:rPr>
        <w:t xml:space="preserve">Part 5 — Quick Reference: </w:t>
      </w:r>
      <w:r>
        <w:t>one-page lookups for scenarios, constraint behavior, pipeline order, and defaults.</w:t>
      </w:r>
    </w:p>
    <w:p>
      <w:r>
        <w:br w:type="page"/>
      </w:r>
    </w:p>
    <w:p>
      <w:pPr>
        <w:pStyle w:val="Heading1"/>
      </w:pPr>
      <w:r>
        <w:rPr>
          <w:color w:val="1F3764"/>
          <w:sz w:val="36"/>
        </w:rPr>
        <w:t>Part 1 — System Capabilities</w:t>
      </w:r>
    </w:p>
    <w:p>
      <w:pPr>
        <w:spacing w:after="120"/>
      </w:pPr>
      <w:r>
        <w:rPr>
          <w:i w:val="0"/>
          <w:sz w:val="21"/>
        </w:rPr>
        <w:t>The dashboard takes per-container ocean arrival data plus a carrier rate card and produces an optimized allocation of containers to drayage carriers. Around that core it layers filtering, cost/performance scenarios, operational constraints, historical analysis, a per-container flip audit, and an AI assistant.</w:t>
      </w:r>
    </w:p>
    <w:p>
      <w:pPr>
        <w:pStyle w:val="Heading2"/>
      </w:pPr>
      <w:r>
        <w:rPr>
          <w:color w:val="2E5C9E"/>
          <w:sz w:val="28"/>
        </w:rPr>
        <w:t>1.1 What You Can Do</w:t>
      </w:r>
    </w:p>
    <w:tbl>
      <w:tblPr>
        <w:tblStyle w:val="TableGrid"/>
        <w:tblW w:type="auto" w:w="0"/>
        <w:jc w:val="center"/>
        <w:tblLayout w:type="autofit"/>
        <w:tblLook w:firstColumn="1" w:firstRow="1" w:lastColumn="0" w:lastRow="0" w:noHBand="0" w:noVBand="1" w:val="04A0"/>
      </w:tblPr>
      <w:tblGrid>
        <w:gridCol w:w="4320"/>
        <w:gridCol w:w="4320"/>
      </w:tblGrid>
      <w:tr>
        <w:tc>
          <w:tcPr>
            <w:tcW w:type="dxa" w:w="2736"/>
            <w:shd w:val="clear" w:color="auto" w:fill="1F3764"/>
          </w:tcPr>
          <w:p>
            <w:pPr>
              <w:spacing w:after="40" w:before="40"/>
            </w:pPr>
            <w:r/>
            <w:r>
              <w:rPr>
                <w:b/>
                <w:color w:val="FFFFFF"/>
                <w:sz w:val="18"/>
              </w:rPr>
              <w:t>Capability</w:t>
            </w:r>
          </w:p>
        </w:tc>
        <w:tc>
          <w:tcPr>
            <w:tcW w:type="dxa" w:w="6768"/>
            <w:shd w:val="clear" w:color="auto" w:fill="1F3764"/>
          </w:tcPr>
          <w:p>
            <w:pPr>
              <w:spacing w:after="40" w:before="40"/>
            </w:pPr>
            <w:r/>
            <w:r>
              <w:rPr>
                <w:b/>
                <w:color w:val="FFFFFF"/>
                <w:sz w:val="18"/>
              </w:rPr>
              <w:t>What it does</w:t>
            </w:r>
          </w:p>
        </w:tc>
      </w:tr>
      <w:tr>
        <w:tc>
          <w:tcPr>
            <w:tcW w:type="dxa" w:w="2736"/>
          </w:tcPr>
          <w:p>
            <w:pPr>
              <w:spacing w:after="40" w:before="40"/>
            </w:pPr>
            <w:r/>
            <w:r>
              <w:rPr>
                <w:b w:val="0"/>
                <w:sz w:val="18"/>
              </w:rPr>
              <w:t>Load &amp; merge data</w:t>
            </w:r>
          </w:p>
        </w:tc>
        <w:tc>
          <w:tcPr>
            <w:tcW w:type="dxa" w:w="6768"/>
          </w:tcPr>
          <w:p>
            <w:pPr>
              <w:spacing w:after="40" w:before="40"/>
            </w:pPr>
            <w:r/>
            <w:r>
              <w:rPr>
                <w:b w:val="0"/>
                <w:sz w:val="18"/>
              </w:rPr>
              <w:t>Combine a GVT container file, a carrier rate card, and (optionally) a performance file into one analysis dataset.</w:t>
            </w:r>
          </w:p>
        </w:tc>
      </w:tr>
      <w:tr>
        <w:tc>
          <w:tcPr>
            <w:tcW w:type="dxa" w:w="2736"/>
            <w:shd w:val="clear" w:color="auto" w:fill="DCE6F1"/>
          </w:tcPr>
          <w:p>
            <w:pPr>
              <w:spacing w:after="40" w:before="40"/>
            </w:pPr>
            <w:r/>
            <w:r>
              <w:rPr>
                <w:b w:val="0"/>
                <w:sz w:val="18"/>
              </w:rPr>
              <w:t>Filter the view</w:t>
            </w:r>
          </w:p>
        </w:tc>
        <w:tc>
          <w:tcPr>
            <w:tcW w:type="dxa" w:w="6768"/>
            <w:shd w:val="clear" w:color="auto" w:fill="DCE6F1"/>
          </w:tcPr>
          <w:p>
            <w:pPr>
              <w:spacing w:after="40" w:before="40"/>
            </w:pPr>
            <w:r/>
            <w:r>
              <w:rPr>
                <w:b w:val="0"/>
                <w:sz w:val="18"/>
              </w:rPr>
              <w:t>Narrow by Discharged Port, Facility, Week Number, and carrier. Everything downstream — metrics, scenarios, flip report, AI assistant — operates on the filtered view.</w:t>
            </w:r>
          </w:p>
        </w:tc>
      </w:tr>
      <w:tr>
        <w:tc>
          <w:tcPr>
            <w:tcW w:type="dxa" w:w="2736"/>
          </w:tcPr>
          <w:p>
            <w:pPr>
              <w:spacing w:after="40" w:before="40"/>
            </w:pPr>
            <w:r/>
            <w:r>
              <w:rPr>
                <w:b w:val="0"/>
                <w:sz w:val="18"/>
              </w:rPr>
              <w:t>Compare allocation scenarios</w:t>
            </w:r>
          </w:p>
        </w:tc>
        <w:tc>
          <w:tcPr>
            <w:tcW w:type="dxa" w:w="6768"/>
          </w:tcPr>
          <w:p>
            <w:pPr>
              <w:spacing w:after="40" w:before="40"/>
            </w:pPr>
            <w:r/>
            <w:r>
              <w:rPr>
                <w:b w:val="0"/>
                <w:sz w:val="18"/>
              </w:rPr>
              <w:t>See four side-by-side strategies (Current, Performance, Cheapest, Optimized) with total cost, container counts, and projected savings.</w:t>
            </w:r>
          </w:p>
        </w:tc>
      </w:tr>
      <w:tr>
        <w:tc>
          <w:tcPr>
            <w:tcW w:type="dxa" w:w="2736"/>
            <w:shd w:val="clear" w:color="auto" w:fill="DCE6F1"/>
          </w:tcPr>
          <w:p>
            <w:pPr>
              <w:spacing w:after="40" w:before="40"/>
            </w:pPr>
            <w:r/>
            <w:r>
              <w:rPr>
                <w:b w:val="0"/>
                <w:sz w:val="18"/>
              </w:rPr>
              <w:t>Apply operational constraints</w:t>
            </w:r>
          </w:p>
        </w:tc>
        <w:tc>
          <w:tcPr>
            <w:tcW w:type="dxa" w:w="6768"/>
            <w:shd w:val="clear" w:color="auto" w:fill="DCE6F1"/>
          </w:tcPr>
          <w:p>
            <w:pPr>
              <w:spacing w:after="40" w:before="40"/>
            </w:pPr>
            <w:r/>
            <w:r>
              <w:rPr>
                <w:b w:val="0"/>
                <w:sz w:val="18"/>
              </w:rPr>
              <w:t>Lock specific allocations via an uploaded Excel file or AI-drafted rules (caps, floors, percentages, facility bans).</w:t>
            </w:r>
          </w:p>
        </w:tc>
      </w:tr>
      <w:tr>
        <w:tc>
          <w:tcPr>
            <w:tcW w:type="dxa" w:w="2736"/>
          </w:tcPr>
          <w:p>
            <w:pPr>
              <w:spacing w:after="40" w:before="40"/>
            </w:pPr>
            <w:r/>
            <w:r>
              <w:rPr>
                <w:b w:val="0"/>
                <w:sz w:val="18"/>
              </w:rPr>
              <w:t>Detailed analysis table</w:t>
            </w:r>
          </w:p>
        </w:tc>
        <w:tc>
          <w:tcPr>
            <w:tcW w:type="dxa" w:w="6768"/>
          </w:tcPr>
          <w:p>
            <w:pPr>
              <w:spacing w:after="40" w:before="40"/>
            </w:pPr>
            <w:r/>
            <w:r>
              <w:rPr>
                <w:b w:val="0"/>
                <w:sz w:val="18"/>
              </w:rPr>
              <w:t>Per lane/week allocation under the selected scenario, with a Carrier Flips trace of how volume moved.</w:t>
            </w:r>
          </w:p>
        </w:tc>
      </w:tr>
      <w:tr>
        <w:tc>
          <w:tcPr>
            <w:tcW w:type="dxa" w:w="2736"/>
            <w:shd w:val="clear" w:color="auto" w:fill="DCE6F1"/>
          </w:tcPr>
          <w:p>
            <w:pPr>
              <w:spacing w:after="40" w:before="40"/>
            </w:pPr>
            <w:r/>
            <w:r>
              <w:rPr>
                <w:b w:val="0"/>
                <w:sz w:val="18"/>
              </w:rPr>
              <w:t>Peel pile allocation</w:t>
            </w:r>
          </w:p>
        </w:tc>
        <w:tc>
          <w:tcPr>
            <w:tcW w:type="dxa" w:w="6768"/>
            <w:shd w:val="clear" w:color="auto" w:fill="DCE6F1"/>
          </w:tcPr>
          <w:p>
            <w:pPr>
              <w:spacing w:after="40" w:before="40"/>
            </w:pPr>
            <w:r/>
            <w:r>
              <w:rPr>
                <w:b w:val="0"/>
                <w:sz w:val="18"/>
              </w:rPr>
              <w:t>Manually assign large Vessel/Week/Port/Terminal container groups to chosen carriers.</w:t>
            </w:r>
          </w:p>
        </w:tc>
      </w:tr>
      <w:tr>
        <w:tc>
          <w:tcPr>
            <w:tcW w:type="dxa" w:w="2736"/>
          </w:tcPr>
          <w:p>
            <w:pPr>
              <w:spacing w:after="40" w:before="40"/>
            </w:pPr>
            <w:r/>
            <w:r>
              <w:rPr>
                <w:b w:val="0"/>
                <w:sz w:val="18"/>
              </w:rPr>
              <w:t>Historic volume analysis</w:t>
            </w:r>
          </w:p>
        </w:tc>
        <w:tc>
          <w:tcPr>
            <w:tcW w:type="dxa" w:w="6768"/>
          </w:tcPr>
          <w:p>
            <w:pPr>
              <w:spacing w:after="40" w:before="40"/>
            </w:pPr>
            <w:r/>
            <w:r>
              <w:rPr>
                <w:b w:val="0"/>
                <w:sz w:val="18"/>
              </w:rPr>
              <w:t>Carrier market share, weekly trends, and participation over recent weeks.</w:t>
            </w:r>
          </w:p>
        </w:tc>
      </w:tr>
      <w:tr>
        <w:tc>
          <w:tcPr>
            <w:tcW w:type="dxa" w:w="2736"/>
            <w:shd w:val="clear" w:color="auto" w:fill="DCE6F1"/>
          </w:tcPr>
          <w:p>
            <w:pPr>
              <w:spacing w:after="40" w:before="40"/>
            </w:pPr>
            <w:r/>
            <w:r>
              <w:rPr>
                <w:b w:val="0"/>
                <w:sz w:val="18"/>
              </w:rPr>
              <w:t>Carrier flip report</w:t>
            </w:r>
          </w:p>
        </w:tc>
        <w:tc>
          <w:tcPr>
            <w:tcW w:type="dxa" w:w="6768"/>
            <w:shd w:val="clear" w:color="auto" w:fill="DCE6F1"/>
          </w:tcPr>
          <w:p>
            <w:pPr>
              <w:spacing w:after="40" w:before="40"/>
            </w:pPr>
            <w:r/>
            <w:r>
              <w:rPr>
                <w:b w:val="0"/>
                <w:sz w:val="18"/>
              </w:rPr>
              <w:t>Per-container audit comparing each container's original carrier vs. the new assignment, with rate lookups and savings.</w:t>
            </w:r>
          </w:p>
        </w:tc>
      </w:tr>
      <w:tr>
        <w:tc>
          <w:tcPr>
            <w:tcW w:type="dxa" w:w="2736"/>
          </w:tcPr>
          <w:p>
            <w:pPr>
              <w:spacing w:after="40" w:before="40"/>
            </w:pPr>
            <w:r/>
            <w:r>
              <w:rPr>
                <w:b w:val="0"/>
                <w:sz w:val="18"/>
              </w:rPr>
              <w:t>AI assistant</w:t>
            </w:r>
          </w:p>
        </w:tc>
        <w:tc>
          <w:tcPr>
            <w:tcW w:type="dxa" w:w="6768"/>
          </w:tcPr>
          <w:p>
            <w:pPr>
              <w:spacing w:after="40" w:before="40"/>
            </w:pPr>
            <w:r/>
            <w:r>
              <w:rPr>
                <w:b w:val="0"/>
                <w:sz w:val="18"/>
              </w:rPr>
              <w:t>A Bedrock chatbot that analyzes the loaded data, prices flips, and drafts constraints from plain English.</w:t>
            </w:r>
          </w:p>
        </w:tc>
      </w:tr>
    </w:tbl>
    <w:p/>
    <w:p>
      <w:pPr>
        <w:pStyle w:val="Heading2"/>
      </w:pPr>
      <w:r>
        <w:rPr>
          <w:color w:val="2E5C9E"/>
          <w:sz w:val="28"/>
        </w:rPr>
        <w:t>1.2 The Inputs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016"/>
            <w:shd w:val="clear" w:color="auto" w:fill="1F3764"/>
          </w:tcPr>
          <w:p>
            <w:pPr>
              <w:spacing w:after="40" w:before="40"/>
            </w:pPr>
            <w:r/>
            <w:r>
              <w:rPr>
                <w:b/>
                <w:color w:val="FFFFFF"/>
                <w:sz w:val="18"/>
              </w:rPr>
              <w:t>File</w:t>
            </w:r>
          </w:p>
        </w:tc>
        <w:tc>
          <w:tcPr>
            <w:tcW w:type="dxa" w:w="1440"/>
            <w:shd w:val="clear" w:color="auto" w:fill="1F3764"/>
          </w:tcPr>
          <w:p>
            <w:pPr>
              <w:spacing w:after="40" w:before="40"/>
            </w:pPr>
            <w:r/>
            <w:r>
              <w:rPr>
                <w:b/>
                <w:color w:val="FFFFFF"/>
                <w:sz w:val="18"/>
              </w:rPr>
              <w:t>Required</w:t>
            </w:r>
          </w:p>
        </w:tc>
        <w:tc>
          <w:tcPr>
            <w:tcW w:type="dxa" w:w="6048"/>
            <w:shd w:val="clear" w:color="auto" w:fill="1F3764"/>
          </w:tcPr>
          <w:p>
            <w:pPr>
              <w:spacing w:after="40" w:before="40"/>
            </w:pPr>
            <w:r/>
            <w:r>
              <w:rPr>
                <w:b/>
                <w:color w:val="FFFFFF"/>
                <w:sz w:val="18"/>
              </w:rPr>
              <w:t>What it provides</w:t>
            </w:r>
          </w:p>
        </w:tc>
      </w:tr>
      <w:tr>
        <w:tc>
          <w:tcPr>
            <w:tcW w:type="dxa" w:w="2016"/>
          </w:tcPr>
          <w:p>
            <w:pPr>
              <w:spacing w:after="40" w:before="40"/>
            </w:pPr>
            <w:r/>
            <w:r>
              <w:rPr>
                <w:b w:val="0"/>
                <w:sz w:val="18"/>
              </w:rPr>
              <w:t>GVT File</w:t>
            </w:r>
          </w:p>
        </w:tc>
        <w:tc>
          <w:tcPr>
            <w:tcW w:type="dxa" w:w="1440"/>
          </w:tcPr>
          <w:p>
            <w:pPr>
              <w:spacing w:after="40" w:before="40"/>
            </w:pPr>
            <w:r/>
            <w:r>
              <w:rPr>
                <w:b w:val="0"/>
                <w:sz w:val="18"/>
              </w:rPr>
              <w:t>Yes</w:t>
            </w:r>
          </w:p>
        </w:tc>
        <w:tc>
          <w:tcPr>
            <w:tcW w:type="dxa" w:w="6048"/>
          </w:tcPr>
          <w:p>
            <w:pPr>
              <w:spacing w:after="40" w:before="40"/>
            </w:pPr>
            <w:r/>
            <w:r>
              <w:rPr>
                <w:b w:val="0"/>
                <w:sz w:val="18"/>
              </w:rPr>
              <w:t>Per-container arrival data — Discharged Port, Facility, carrier (Dray SCAC), container numbers, Week Number, Category, Vessel, Terminal, SSL, Ocean ETA.</w:t>
            </w:r>
          </w:p>
        </w:tc>
      </w:tr>
      <w:tr>
        <w:tc>
          <w:tcPr>
            <w:tcW w:type="dxa" w:w="2016"/>
            <w:shd w:val="clear" w:color="auto" w:fill="DCE6F1"/>
          </w:tcPr>
          <w:p>
            <w:pPr>
              <w:spacing w:after="40" w:before="40"/>
            </w:pPr>
            <w:r/>
            <w:r>
              <w:rPr>
                <w:b w:val="0"/>
                <w:sz w:val="18"/>
              </w:rPr>
              <w:t>Rate File</w:t>
            </w:r>
          </w:p>
        </w:tc>
        <w:tc>
          <w:tcPr>
            <w:tcW w:type="dxa" w:w="1440"/>
            <w:shd w:val="clear" w:color="auto" w:fill="DCE6F1"/>
          </w:tcPr>
          <w:p>
            <w:pPr>
              <w:spacing w:after="40" w:before="40"/>
            </w:pPr>
            <w:r/>
            <w:r>
              <w:rPr>
                <w:b w:val="0"/>
                <w:sz w:val="18"/>
              </w:rPr>
              <w:t>Yes</w:t>
            </w:r>
          </w:p>
        </w:tc>
        <w:tc>
          <w:tcPr>
            <w:tcW w:type="dxa" w:w="6048"/>
            <w:shd w:val="clear" w:color="auto" w:fill="DCE6F1"/>
          </w:tcPr>
          <w:p>
            <w:pPr>
              <w:spacing w:after="40" w:before="40"/>
            </w:pPr>
            <w:r/>
            <w:r>
              <w:rPr>
                <w:b w:val="0"/>
                <w:sz w:val="18"/>
              </w:rPr>
              <w:t>Carrier rates by lane (Base Rate / CPC per container, plus the lane/port/facility lookup key).</w:t>
            </w:r>
          </w:p>
        </w:tc>
      </w:tr>
      <w:tr>
        <w:tc>
          <w:tcPr>
            <w:tcW w:type="dxa" w:w="2016"/>
          </w:tcPr>
          <w:p>
            <w:pPr>
              <w:spacing w:after="40" w:before="40"/>
            </w:pPr>
            <w:r/>
            <w:r>
              <w:rPr>
                <w:b w:val="0"/>
                <w:sz w:val="18"/>
              </w:rPr>
              <w:t>Performance File</w:t>
            </w:r>
          </w:p>
        </w:tc>
        <w:tc>
          <w:tcPr>
            <w:tcW w:type="dxa" w:w="1440"/>
          </w:tcPr>
          <w:p>
            <w:pPr>
              <w:spacing w:after="40" w:before="40"/>
            </w:pPr>
            <w:r/>
            <w:r>
              <w:rPr>
                <w:b w:val="0"/>
                <w:sz w:val="18"/>
              </w:rPr>
              <w:t>Optional</w:t>
            </w:r>
          </w:p>
        </w:tc>
        <w:tc>
          <w:tcPr>
            <w:tcW w:type="dxa" w:w="6048"/>
          </w:tcPr>
          <w:p>
            <w:pPr>
              <w:spacing w:after="40" w:before="40"/>
            </w:pPr>
            <w:r/>
            <w:r>
              <w:rPr>
                <w:b w:val="0"/>
                <w:sz w:val="18"/>
              </w:rPr>
              <w:t>Carrier performance scores (0-1). Needed for the Performance scenario and the performance half of the Optimized score.</w:t>
            </w:r>
          </w:p>
        </w:tc>
      </w:tr>
      <w:tr>
        <w:tc>
          <w:tcPr>
            <w:tcW w:type="dxa" w:w="2016"/>
            <w:shd w:val="clear" w:color="auto" w:fill="DCE6F1"/>
          </w:tcPr>
          <w:p>
            <w:pPr>
              <w:spacing w:after="40" w:before="40"/>
            </w:pPr>
            <w:r/>
            <w:r>
              <w:rPr>
                <w:b w:val="0"/>
                <w:sz w:val="18"/>
              </w:rPr>
              <w:t>Constraints File</w:t>
            </w:r>
          </w:p>
        </w:tc>
        <w:tc>
          <w:tcPr>
            <w:tcW w:type="dxa" w:w="1440"/>
            <w:shd w:val="clear" w:color="auto" w:fill="DCE6F1"/>
          </w:tcPr>
          <w:p>
            <w:pPr>
              <w:spacing w:after="40" w:before="40"/>
            </w:pPr>
            <w:r/>
            <w:r>
              <w:rPr>
                <w:b w:val="0"/>
                <w:sz w:val="18"/>
              </w:rPr>
              <w:t>Optional</w:t>
            </w:r>
          </w:p>
        </w:tc>
        <w:tc>
          <w:tcPr>
            <w:tcW w:type="dxa" w:w="6048"/>
            <w:shd w:val="clear" w:color="auto" w:fill="DCE6F1"/>
          </w:tcPr>
          <w:p>
            <w:pPr>
              <w:spacing w:after="40" w:before="40"/>
            </w:pPr>
            <w:r/>
            <w:r>
              <w:rPr>
                <w:b w:val="0"/>
                <w:sz w:val="18"/>
              </w:rPr>
              <w:t>Operational rules that lock allocations (Excel, 14-column schema). See Part 3. Can also be drafted by the AI assistant.</w:t>
            </w:r>
          </w:p>
        </w:tc>
      </w:tr>
    </w:tbl>
    <w:p/>
    <w:p>
      <w:pPr>
        <w:pStyle w:val="Heading2"/>
      </w:pPr>
      <w:r>
        <w:rPr>
          <w:color w:val="2E5C9E"/>
          <w:sz w:val="28"/>
        </w:rPr>
        <w:t>1.3 The One Rule That Always Holds: Conservation</w:t>
      </w:r>
    </w:p>
    <w:tbl>
      <w:tblPr>
        <w:tblW w:type="auto" w:w="0"/>
        <w:jc w:val="center"/>
        <w:tblLook w:firstColumn="1" w:firstRow="1" w:lastColumn="0" w:lastRow="0" w:noHBand="0" w:noVBand="1" w:val="04A0"/>
      </w:tblPr>
      <w:tblGrid>
        <w:gridCol w:w="8640"/>
      </w:tblGrid>
      <w:tr>
        <w:tc>
          <w:tcPr>
            <w:tcW w:type="dxa" w:w="8640"/>
            <w:shd w:val="clear" w:color="auto" w:fill="E2EFDA"/>
          </w:tcPr>
          <w:p>
            <w:r/>
            <w:r>
              <w:rPr>
                <w:b/>
                <w:sz w:val="20"/>
              </w:rPr>
              <w:t xml:space="preserve">Conservation invariant:  </w:t>
            </w:r>
            <w:r>
              <w:rPr>
                <w:sz w:val="20"/>
              </w:rPr>
              <w:t>Original = Constrained + Unconstrained, always, at the container level. Constraints and locks never delete containers — a capped carrier's overflow simply stays in the unconstrained pool for other carriers to pick up. Every allocation step in this document preserves the total container count.</w:t>
            </w:r>
          </w:p>
        </w:tc>
      </w:tr>
    </w:tbl>
    <w:p/>
    <w:p>
      <w:r>
        <w:br w:type="page"/>
      </w:r>
    </w:p>
    <w:p>
      <w:pPr>
        <w:pStyle w:val="Heading1"/>
      </w:pPr>
      <w:r>
        <w:rPr>
          <w:color w:val="1F3764"/>
          <w:sz w:val="36"/>
        </w:rPr>
        <w:t>Part 2 — How Freight Gets Allocated</w:t>
      </w:r>
    </w:p>
    <w:p>
      <w:pPr>
        <w:spacing w:after="120"/>
      </w:pPr>
      <w:r>
        <w:rPr>
          <w:i w:val="0"/>
          <w:sz w:val="21"/>
        </w:rPr>
        <w:t>Allocation happens in two layers. First, a pipeline of rules splits every container into one of two pools: Constrained (locked) or Unconstrained (free). Then a chosen scenario reallocates only the unconstrained pool. The constrained pool never moves.</w:t>
      </w:r>
    </w:p>
    <w:p>
      <w:pPr>
        <w:pStyle w:val="Heading2"/>
      </w:pPr>
      <w:r>
        <w:rPr>
          <w:color w:val="2E5C9E"/>
          <w:sz w:val="28"/>
        </w:rPr>
        <w:t>2.1 Constrained vs. Unconstrained</w:t>
      </w:r>
    </w:p>
    <w:tbl>
      <w:tblPr>
        <w:tblStyle w:val="TableGrid"/>
        <w:tblW w:type="auto" w:w="0"/>
        <w:jc w:val="center"/>
        <w:tblLayout w:type="autofit"/>
        <w:tblLook w:firstColumn="1" w:firstRow="1" w:lastColumn="0" w:lastRow="0" w:noHBand="0" w:noVBand="1" w:val="04A0"/>
      </w:tblPr>
      <w:tblGrid>
        <w:gridCol w:w="4320"/>
        <w:gridCol w:w="4320"/>
      </w:tblGrid>
      <w:tr>
        <w:tc>
          <w:tcPr>
            <w:tcW w:type="dxa" w:w="4752"/>
            <w:shd w:val="clear" w:color="auto" w:fill="1F3764"/>
          </w:tcPr>
          <w:p>
            <w:pPr>
              <w:spacing w:after="40" w:before="40"/>
            </w:pPr>
            <w:r/>
            <w:r>
              <w:rPr>
                <w:b/>
                <w:color w:val="FFFFFF"/>
                <w:sz w:val="18"/>
              </w:rPr>
              <w:t>Constrained table</w:t>
            </w:r>
          </w:p>
        </w:tc>
        <w:tc>
          <w:tcPr>
            <w:tcW w:type="dxa" w:w="4752"/>
            <w:shd w:val="clear" w:color="auto" w:fill="1F3764"/>
          </w:tcPr>
          <w:p>
            <w:pPr>
              <w:spacing w:after="40" w:before="40"/>
            </w:pPr>
            <w:r/>
            <w:r>
              <w:rPr>
                <w:b/>
                <w:color w:val="FFFFFF"/>
                <w:sz w:val="18"/>
              </w:rPr>
              <w:t>Unconstrained table</w:t>
            </w:r>
          </w:p>
        </w:tc>
      </w:tr>
      <w:tr>
        <w:tc>
          <w:tcPr>
            <w:tcW w:type="dxa" w:w="4752"/>
          </w:tcPr>
          <w:p>
            <w:pPr>
              <w:spacing w:after="40" w:before="40"/>
            </w:pPr>
            <w:r/>
            <w:r>
              <w:rPr>
                <w:b w:val="0"/>
                <w:sz w:val="18"/>
              </w:rPr>
              <w:t>Rows locked to a carrier by a rule, a peel-pile assignment, or the lead-time lock.</w:t>
            </w:r>
          </w:p>
        </w:tc>
        <w:tc>
          <w:tcPr>
            <w:tcW w:type="dxa" w:w="4752"/>
          </w:tcPr>
          <w:p>
            <w:pPr>
              <w:spacing w:after="40" w:before="40"/>
            </w:pPr>
            <w:r/>
            <w:r>
              <w:rPr>
                <w:b w:val="0"/>
                <w:sz w:val="18"/>
              </w:rPr>
              <w:t>Everything else.</w:t>
            </w:r>
          </w:p>
        </w:tc>
      </w:tr>
      <w:tr>
        <w:tc>
          <w:tcPr>
            <w:tcW w:type="dxa" w:w="4752"/>
            <w:shd w:val="clear" w:color="auto" w:fill="DCE6F1"/>
          </w:tcPr>
          <w:p>
            <w:pPr>
              <w:spacing w:after="40" w:before="40"/>
            </w:pPr>
            <w:r/>
            <w:r>
              <w:rPr>
                <w:b w:val="0"/>
                <w:sz w:val="18"/>
              </w:rPr>
              <w:t>Scenarios do NOT change these.</w:t>
            </w:r>
          </w:p>
        </w:tc>
        <w:tc>
          <w:tcPr>
            <w:tcW w:type="dxa" w:w="4752"/>
            <w:shd w:val="clear" w:color="auto" w:fill="DCE6F1"/>
          </w:tcPr>
          <w:p>
            <w:pPr>
              <w:spacing w:after="40" w:before="40"/>
            </w:pPr>
            <w:r/>
            <w:r>
              <w:rPr>
                <w:b w:val="0"/>
                <w:sz w:val="18"/>
              </w:rPr>
              <w:t>Scenarios reallocate these freely.</w:t>
            </w:r>
          </w:p>
        </w:tc>
      </w:tr>
      <w:tr>
        <w:tc>
          <w:tcPr>
            <w:tcW w:type="dxa" w:w="4752"/>
          </w:tcPr>
          <w:p>
            <w:pPr>
              <w:spacing w:after="40" w:before="40"/>
            </w:pPr>
            <w:r/>
            <w:r>
              <w:rPr>
                <w:b w:val="0"/>
                <w:sz w:val="18"/>
              </w:rPr>
              <w:t>Priority / rule-based allocation.</w:t>
            </w:r>
          </w:p>
        </w:tc>
        <w:tc>
          <w:tcPr>
            <w:tcW w:type="dxa" w:w="4752"/>
          </w:tcPr>
          <w:p>
            <w:pPr>
              <w:spacing w:after="40" w:before="40"/>
            </w:pPr>
            <w:r/>
            <w:r>
              <w:rPr>
                <w:b w:val="0"/>
                <w:sz w:val="18"/>
              </w:rPr>
              <w:t>Algorithm-based (scenario) allocation.</w:t>
            </w:r>
          </w:p>
        </w:tc>
      </w:tr>
    </w:tbl>
    <w:p/>
    <w:p>
      <w:pPr>
        <w:pStyle w:val="Heading2"/>
      </w:pPr>
      <w:r>
        <w:rPr>
          <w:color w:val="2E5C9E"/>
          <w:sz w:val="28"/>
        </w:rPr>
        <w:t>2.2 The Allocation Pipeline (end to end)</w:t>
      </w:r>
    </w:p>
    <w:p>
      <w:pPr>
        <w:spacing w:after="120"/>
      </w:pPr>
      <w:r>
        <w:rPr>
          <w:i w:val="0"/>
          <w:sz w:val="21"/>
        </w:rPr>
        <w:t>Each container passes through these stages in order. Earlier stages claim volume first; later stages only see what remains.</w:t>
      </w:r>
    </w:p>
    <w:p>
      <w:pPr>
        <w:pStyle w:val="ListNumber"/>
        <w:spacing w:after="60"/>
      </w:pPr>
      <w:r>
        <w:rPr>
          <w:b/>
        </w:rPr>
        <w:t xml:space="preserve">Prebuilt / standing rules — </w:t>
      </w:r>
      <w:r>
        <w:t>Always-on port rules (prebuilt port CSVs + generated PNW rules) are merged to the FRONT, so they claim their volume before any user rule — regardless of the user's Priority Score.</w:t>
      </w:r>
    </w:p>
    <w:p>
      <w:pPr>
        <w:pStyle w:val="ListNumber"/>
        <w:spacing w:after="60"/>
      </w:pPr>
      <w:r>
        <w:rPr>
          <w:b/>
        </w:rPr>
        <w:t xml:space="preserve">User / chatbot constraints — </w:t>
      </w:r>
      <w:r>
        <w:t>Uploaded file rows and AI-applied rows, processed highest Priority Score first. Each claims from the remaining pool; a claimed container is gone for lower-priority rules. This produces the constrained vs. unconstrained split.</w:t>
      </w:r>
    </w:p>
    <w:p>
      <w:pPr>
        <w:pStyle w:val="ListNumber"/>
        <w:spacing w:after="60"/>
      </w:pPr>
      <w:r>
        <w:rPr>
          <w:b/>
        </w:rPr>
        <w:t xml:space="preserve">Lead-time lock — </w:t>
      </w:r>
      <w:r>
        <w:t>Any container within 3 days of its Ocean ETA is moved from the unconstrained pool into the constrained pool, freezing its carrier (no time to flip it this close to arrival).</w:t>
      </w:r>
    </w:p>
    <w:p>
      <w:pPr>
        <w:pStyle w:val="ListNumber"/>
        <w:spacing w:after="60"/>
      </w:pPr>
      <w:r>
        <w:rPr>
          <w:b/>
        </w:rPr>
        <w:t xml:space="preserve">Peel pile — </w:t>
      </w:r>
      <w:r>
        <w:t>Manual peel-pile assignments are applied after all constraint rows. They can only claim still-unclaimed containers and they honor every scoped cap already set.</w:t>
      </w:r>
    </w:p>
    <w:p>
      <w:pPr>
        <w:pStyle w:val="ListNumber"/>
        <w:spacing w:after="60"/>
      </w:pPr>
      <w:r>
        <w:rPr>
          <w:b/>
        </w:rPr>
        <w:t xml:space="preserve">Scenario optimization — </w:t>
      </w:r>
      <w:r>
        <w:t>The selected scenario runs on the UNCONSTRAINED table only, skipping any carrier/scope that a Maximum/Percent rule excluded and respecting all ceilings.</w:t>
      </w:r>
    </w:p>
    <w:p>
      <w:pPr>
        <w:spacing w:after="120"/>
      </w:pPr>
      <w:r>
        <w:rPr>
          <w:i w:val="0"/>
          <w:sz w:val="21"/>
        </w:rPr>
        <w:t>At PNW ports, two post-allocation safety passes also run after the constraint stage — a per-vessel 60-cap sweep and a one-vessel-per-carrier collapse — across the combined tables (see Part 4).</w:t>
      </w:r>
    </w:p>
    <w:p>
      <w:pPr>
        <w:pStyle w:val="Heading2"/>
      </w:pPr>
      <w:r>
        <w:rPr>
          <w:color w:val="2E5C9E"/>
          <w:sz w:val="28"/>
        </w:rPr>
        <w:t>2.3 The Four Allocation Scenarios</w:t>
      </w:r>
    </w:p>
    <w:p>
      <w:pPr>
        <w:spacing w:after="120"/>
      </w:pPr>
      <w:r>
        <w:rPr>
          <w:i w:val="0"/>
          <w:sz w:val="21"/>
        </w:rPr>
        <w:t>You pick one scenario to see how assignments — and total cost — would change. All three optimizing scenarios group containers by Category + Lane + Week Number and reallocate within each group.</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016"/>
            <w:shd w:val="clear" w:color="auto" w:fill="1F3764"/>
          </w:tcPr>
          <w:p>
            <w:pPr>
              <w:spacing w:after="40" w:before="40"/>
            </w:pPr>
            <w:r/>
            <w:r>
              <w:rPr>
                <w:b/>
                <w:color w:val="FFFFFF"/>
                <w:sz w:val="18"/>
              </w:rPr>
              <w:t>Scenario</w:t>
            </w:r>
          </w:p>
        </w:tc>
        <w:tc>
          <w:tcPr>
            <w:tcW w:type="dxa" w:w="5040"/>
            <w:shd w:val="clear" w:color="auto" w:fill="1F3764"/>
          </w:tcPr>
          <w:p>
            <w:pPr>
              <w:spacing w:after="40" w:before="40"/>
            </w:pPr>
            <w:r/>
            <w:r>
              <w:rPr>
                <w:b/>
                <w:color w:val="FFFFFF"/>
                <w:sz w:val="18"/>
              </w:rPr>
              <w:t>What it does</w:t>
            </w:r>
          </w:p>
        </w:tc>
        <w:tc>
          <w:tcPr>
            <w:tcW w:type="dxa" w:w="2448"/>
            <w:shd w:val="clear" w:color="auto" w:fill="1F3764"/>
          </w:tcPr>
          <w:p>
            <w:pPr>
              <w:spacing w:after="40" w:before="40"/>
            </w:pPr>
            <w:r/>
            <w:r>
              <w:rPr>
                <w:b/>
                <w:color w:val="FFFFFF"/>
                <w:sz w:val="18"/>
              </w:rPr>
              <w:t>Use case</w:t>
            </w:r>
          </w:p>
        </w:tc>
      </w:tr>
      <w:tr>
        <w:tc>
          <w:tcPr>
            <w:tcW w:type="dxa" w:w="2016"/>
          </w:tcPr>
          <w:p>
            <w:pPr>
              <w:spacing w:after="40" w:before="40"/>
            </w:pPr>
            <w:r/>
            <w:r>
              <w:rPr>
                <w:b w:val="0"/>
                <w:sz w:val="18"/>
              </w:rPr>
              <w:t>Current Selection</w:t>
            </w:r>
          </w:p>
        </w:tc>
        <w:tc>
          <w:tcPr>
            <w:tcW w:type="dxa" w:w="5040"/>
          </w:tcPr>
          <w:p>
            <w:pPr>
              <w:spacing w:after="40" w:before="40"/>
            </w:pPr>
            <w:r/>
            <w:r>
              <w:rPr>
                <w:b w:val="0"/>
                <w:sz w:val="18"/>
              </w:rPr>
              <w:t>Shows the data exactly as in the GVT file — no reallocation. Carriers under a Max cap are flagged with a lock marker.</w:t>
            </w:r>
          </w:p>
        </w:tc>
        <w:tc>
          <w:tcPr>
            <w:tcW w:type="dxa" w:w="2448"/>
          </w:tcPr>
          <w:p>
            <w:pPr>
              <w:spacing w:after="40" w:before="40"/>
            </w:pPr>
            <w:r/>
            <w:r>
              <w:rPr>
                <w:b w:val="0"/>
                <w:sz w:val="18"/>
              </w:rPr>
              <w:t>Baseline / current state.</w:t>
            </w:r>
          </w:p>
        </w:tc>
      </w:tr>
      <w:tr>
        <w:tc>
          <w:tcPr>
            <w:tcW w:type="dxa" w:w="2016"/>
            <w:shd w:val="clear" w:color="auto" w:fill="DCE6F1"/>
          </w:tcPr>
          <w:p>
            <w:pPr>
              <w:spacing w:after="40" w:before="40"/>
            </w:pPr>
            <w:r/>
            <w:r>
              <w:rPr>
                <w:b w:val="0"/>
                <w:sz w:val="18"/>
              </w:rPr>
              <w:t>Performance</w:t>
            </w:r>
          </w:p>
        </w:tc>
        <w:tc>
          <w:tcPr>
            <w:tcW w:type="dxa" w:w="5040"/>
            <w:shd w:val="clear" w:color="auto" w:fill="DCE6F1"/>
          </w:tcPr>
          <w:p>
            <w:pPr>
              <w:spacing w:after="40" w:before="40"/>
            </w:pPr>
            <w:r/>
            <w:r>
              <w:rPr>
                <w:b w:val="0"/>
                <w:sz w:val="18"/>
              </w:rPr>
              <w:t>Assigns ALL volume in each group to the single highest-performing carrier (locked-out carriers can't win).</w:t>
            </w:r>
          </w:p>
        </w:tc>
        <w:tc>
          <w:tcPr>
            <w:tcW w:type="dxa" w:w="2448"/>
            <w:shd w:val="clear" w:color="auto" w:fill="DCE6F1"/>
          </w:tcPr>
          <w:p>
            <w:pPr>
              <w:spacing w:after="40" w:before="40"/>
            </w:pPr>
            <w:r/>
            <w:r>
              <w:rPr>
                <w:b w:val="0"/>
                <w:sz w:val="18"/>
              </w:rPr>
              <w:t>Maximize service quality.</w:t>
            </w:r>
          </w:p>
        </w:tc>
      </w:tr>
      <w:tr>
        <w:tc>
          <w:tcPr>
            <w:tcW w:type="dxa" w:w="2016"/>
          </w:tcPr>
          <w:p>
            <w:pPr>
              <w:spacing w:after="40" w:before="40"/>
            </w:pPr>
            <w:r/>
            <w:r>
              <w:rPr>
                <w:b w:val="0"/>
                <w:sz w:val="18"/>
              </w:rPr>
              <w:t>Cheapest Cost</w:t>
            </w:r>
          </w:p>
        </w:tc>
        <w:tc>
          <w:tcPr>
            <w:tcW w:type="dxa" w:w="5040"/>
          </w:tcPr>
          <w:p>
            <w:pPr>
              <w:spacing w:after="40" w:before="40"/>
            </w:pPr>
            <w:r/>
            <w:r>
              <w:rPr>
                <w:b w:val="0"/>
                <w:sz w:val="18"/>
              </w:rPr>
              <w:t>Assigns ALL volume in each group to the single lowest-rate carrier (locked-out carriers sort last).</w:t>
            </w:r>
          </w:p>
        </w:tc>
        <w:tc>
          <w:tcPr>
            <w:tcW w:type="dxa" w:w="2448"/>
          </w:tcPr>
          <w:p>
            <w:pPr>
              <w:spacing w:after="40" w:before="40"/>
            </w:pPr>
            <w:r/>
            <w:r>
              <w:rPr>
                <w:b w:val="0"/>
                <w:sz w:val="18"/>
              </w:rPr>
              <w:t>Minimize transportation cost.</w:t>
            </w:r>
          </w:p>
        </w:tc>
      </w:tr>
      <w:tr>
        <w:tc>
          <w:tcPr>
            <w:tcW w:type="dxa" w:w="2016"/>
            <w:shd w:val="clear" w:color="auto" w:fill="DCE6F1"/>
          </w:tcPr>
          <w:p>
            <w:pPr>
              <w:spacing w:after="40" w:before="40"/>
            </w:pPr>
            <w:r/>
            <w:r>
              <w:rPr>
                <w:b w:val="0"/>
                <w:sz w:val="18"/>
              </w:rPr>
              <w:t>Optimized</w:t>
            </w:r>
          </w:p>
        </w:tc>
        <w:tc>
          <w:tcPr>
            <w:tcW w:type="dxa" w:w="5040"/>
            <w:shd w:val="clear" w:color="auto" w:fill="DCE6F1"/>
          </w:tcPr>
          <w:p>
            <w:pPr>
              <w:spacing w:after="40" w:before="40"/>
            </w:pPr>
            <w:r/>
            <w:r>
              <w:rPr>
                <w:b w:val="0"/>
                <w:sz w:val="18"/>
              </w:rPr>
              <w:t>Ranks carriers by a blended cost+performance score, then distributes volume across carriers capped by each carrier's historical share x (1 + growth limit), cascading any overflow.</w:t>
            </w:r>
          </w:p>
        </w:tc>
        <w:tc>
          <w:tcPr>
            <w:tcW w:type="dxa" w:w="2448"/>
            <w:shd w:val="clear" w:color="auto" w:fill="DCE6F1"/>
          </w:tcPr>
          <w:p>
            <w:pPr>
              <w:spacing w:after="40" w:before="40"/>
            </w:pPr>
            <w:r/>
            <w:r>
              <w:rPr>
                <w:b w:val="0"/>
                <w:sz w:val="18"/>
              </w:rPr>
              <w:t>Balanced, operationally realistic recommendation.</w:t>
            </w:r>
          </w:p>
        </w:tc>
      </w:tr>
    </w:tbl>
    <w:p/>
    <w:p>
      <w:pPr>
        <w:pStyle w:val="Heading2"/>
      </w:pPr>
      <w:r>
        <w:rPr>
          <w:color w:val="2E5C9E"/>
          <w:sz w:val="28"/>
        </w:rPr>
        <w:t>2.4 The Optimized Scenario, Step by Step</w:t>
      </w:r>
    </w:p>
    <w:p>
      <w:pPr>
        <w:spacing w:after="120"/>
      </w:pPr>
      <w:r>
        <w:rPr>
          <w:i w:val="0"/>
          <w:sz w:val="21"/>
        </w:rPr>
        <w:t>This is the flagship strategy. It runs per Category + Lane + Week group:</w:t>
      </w:r>
    </w:p>
    <w:p>
      <w:pPr>
        <w:pStyle w:val="Heading3"/>
      </w:pPr>
      <w:r>
        <w:rPr>
          <w:color w:val="2E5C9E"/>
          <w:sz w:val="24"/>
        </w:rPr>
        <w:t>Step 1 — Score and rank carriers</w:t>
      </w:r>
    </w:p>
    <w:p>
      <w:pPr>
        <w:spacing w:after="120"/>
      </w:pPr>
      <w:r>
        <w:rPr>
          <w:i w:val="0"/>
          <w:sz w:val="21"/>
        </w:rPr>
        <w:t>Every capable carrier in the group gets a blended score combining normalized cost and performance:</w:t>
      </w:r>
    </w:p>
    <w:p>
      <w:pPr>
        <w:spacing w:after="120"/>
        <w:ind w:left="432"/>
      </w:pPr>
      <w:r>
        <w:rPr>
          <w:rFonts w:ascii="Consolas" w:hAnsi="Consolas"/>
          <w:color w:val="1A1A1A"/>
          <w:sz w:val="18"/>
        </w:rPr>
        <w:t>score = (cost_weight x normalized_cost) + (performance_weight x (1 - performance))</w:t>
        <w:br/>
      </w:r>
    </w:p>
    <w:p>
      <w:pPr>
        <w:pStyle w:val="ListBullet"/>
        <w:spacing w:after="60"/>
      </w:pPr>
      <w:r>
        <w:t>Default weights: 70% cost, 30% performance (configurable; must sum to 100%).</w:t>
      </w:r>
    </w:p>
    <w:p>
      <w:pPr>
        <w:pStyle w:val="ListBullet"/>
        <w:spacing w:after="60"/>
      </w:pPr>
      <w:r>
        <w:t>Lower score is better. Rank 1 = best carrier for that group. Ties break toward the cheaper rate.</w:t>
      </w:r>
    </w:p>
    <w:tbl>
      <w:tblPr>
        <w:tblW w:type="auto" w:w="0"/>
        <w:jc w:val="center"/>
        <w:tblLook w:firstColumn="1" w:firstRow="1" w:lastColumn="0" w:lastRow="0" w:noHBand="0" w:noVBand="1" w:val="04A0"/>
      </w:tblPr>
      <w:tblGrid>
        <w:gridCol w:w="8640"/>
      </w:tblGrid>
      <w:tr>
        <w:tc>
          <w:tcPr>
            <w:tcW w:type="dxa" w:w="8640"/>
            <w:shd w:val="clear" w:color="auto" w:fill="EDEDED"/>
          </w:tcPr>
          <w:p>
            <w:r/>
            <w:r>
              <w:rPr>
                <w:b/>
                <w:sz w:val="20"/>
              </w:rPr>
              <w:t xml:space="preserve">Implementation note:  </w:t>
            </w:r>
            <w:r>
              <w:rPr>
                <w:sz w:val="20"/>
              </w:rPr>
              <w:t>This per-group ranking is computed in closed form (a direct lowest-coefficient pick), not by spawning an external LP solver. An earlier version ran a CBC subprocess per group; that was replaced with the equivalent direct calculation to remove solver overhead. The allocation result is unchanged.</w:t>
            </w:r>
          </w:p>
        </w:tc>
      </w:tr>
    </w:tbl>
    <w:p/>
    <w:p>
      <w:pPr>
        <w:pStyle w:val="Heading3"/>
      </w:pPr>
      <w:r>
        <w:rPr>
          <w:color w:val="2E5C9E"/>
          <w:sz w:val="24"/>
        </w:rPr>
        <w:t>Step 2 — Historical volume baseline</w:t>
      </w:r>
    </w:p>
    <w:p>
      <w:pPr>
        <w:spacing w:after="120"/>
      </w:pPr>
      <w:r>
        <w:rPr>
          <w:i w:val="0"/>
          <w:sz w:val="21"/>
        </w:rPr>
        <w:t>The optimizer computes each carrier's average market share over the last 5 weeks of data, so allocations stay grounded in what carriers have actually handled.</w:t>
      </w:r>
    </w:p>
    <w:p>
      <w:pPr>
        <w:pStyle w:val="Heading3"/>
      </w:pPr>
      <w:r>
        <w:rPr>
          <w:color w:val="2E5C9E"/>
          <w:sz w:val="24"/>
        </w:rPr>
        <w:t>Step 3 — Apply growth limits</w:t>
      </w:r>
    </w:p>
    <w:p>
      <w:pPr>
        <w:spacing w:after="120"/>
      </w:pPr>
      <w:r>
        <w:rPr>
          <w:i w:val="0"/>
          <w:sz w:val="21"/>
        </w:rPr>
        <w:t>To prevent unrealistic overnight shifts, a carrier's allocation is capped at its historical share plus a maximum growth percentage (default 30%).</w:t>
      </w:r>
    </w:p>
    <w:tbl>
      <w:tblPr>
        <w:tblW w:type="auto" w:w="0"/>
        <w:jc w:val="center"/>
        <w:tblLook w:firstColumn="1" w:firstRow="1" w:lastColumn="0" w:lastRow="0" w:noHBand="0" w:noVBand="1" w:val="04A0"/>
      </w:tblPr>
      <w:tblGrid>
        <w:gridCol w:w="8640"/>
      </w:tblGrid>
      <w:tr>
        <w:tc>
          <w:tcPr>
            <w:tcW w:type="dxa" w:w="8640"/>
            <w:shd w:val="clear" w:color="auto" w:fill="FFF2CC"/>
          </w:tcPr>
          <w:p>
            <w:r/>
            <w:r>
              <w:rPr>
                <w:b/>
                <w:sz w:val="20"/>
              </w:rPr>
              <w:t xml:space="preserve">Example:  </w:t>
            </w:r>
            <w:r>
              <w:rPr>
                <w:sz w:val="20"/>
              </w:rPr>
              <w:t>A carrier with 25% historical share can grow to at most 25% x 1.30 = 32.5% of the group's volume in the first pass.</w:t>
            </w:r>
          </w:p>
        </w:tc>
      </w:tr>
    </w:tbl>
    <w:p/>
    <w:p>
      <w:pPr>
        <w:pStyle w:val="Heading3"/>
      </w:pPr>
      <w:r>
        <w:rPr>
          <w:color w:val="2E5C9E"/>
          <w:sz w:val="24"/>
        </w:rPr>
        <w:t>Step 4 — Cascade the volume</w:t>
      </w:r>
    </w:p>
    <w:p>
      <w:pPr>
        <w:pStyle w:val="ListNumber"/>
        <w:spacing w:after="60"/>
      </w:pPr>
      <w:r>
        <w:t>Allocate to the Rank 1 carrier up to its growth limit.</w:t>
      </w:r>
    </w:p>
    <w:p>
      <w:pPr>
        <w:pStyle w:val="ListNumber"/>
        <w:spacing w:after="60"/>
      </w:pPr>
      <w:r>
        <w:t>Cascade the remaining volume to Rank 2, then Rank 3, and so on.</w:t>
      </w:r>
    </w:p>
    <w:p>
      <w:pPr>
        <w:pStyle w:val="ListNumber"/>
        <w:spacing w:after="60"/>
      </w:pPr>
      <w:r>
        <w:t>If volume still remains after every carrier hits its first-pass limit, a second pass relaxes the ceiling (existing carriers up to ~2x their limit; a brand-new carrier up to ~50% of the group), then a final pass distributes any last remainder proportionally by rank.</w:t>
      </w:r>
    </w:p>
    <w:p>
      <w:pPr>
        <w:pStyle w:val="ListNumber"/>
        <w:spacing w:after="60"/>
      </w:pPr>
      <w:r>
        <w:t>Counts are reconciled with a largest-remainder rounding so the group total is preserved exactly.</w:t>
      </w:r>
    </w:p>
    <w:p>
      <w:pPr>
        <w:pStyle w:val="Heading2"/>
      </w:pPr>
      <w:r>
        <w:rPr>
          <w:color w:val="2E5C9E"/>
          <w:sz w:val="28"/>
        </w:rPr>
        <w:t>2.5 Weight &amp; Growth Configuration</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1F3764"/>
          </w:tcPr>
          <w:p>
            <w:pPr>
              <w:spacing w:after="40" w:before="40"/>
            </w:pPr>
            <w:r/>
            <w:r>
              <w:rPr>
                <w:b/>
                <w:color w:val="FFFFFF"/>
                <w:sz w:val="18"/>
              </w:rPr>
              <w:t>Setting</w:t>
            </w:r>
          </w:p>
        </w:tc>
        <w:tc>
          <w:tcPr>
            <w:tcW w:type="dxa" w:w="1728"/>
            <w:shd w:val="clear" w:color="auto" w:fill="1F3764"/>
          </w:tcPr>
          <w:p>
            <w:pPr>
              <w:spacing w:after="40" w:before="40"/>
            </w:pPr>
            <w:r/>
            <w:r>
              <w:rPr>
                <w:b/>
                <w:color w:val="FFFFFF"/>
                <w:sz w:val="18"/>
              </w:rPr>
              <w:t>Default</w:t>
            </w:r>
          </w:p>
        </w:tc>
        <w:tc>
          <w:tcPr>
            <w:tcW w:type="dxa" w:w="4896"/>
            <w:shd w:val="clear" w:color="auto" w:fill="1F3764"/>
          </w:tcPr>
          <w:p>
            <w:pPr>
              <w:spacing w:after="40" w:before="40"/>
            </w:pPr>
            <w:r/>
            <w:r>
              <w:rPr>
                <w:b/>
                <w:color w:val="FFFFFF"/>
                <w:sz w:val="18"/>
              </w:rPr>
              <w:t>Effect</w:t>
            </w:r>
          </w:p>
        </w:tc>
      </w:tr>
      <w:tr>
        <w:tc>
          <w:tcPr>
            <w:tcW w:type="dxa" w:w="2880"/>
          </w:tcPr>
          <w:p>
            <w:pPr>
              <w:spacing w:after="40" w:before="40"/>
            </w:pPr>
            <w:r/>
            <w:r>
              <w:rPr>
                <w:b w:val="0"/>
                <w:sz w:val="18"/>
              </w:rPr>
              <w:t>Cost Weight</w:t>
            </w:r>
          </w:p>
        </w:tc>
        <w:tc>
          <w:tcPr>
            <w:tcW w:type="dxa" w:w="1728"/>
          </w:tcPr>
          <w:p>
            <w:pPr>
              <w:spacing w:after="40" w:before="40"/>
            </w:pPr>
            <w:r/>
            <w:r>
              <w:rPr>
                <w:b w:val="0"/>
                <w:sz w:val="18"/>
              </w:rPr>
              <w:t>70%</w:t>
            </w:r>
          </w:p>
        </w:tc>
        <w:tc>
          <w:tcPr>
            <w:tcW w:type="dxa" w:w="4896"/>
          </w:tcPr>
          <w:p>
            <w:pPr>
              <w:spacing w:after="40" w:before="40"/>
            </w:pPr>
            <w:r/>
            <w:r>
              <w:rPr>
                <w:b w:val="0"/>
                <w:sz w:val="18"/>
              </w:rPr>
              <w:t>Higher = prioritize lower cost.</w:t>
            </w:r>
          </w:p>
        </w:tc>
      </w:tr>
      <w:tr>
        <w:tc>
          <w:tcPr>
            <w:tcW w:type="dxa" w:w="2880"/>
            <w:shd w:val="clear" w:color="auto" w:fill="DCE6F1"/>
          </w:tcPr>
          <w:p>
            <w:pPr>
              <w:spacing w:after="40" w:before="40"/>
            </w:pPr>
            <w:r/>
            <w:r>
              <w:rPr>
                <w:b w:val="0"/>
                <w:sz w:val="18"/>
              </w:rPr>
              <w:t>Performance Weight</w:t>
            </w:r>
          </w:p>
        </w:tc>
        <w:tc>
          <w:tcPr>
            <w:tcW w:type="dxa" w:w="1728"/>
            <w:shd w:val="clear" w:color="auto" w:fill="DCE6F1"/>
          </w:tcPr>
          <w:p>
            <w:pPr>
              <w:spacing w:after="40" w:before="40"/>
            </w:pPr>
            <w:r/>
            <w:r>
              <w:rPr>
                <w:b w:val="0"/>
                <w:sz w:val="18"/>
              </w:rPr>
              <w:t>30%</w:t>
            </w:r>
          </w:p>
        </w:tc>
        <w:tc>
          <w:tcPr>
            <w:tcW w:type="dxa" w:w="4896"/>
            <w:shd w:val="clear" w:color="auto" w:fill="DCE6F1"/>
          </w:tcPr>
          <w:p>
            <w:pPr>
              <w:spacing w:after="40" w:before="40"/>
            </w:pPr>
            <w:r/>
            <w:r>
              <w:rPr>
                <w:b w:val="0"/>
                <w:sz w:val="18"/>
              </w:rPr>
              <w:t>Higher = prioritize better performance.</w:t>
            </w:r>
          </w:p>
        </w:tc>
      </w:tr>
      <w:tr>
        <w:tc>
          <w:tcPr>
            <w:tcW w:type="dxa" w:w="2880"/>
          </w:tcPr>
          <w:p>
            <w:pPr>
              <w:spacing w:after="40" w:before="40"/>
            </w:pPr>
            <w:r/>
            <w:r>
              <w:rPr>
                <w:b w:val="0"/>
                <w:sz w:val="18"/>
              </w:rPr>
              <w:t>Max Growth %</w:t>
            </w:r>
          </w:p>
        </w:tc>
        <w:tc>
          <w:tcPr>
            <w:tcW w:type="dxa" w:w="1728"/>
          </w:tcPr>
          <w:p>
            <w:pPr>
              <w:spacing w:after="40" w:before="40"/>
            </w:pPr>
            <w:r/>
            <w:r>
              <w:rPr>
                <w:b w:val="0"/>
                <w:sz w:val="18"/>
              </w:rPr>
              <w:t>30%</w:t>
            </w:r>
          </w:p>
        </w:tc>
        <w:tc>
          <w:tcPr>
            <w:tcW w:type="dxa" w:w="4896"/>
          </w:tcPr>
          <w:p>
            <w:pPr>
              <w:spacing w:after="40" w:before="40"/>
            </w:pPr>
            <w:r/>
            <w:r>
              <w:rPr>
                <w:b w:val="0"/>
                <w:sz w:val="18"/>
              </w:rPr>
              <w:t>How far a carrier may exceed its historical share in one run.</w:t>
            </w:r>
          </w:p>
        </w:tc>
      </w:tr>
      <w:tr>
        <w:tc>
          <w:tcPr>
            <w:tcW w:type="dxa" w:w="2880"/>
            <w:shd w:val="clear" w:color="auto" w:fill="DCE6F1"/>
          </w:tcPr>
          <w:p>
            <w:pPr>
              <w:spacing w:after="40" w:before="40"/>
            </w:pPr>
            <w:r/>
            <w:r>
              <w:rPr>
                <w:b w:val="0"/>
                <w:sz w:val="18"/>
              </w:rPr>
              <w:t>Historical weeks</w:t>
            </w:r>
          </w:p>
        </w:tc>
        <w:tc>
          <w:tcPr>
            <w:tcW w:type="dxa" w:w="1728"/>
            <w:shd w:val="clear" w:color="auto" w:fill="DCE6F1"/>
          </w:tcPr>
          <w:p>
            <w:pPr>
              <w:spacing w:after="40" w:before="40"/>
            </w:pPr>
            <w:r/>
            <w:r>
              <w:rPr>
                <w:b w:val="0"/>
                <w:sz w:val="18"/>
              </w:rPr>
              <w:t>5</w:t>
            </w:r>
          </w:p>
        </w:tc>
        <w:tc>
          <w:tcPr>
            <w:tcW w:type="dxa" w:w="4896"/>
            <w:shd w:val="clear" w:color="auto" w:fill="DCE6F1"/>
          </w:tcPr>
          <w:p>
            <w:pPr>
              <w:spacing w:after="40" w:before="40"/>
            </w:pPr>
            <w:r/>
            <w:r>
              <w:rPr>
                <w:b w:val="0"/>
                <w:sz w:val="18"/>
              </w:rPr>
              <w:t>Window used to compute each carrier's baseline share.</w:t>
            </w:r>
          </w:p>
        </w:tc>
      </w:tr>
    </w:tbl>
    <w:p/>
    <w:p>
      <w:pPr>
        <w:pStyle w:val="Heading2"/>
      </w:pPr>
      <w:r>
        <w:rPr>
          <w:color w:val="2E5C9E"/>
          <w:sz w:val="28"/>
        </w:rPr>
        <w:t>2.6 Reading the Carrier Flips Column</w:t>
      </w:r>
    </w:p>
    <w:p>
      <w:pPr>
        <w:spacing w:after="120"/>
      </w:pPr>
      <w:r>
        <w:rPr>
          <w:i w:val="0"/>
          <w:sz w:val="21"/>
        </w:rPr>
        <w:t>Every scenario traces how containers moved between carriers, in the form:</w:t>
      </w:r>
    </w:p>
    <w:p>
      <w:pPr>
        <w:spacing w:after="120"/>
        <w:ind w:left="432"/>
      </w:pPr>
      <w:r>
        <w:rPr>
          <w:rFonts w:ascii="Consolas" w:hAnsi="Consolas"/>
          <w:color w:val="1A1A1A"/>
          <w:sz w:val="18"/>
        </w:rPr>
        <w:t>Had X -&gt; [Changes] -&gt; Now Y</w:t>
        <w:br/>
      </w:r>
    </w:p>
    <w:p>
      <w:pPr>
        <w:pStyle w:val="ListBullet"/>
        <w:spacing w:after="60"/>
      </w:pPr>
      <w:r>
        <w:rPr>
          <w:b/>
        </w:rPr>
        <w:t xml:space="preserve">Had X — </w:t>
      </w:r>
      <w:r>
        <w:t>original containers before reallocation.</w:t>
      </w:r>
    </w:p>
    <w:p>
      <w:pPr>
        <w:pStyle w:val="ListBullet"/>
        <w:spacing w:after="60"/>
      </w:pPr>
      <w:r>
        <w:rPr>
          <w:b/>
        </w:rPr>
        <w:t xml:space="preserve">From CARRIER (+N) — </w:t>
      </w:r>
      <w:r>
        <w:t>gained N containers from CARRIER.</w:t>
      </w:r>
    </w:p>
    <w:p>
      <w:pPr>
        <w:pStyle w:val="ListBullet"/>
        <w:spacing w:after="60"/>
      </w:pPr>
      <w:r>
        <w:rPr>
          <w:b/>
        </w:rPr>
        <w:t xml:space="preserve">Lost N -&gt; To CARRIER (-N) — </w:t>
      </w:r>
      <w:r>
        <w:t>lost N containers to CARRIER.</w:t>
      </w:r>
    </w:p>
    <w:p>
      <w:pPr>
        <w:pStyle w:val="ListBullet"/>
        <w:spacing w:after="60"/>
      </w:pPr>
      <w:r>
        <w:rPr>
          <w:b/>
        </w:rPr>
        <w:t xml:space="preserve">Now Y — </w:t>
      </w:r>
      <w:r>
        <w:t>final container count after the scenario.</w:t>
      </w:r>
    </w:p>
    <w:p>
      <w:pPr>
        <w:spacing w:after="120"/>
      </w:pPr>
      <w:r>
        <w:rPr>
          <w:i w:val="0"/>
          <w:sz w:val="21"/>
        </w:rPr>
        <w:t>Examples:</w:t>
      </w:r>
    </w:p>
    <w:p>
      <w:pPr>
        <w:spacing w:after="120"/>
        <w:ind w:left="432"/>
      </w:pPr>
      <w:r>
        <w:rPr>
          <w:rFonts w:ascii="Consolas" w:hAnsi="Consolas"/>
          <w:color w:val="1A1A1A"/>
          <w:sz w:val="18"/>
        </w:rPr>
        <w:t>Had 4 -&gt; From RKNE (+8) + XPDR (+3), Lost 2 -&gt; To FRQT (-2) -&gt; Now 15</w:t>
        <w:br/>
      </w:r>
      <w:r>
        <w:rPr>
          <w:rFonts w:ascii="Consolas" w:hAnsi="Consolas"/>
          <w:color w:val="1A1A1A"/>
          <w:sz w:val="18"/>
        </w:rPr>
        <w:t>Had 10 (kept all) -&gt; Now 10</w:t>
        <w:br/>
      </w:r>
      <w:r>
        <w:rPr>
          <w:rFonts w:ascii="Consolas" w:hAnsi="Consolas"/>
          <w:color w:val="1A1A1A"/>
          <w:sz w:val="18"/>
        </w:rPr>
        <w:t>Had 0 -&gt; From ATMI (+5) -&gt; Now 5</w:t>
        <w:br/>
      </w:r>
    </w:p>
    <w:p>
      <w:pPr>
        <w:pStyle w:val="Heading2"/>
      </w:pPr>
      <w:r>
        <w:rPr>
          <w:color w:val="2E5C9E"/>
          <w:sz w:val="28"/>
        </w:rPr>
        <w:t>2.7 The Carrier Flip Report</w:t>
      </w:r>
    </w:p>
    <w:p>
      <w:pPr>
        <w:spacing w:after="120"/>
      </w:pPr>
      <w:r>
        <w:rPr>
          <w:i w:val="0"/>
          <w:sz w:val="21"/>
        </w:rPr>
        <w:t>A separate per-container audit that compares each container's ORIGINAL carrier (from the GVT) with the NEW carrier the allocation assigned, looks up the rate for each on the lane, and computes the savings. It surfaces:</w:t>
      </w:r>
    </w:p>
    <w:p>
      <w:pPr>
        <w:pStyle w:val="ListBullet"/>
        <w:spacing w:after="60"/>
      </w:pPr>
      <w:r>
        <w:t>a GVT-merged table with old carrier, new carrier, old rate, new rate, and per-container savings;</w:t>
      </w:r>
    </w:p>
    <w:p>
      <w:pPr>
        <w:pStyle w:val="ListBullet"/>
        <w:spacing w:after="60"/>
      </w:pPr>
      <w:r>
        <w:t>a Port x New-SCAC pivot of container counts;</w:t>
      </w:r>
    </w:p>
    <w:p>
      <w:pPr>
        <w:pStyle w:val="ListBullet"/>
        <w:spacing w:after="60"/>
      </w:pPr>
      <w:r>
        <w:t>match diagnostics (which containers couldn't be matched or priced — reported as unpriced, never as free);</w:t>
      </w:r>
    </w:p>
    <w:p>
      <w:pPr>
        <w:pStyle w:val="ListBullet"/>
        <w:spacing w:after="60"/>
      </w:pPr>
      <w:r>
        <w:t>a multi-sheet Excel export with flipped carriers highlighted.</w:t>
      </w:r>
    </w:p>
    <w:p>
      <w:r>
        <w:br w:type="page"/>
      </w:r>
    </w:p>
    <w:p>
      <w:pPr>
        <w:pStyle w:val="Heading1"/>
      </w:pPr>
      <w:r>
        <w:rPr>
          <w:color w:val="1F3764"/>
          <w:sz w:val="36"/>
        </w:rPr>
        <w:t>Part 3 — Constraints</w:t>
      </w:r>
    </w:p>
    <w:p>
      <w:pPr>
        <w:spacing w:after="120"/>
      </w:pPr>
      <w:r>
        <w:rPr>
          <w:i w:val="0"/>
          <w:sz w:val="21"/>
        </w:rPr>
        <w:t>A constraint is an instruction to assign volume to a target carrier, optionally within a scope (filters), up to / at least / at a given amount. You provide constraints as an Excel file (14-column schema) or let the AI assistant draft them. Each row is one rule.</w:t>
      </w:r>
    </w:p>
    <w:p>
      <w:pPr>
        <w:pStyle w:val="Heading2"/>
      </w:pPr>
      <w:r>
        <w:rPr>
          <w:color w:val="2E5C9E"/>
          <w:sz w:val="28"/>
        </w:rPr>
        <w:t>3.1 The Single Most Important Rule: Carrier = Target</w:t>
      </w:r>
    </w:p>
    <w:tbl>
      <w:tblPr>
        <w:tblW w:type="auto" w:w="0"/>
        <w:jc w:val="center"/>
        <w:tblLook w:firstColumn="1" w:firstRow="1" w:lastColumn="0" w:lastRow="0" w:noHBand="0" w:noVBand="1" w:val="04A0"/>
      </w:tblPr>
      <w:tblGrid>
        <w:gridCol w:w="8640"/>
      </w:tblGrid>
      <w:tr>
        <w:tc>
          <w:tcPr>
            <w:tcW w:type="dxa" w:w="8640"/>
            <w:shd w:val="clear" w:color="auto" w:fill="FCE4D6"/>
          </w:tcPr>
          <w:p>
            <w:r/>
            <w:r>
              <w:rPr>
                <w:b/>
                <w:sz w:val="20"/>
              </w:rPr>
              <w:t xml:space="preserve">Carrier is the assignment target, not a filter.  </w:t>
            </w:r>
            <w:r>
              <w:rPr>
                <w:sz w:val="20"/>
              </w:rPr>
              <w:t>"Give ATMI 100 at LAX" means: pull 100 LAX containers from whatever carrier currently holds them and lock them to ATMI. It does NOT mean "find containers already on ATMI." Every other column is a scope filter; Carrier is who the matched volume is assigned to.</w:t>
            </w:r>
          </w:p>
        </w:tc>
      </w:tr>
    </w:tbl>
    <w:p/>
    <w:p>
      <w:pPr>
        <w:pStyle w:val="Heading2"/>
      </w:pPr>
      <w:r>
        <w:rPr>
          <w:color w:val="2E5C9E"/>
          <w:sz w:val="28"/>
        </w:rPr>
        <w:t>3.2 The Constraint File Columns (14)</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592"/>
            <w:shd w:val="clear" w:color="auto" w:fill="1F3764"/>
          </w:tcPr>
          <w:p>
            <w:pPr>
              <w:spacing w:after="40" w:before="40"/>
            </w:pPr>
            <w:r/>
            <w:r>
              <w:rPr>
                <w:b/>
                <w:color w:val="FFFFFF"/>
                <w:sz w:val="18"/>
              </w:rPr>
              <w:t>Column</w:t>
            </w:r>
          </w:p>
        </w:tc>
        <w:tc>
          <w:tcPr>
            <w:tcW w:type="dxa" w:w="1152"/>
            <w:shd w:val="clear" w:color="auto" w:fill="1F3764"/>
          </w:tcPr>
          <w:p>
            <w:pPr>
              <w:spacing w:after="40" w:before="40"/>
            </w:pPr>
            <w:r/>
            <w:r>
              <w:rPr>
                <w:b/>
                <w:color w:val="FFFFFF"/>
                <w:sz w:val="18"/>
              </w:rPr>
              <w:t>Role</w:t>
            </w:r>
          </w:p>
        </w:tc>
        <w:tc>
          <w:tcPr>
            <w:tcW w:type="dxa" w:w="5760"/>
            <w:shd w:val="clear" w:color="auto" w:fill="1F3764"/>
          </w:tcPr>
          <w:p>
            <w:pPr>
              <w:spacing w:after="40" w:before="40"/>
            </w:pPr>
            <w:r/>
            <w:r>
              <w:rPr>
                <w:b/>
                <w:color w:val="FFFFFF"/>
                <w:sz w:val="18"/>
              </w:rPr>
              <w:t>Description</w:t>
            </w:r>
          </w:p>
        </w:tc>
      </w:tr>
      <w:tr>
        <w:tc>
          <w:tcPr>
            <w:tcW w:type="dxa" w:w="2592"/>
          </w:tcPr>
          <w:p>
            <w:pPr>
              <w:spacing w:after="40" w:before="40"/>
            </w:pPr>
            <w:r/>
            <w:r>
              <w:rPr>
                <w:b w:val="0"/>
                <w:sz w:val="18"/>
              </w:rPr>
              <w:t>Priority Score</w:t>
            </w:r>
          </w:p>
        </w:tc>
        <w:tc>
          <w:tcPr>
            <w:tcW w:type="dxa" w:w="1152"/>
          </w:tcPr>
          <w:p>
            <w:pPr>
              <w:spacing w:after="40" w:before="40"/>
            </w:pPr>
            <w:r/>
            <w:r>
              <w:rPr>
                <w:b w:val="0"/>
                <w:sz w:val="18"/>
              </w:rPr>
              <w:t>Required</w:t>
            </w:r>
          </w:p>
        </w:tc>
        <w:tc>
          <w:tcPr>
            <w:tcW w:type="dxa" w:w="5760"/>
          </w:tcPr>
          <w:p>
            <w:pPr>
              <w:spacing w:after="40" w:before="40"/>
            </w:pPr>
            <w:r/>
            <w:r>
              <w:rPr>
                <w:b w:val="0"/>
                <w:sz w:val="18"/>
              </w:rPr>
              <w:t>Processing order — higher runs first. When rules compete for the same containers, the higher priority wins.</w:t>
            </w:r>
          </w:p>
        </w:tc>
      </w:tr>
      <w:tr>
        <w:tc>
          <w:tcPr>
            <w:tcW w:type="dxa" w:w="2592"/>
            <w:shd w:val="clear" w:color="auto" w:fill="DCE6F1"/>
          </w:tcPr>
          <w:p>
            <w:pPr>
              <w:spacing w:after="40" w:before="40"/>
            </w:pPr>
            <w:r/>
            <w:r>
              <w:rPr>
                <w:b w:val="0"/>
                <w:sz w:val="18"/>
              </w:rPr>
              <w:t>Carrier</w:t>
            </w:r>
          </w:p>
        </w:tc>
        <w:tc>
          <w:tcPr>
            <w:tcW w:type="dxa" w:w="1152"/>
            <w:shd w:val="clear" w:color="auto" w:fill="DCE6F1"/>
          </w:tcPr>
          <w:p>
            <w:pPr>
              <w:spacing w:after="40" w:before="40"/>
            </w:pPr>
            <w:r/>
            <w:r>
              <w:rPr>
                <w:b w:val="0"/>
                <w:sz w:val="18"/>
              </w:rPr>
              <w:t>Target*</w:t>
            </w:r>
          </w:p>
        </w:tc>
        <w:tc>
          <w:tcPr>
            <w:tcW w:type="dxa" w:w="5760"/>
            <w:shd w:val="clear" w:color="auto" w:fill="DCE6F1"/>
          </w:tcPr>
          <w:p>
            <w:pPr>
              <w:spacing w:after="40" w:before="40"/>
            </w:pPr>
            <w:r/>
            <w:r>
              <w:rPr>
                <w:b w:val="0"/>
                <w:sz w:val="18"/>
              </w:rPr>
              <w:t>The SCAC to assign volume TO. Required for Maximum, Minimum, and Excluded FC rules. Auto-resolved to the spelling in the data.</w:t>
            </w:r>
          </w:p>
        </w:tc>
      </w:tr>
      <w:tr>
        <w:tc>
          <w:tcPr>
            <w:tcW w:type="dxa" w:w="2592"/>
          </w:tcPr>
          <w:p>
            <w:pPr>
              <w:spacing w:after="40" w:before="40"/>
            </w:pPr>
            <w:r/>
            <w:r>
              <w:rPr>
                <w:b w:val="0"/>
                <w:sz w:val="18"/>
              </w:rPr>
              <w:t>Category</w:t>
            </w:r>
          </w:p>
        </w:tc>
        <w:tc>
          <w:tcPr>
            <w:tcW w:type="dxa" w:w="1152"/>
          </w:tcPr>
          <w:p>
            <w:pPr>
              <w:spacing w:after="40" w:before="40"/>
            </w:pPr>
            <w:r/>
            <w:r>
              <w:rPr>
                <w:b w:val="0"/>
                <w:sz w:val="18"/>
              </w:rPr>
              <w:t>Filter</w:t>
            </w:r>
          </w:p>
        </w:tc>
        <w:tc>
          <w:tcPr>
            <w:tcW w:type="dxa" w:w="5760"/>
          </w:tcPr>
          <w:p>
            <w:pPr>
              <w:spacing w:after="40" w:before="40"/>
            </w:pPr>
            <w:r/>
            <w:r>
              <w:rPr>
                <w:b w:val="0"/>
                <w:sz w:val="18"/>
              </w:rPr>
              <w:t>Business category (e.g. CD, FBA FCL). Canonicalized on both sides. Blank = all.</w:t>
            </w:r>
          </w:p>
        </w:tc>
      </w:tr>
      <w:tr>
        <w:tc>
          <w:tcPr>
            <w:tcW w:type="dxa" w:w="2592"/>
            <w:shd w:val="clear" w:color="auto" w:fill="DCE6F1"/>
          </w:tcPr>
          <w:p>
            <w:pPr>
              <w:spacing w:after="40" w:before="40"/>
            </w:pPr>
            <w:r/>
            <w:r>
              <w:rPr>
                <w:b w:val="0"/>
                <w:sz w:val="18"/>
              </w:rPr>
              <w:t>Lane</w:t>
            </w:r>
          </w:p>
        </w:tc>
        <w:tc>
          <w:tcPr>
            <w:tcW w:type="dxa" w:w="1152"/>
            <w:shd w:val="clear" w:color="auto" w:fill="DCE6F1"/>
          </w:tcPr>
          <w:p>
            <w:pPr>
              <w:spacing w:after="40" w:before="40"/>
            </w:pPr>
            <w:r/>
            <w:r>
              <w:rPr>
                <w:b w:val="0"/>
                <w:sz w:val="18"/>
              </w:rPr>
              <w:t>Filter</w:t>
            </w:r>
          </w:p>
        </w:tc>
        <w:tc>
          <w:tcPr>
            <w:tcW w:type="dxa" w:w="5760"/>
            <w:shd w:val="clear" w:color="auto" w:fill="DCE6F1"/>
          </w:tcPr>
          <w:p>
            <w:pPr>
              <w:spacing w:after="40" w:before="40"/>
            </w:pPr>
            <w:r/>
            <w:r>
              <w:rPr>
                <w:b w:val="0"/>
                <w:sz w:val="18"/>
              </w:rPr>
              <w:t>Lane code. A short value (&lt;= 4 chars) matches by suffix (ABE8 -&gt; USNYCABE8); long values match exactly. Blank = all.</w:t>
            </w:r>
          </w:p>
        </w:tc>
      </w:tr>
      <w:tr>
        <w:tc>
          <w:tcPr>
            <w:tcW w:type="dxa" w:w="2592"/>
          </w:tcPr>
          <w:p>
            <w:pPr>
              <w:spacing w:after="40" w:before="40"/>
            </w:pPr>
            <w:r/>
            <w:r>
              <w:rPr>
                <w:b w:val="0"/>
                <w:sz w:val="18"/>
              </w:rPr>
              <w:t>Port</w:t>
            </w:r>
          </w:p>
        </w:tc>
        <w:tc>
          <w:tcPr>
            <w:tcW w:type="dxa" w:w="1152"/>
          </w:tcPr>
          <w:p>
            <w:pPr>
              <w:spacing w:after="40" w:before="40"/>
            </w:pPr>
            <w:r/>
            <w:r>
              <w:rPr>
                <w:b w:val="0"/>
                <w:sz w:val="18"/>
              </w:rPr>
              <w:t>Filter</w:t>
            </w:r>
          </w:p>
        </w:tc>
        <w:tc>
          <w:tcPr>
            <w:tcW w:type="dxa" w:w="5760"/>
          </w:tcPr>
          <w:p>
            <w:pPr>
              <w:spacing w:after="40" w:before="40"/>
            </w:pPr>
            <w:r/>
            <w:r>
              <w:rPr>
                <w:b w:val="0"/>
                <w:sz w:val="18"/>
              </w:rPr>
              <w:t>Discharged Port. Shorthand expands via aliases (NYC -&gt; NYC+EWR; LAX -&gt; LAX+LGB). Blank = all.</w:t>
            </w:r>
          </w:p>
        </w:tc>
      </w:tr>
      <w:tr>
        <w:tc>
          <w:tcPr>
            <w:tcW w:type="dxa" w:w="2592"/>
            <w:shd w:val="clear" w:color="auto" w:fill="DCE6F1"/>
          </w:tcPr>
          <w:p>
            <w:pPr>
              <w:spacing w:after="40" w:before="40"/>
            </w:pPr>
            <w:r/>
            <w:r>
              <w:rPr>
                <w:b w:val="0"/>
                <w:sz w:val="18"/>
              </w:rPr>
              <w:t>Week Number</w:t>
            </w:r>
          </w:p>
        </w:tc>
        <w:tc>
          <w:tcPr>
            <w:tcW w:type="dxa" w:w="1152"/>
            <w:shd w:val="clear" w:color="auto" w:fill="DCE6F1"/>
          </w:tcPr>
          <w:p>
            <w:pPr>
              <w:spacing w:after="40" w:before="40"/>
            </w:pPr>
            <w:r/>
            <w:r>
              <w:rPr>
                <w:b w:val="0"/>
                <w:sz w:val="18"/>
              </w:rPr>
              <w:t>Filter</w:t>
            </w:r>
          </w:p>
        </w:tc>
        <w:tc>
          <w:tcPr>
            <w:tcW w:type="dxa" w:w="5760"/>
            <w:shd w:val="clear" w:color="auto" w:fill="DCE6F1"/>
          </w:tcPr>
          <w:p>
            <w:pPr>
              <w:spacing w:after="40" w:before="40"/>
            </w:pPr>
            <w:r/>
            <w:r>
              <w:rPr>
                <w:b w:val="0"/>
                <w:sz w:val="18"/>
              </w:rPr>
              <w:t>A specific week (exact numeric). Blank = all weeks.</w:t>
            </w:r>
          </w:p>
        </w:tc>
      </w:tr>
      <w:tr>
        <w:tc>
          <w:tcPr>
            <w:tcW w:type="dxa" w:w="2592"/>
          </w:tcPr>
          <w:p>
            <w:pPr>
              <w:spacing w:after="40" w:before="40"/>
            </w:pPr>
            <w:r/>
            <w:r>
              <w:rPr>
                <w:b w:val="0"/>
                <w:sz w:val="18"/>
              </w:rPr>
              <w:t>Day of Week</w:t>
            </w:r>
          </w:p>
        </w:tc>
        <w:tc>
          <w:tcPr>
            <w:tcW w:type="dxa" w:w="1152"/>
          </w:tcPr>
          <w:p>
            <w:pPr>
              <w:spacing w:after="40" w:before="40"/>
            </w:pPr>
            <w:r/>
            <w:r>
              <w:rPr>
                <w:b w:val="0"/>
                <w:sz w:val="18"/>
              </w:rPr>
              <w:t>Filter</w:t>
            </w:r>
          </w:p>
        </w:tc>
        <w:tc>
          <w:tcPr>
            <w:tcW w:type="dxa" w:w="5760"/>
          </w:tcPr>
          <w:p>
            <w:pPr>
              <w:spacing w:after="40" w:before="40"/>
            </w:pPr>
            <w:r/>
            <w:r>
              <w:rPr>
                <w:b w:val="0"/>
                <w:sz w:val="18"/>
              </w:rPr>
              <w:t>Ocean ETA weekday — Excel WEEKDAY (Sun=1 ... Sat=7) or a day name. Blank = all.</w:t>
            </w:r>
          </w:p>
        </w:tc>
      </w:tr>
      <w:tr>
        <w:tc>
          <w:tcPr>
            <w:tcW w:type="dxa" w:w="2592"/>
            <w:shd w:val="clear" w:color="auto" w:fill="DCE6F1"/>
          </w:tcPr>
          <w:p>
            <w:pPr>
              <w:spacing w:after="40" w:before="40"/>
            </w:pPr>
            <w:r/>
            <w:r>
              <w:rPr>
                <w:b w:val="0"/>
                <w:sz w:val="18"/>
              </w:rPr>
              <w:t>Terminal</w:t>
            </w:r>
          </w:p>
        </w:tc>
        <w:tc>
          <w:tcPr>
            <w:tcW w:type="dxa" w:w="1152"/>
            <w:shd w:val="clear" w:color="auto" w:fill="DCE6F1"/>
          </w:tcPr>
          <w:p>
            <w:pPr>
              <w:spacing w:after="40" w:before="40"/>
            </w:pPr>
            <w:r/>
            <w:r>
              <w:rPr>
                <w:b w:val="0"/>
                <w:sz w:val="18"/>
              </w:rPr>
              <w:t>Filter</w:t>
            </w:r>
          </w:p>
        </w:tc>
        <w:tc>
          <w:tcPr>
            <w:tcW w:type="dxa" w:w="5760"/>
            <w:shd w:val="clear" w:color="auto" w:fill="DCE6F1"/>
          </w:tcPr>
          <w:p>
            <w:pPr>
              <w:spacing w:after="40" w:before="40"/>
            </w:pPr>
            <w:r/>
            <w:r>
              <w:rPr>
                <w:b w:val="0"/>
                <w:sz w:val="18"/>
              </w:rPr>
              <w:t>Port terminal (exact, normalized). Blank = all.</w:t>
            </w:r>
          </w:p>
        </w:tc>
      </w:tr>
      <w:tr>
        <w:tc>
          <w:tcPr>
            <w:tcW w:type="dxa" w:w="2592"/>
          </w:tcPr>
          <w:p>
            <w:pPr>
              <w:spacing w:after="40" w:before="40"/>
            </w:pPr>
            <w:r/>
            <w:r>
              <w:rPr>
                <w:b w:val="0"/>
                <w:sz w:val="18"/>
              </w:rPr>
              <w:t>SSL</w:t>
            </w:r>
          </w:p>
        </w:tc>
        <w:tc>
          <w:tcPr>
            <w:tcW w:type="dxa" w:w="1152"/>
          </w:tcPr>
          <w:p>
            <w:pPr>
              <w:spacing w:after="40" w:before="40"/>
            </w:pPr>
            <w:r/>
            <w:r>
              <w:rPr>
                <w:b w:val="0"/>
                <w:sz w:val="18"/>
              </w:rPr>
              <w:t>Filter</w:t>
            </w:r>
          </w:p>
        </w:tc>
        <w:tc>
          <w:tcPr>
            <w:tcW w:type="dxa" w:w="5760"/>
          </w:tcPr>
          <w:p>
            <w:pPr>
              <w:spacing w:after="40" w:before="40"/>
            </w:pPr>
            <w:r/>
            <w:r>
              <w:rPr>
                <w:b w:val="0"/>
                <w:sz w:val="18"/>
              </w:rPr>
              <w:t>Steamship line code (exact, normalized). Blank = all.</w:t>
            </w:r>
          </w:p>
        </w:tc>
      </w:tr>
      <w:tr>
        <w:tc>
          <w:tcPr>
            <w:tcW w:type="dxa" w:w="2592"/>
            <w:shd w:val="clear" w:color="auto" w:fill="DCE6F1"/>
          </w:tcPr>
          <w:p>
            <w:pPr>
              <w:spacing w:after="40" w:before="40"/>
            </w:pPr>
            <w:r/>
            <w:r>
              <w:rPr>
                <w:b w:val="0"/>
                <w:sz w:val="18"/>
              </w:rPr>
              <w:t>Vessel</w:t>
            </w:r>
          </w:p>
        </w:tc>
        <w:tc>
          <w:tcPr>
            <w:tcW w:type="dxa" w:w="1152"/>
            <w:shd w:val="clear" w:color="auto" w:fill="DCE6F1"/>
          </w:tcPr>
          <w:p>
            <w:pPr>
              <w:spacing w:after="40" w:before="40"/>
            </w:pPr>
            <w:r/>
            <w:r>
              <w:rPr>
                <w:b w:val="0"/>
                <w:sz w:val="18"/>
              </w:rPr>
              <w:t>Filter</w:t>
            </w:r>
          </w:p>
        </w:tc>
        <w:tc>
          <w:tcPr>
            <w:tcW w:type="dxa" w:w="5760"/>
            <w:shd w:val="clear" w:color="auto" w:fill="DCE6F1"/>
          </w:tcPr>
          <w:p>
            <w:pPr>
              <w:spacing w:after="40" w:before="40"/>
            </w:pPr>
            <w:r/>
            <w:r>
              <w:rPr>
                <w:b w:val="0"/>
                <w:sz w:val="18"/>
              </w:rPr>
              <w:t>Vessel name (exact, normalized). Blank = all.</w:t>
            </w:r>
          </w:p>
        </w:tc>
      </w:tr>
      <w:tr>
        <w:tc>
          <w:tcPr>
            <w:tcW w:type="dxa" w:w="2592"/>
          </w:tcPr>
          <w:p>
            <w:pPr>
              <w:spacing w:after="40" w:before="40"/>
            </w:pPr>
            <w:r/>
            <w:r>
              <w:rPr>
                <w:b w:val="0"/>
                <w:sz w:val="18"/>
              </w:rPr>
              <w:t>Maximum Container Count</w:t>
            </w:r>
          </w:p>
        </w:tc>
        <w:tc>
          <w:tcPr>
            <w:tcW w:type="dxa" w:w="1152"/>
          </w:tcPr>
          <w:p>
            <w:pPr>
              <w:spacing w:after="40" w:before="40"/>
            </w:pPr>
            <w:r/>
            <w:r>
              <w:rPr>
                <w:b w:val="0"/>
                <w:sz w:val="18"/>
              </w:rPr>
              <w:t>Amount</w:t>
            </w:r>
          </w:p>
        </w:tc>
        <w:tc>
          <w:tcPr>
            <w:tcW w:type="dxa" w:w="5760"/>
          </w:tcPr>
          <w:p>
            <w:pPr>
              <w:spacing w:after="40" w:before="40"/>
            </w:pPr>
            <w:r/>
            <w:r>
              <w:rPr>
                <w:b w:val="0"/>
                <w:sz w:val="18"/>
              </w:rPr>
              <w:t>Hard ceiling. 0 = lockout.</w:t>
            </w:r>
          </w:p>
        </w:tc>
      </w:tr>
      <w:tr>
        <w:tc>
          <w:tcPr>
            <w:tcW w:type="dxa" w:w="2592"/>
            <w:shd w:val="clear" w:color="auto" w:fill="DCE6F1"/>
          </w:tcPr>
          <w:p>
            <w:pPr>
              <w:spacing w:after="40" w:before="40"/>
            </w:pPr>
            <w:r/>
            <w:r>
              <w:rPr>
                <w:b w:val="0"/>
                <w:sz w:val="18"/>
              </w:rPr>
              <w:t>Minimum Container Count</w:t>
            </w:r>
          </w:p>
        </w:tc>
        <w:tc>
          <w:tcPr>
            <w:tcW w:type="dxa" w:w="1152"/>
            <w:shd w:val="clear" w:color="auto" w:fill="DCE6F1"/>
          </w:tcPr>
          <w:p>
            <w:pPr>
              <w:spacing w:after="40" w:before="40"/>
            </w:pPr>
            <w:r/>
            <w:r>
              <w:rPr>
                <w:b w:val="0"/>
                <w:sz w:val="18"/>
              </w:rPr>
              <w:t>Amount</w:t>
            </w:r>
          </w:p>
        </w:tc>
        <w:tc>
          <w:tcPr>
            <w:tcW w:type="dxa" w:w="5760"/>
            <w:shd w:val="clear" w:color="auto" w:fill="DCE6F1"/>
          </w:tcPr>
          <w:p>
            <w:pPr>
              <w:spacing w:after="40" w:before="40"/>
            </w:pPr>
            <w:r/>
            <w:r>
              <w:rPr>
                <w:b w:val="0"/>
                <w:sz w:val="18"/>
              </w:rPr>
              <w:t>Floor — guarantee at least this many.</w:t>
            </w:r>
          </w:p>
        </w:tc>
      </w:tr>
      <w:tr>
        <w:tc>
          <w:tcPr>
            <w:tcW w:type="dxa" w:w="2592"/>
          </w:tcPr>
          <w:p>
            <w:pPr>
              <w:spacing w:after="40" w:before="40"/>
            </w:pPr>
            <w:r/>
            <w:r>
              <w:rPr>
                <w:b w:val="0"/>
                <w:sz w:val="18"/>
              </w:rPr>
              <w:t>Percent Allocation</w:t>
            </w:r>
          </w:p>
        </w:tc>
        <w:tc>
          <w:tcPr>
            <w:tcW w:type="dxa" w:w="1152"/>
          </w:tcPr>
          <w:p>
            <w:pPr>
              <w:spacing w:after="40" w:before="40"/>
            </w:pPr>
            <w:r/>
            <w:r>
              <w:rPr>
                <w:b w:val="0"/>
                <w:sz w:val="18"/>
              </w:rPr>
              <w:t>Amount</w:t>
            </w:r>
          </w:p>
        </w:tc>
        <w:tc>
          <w:tcPr>
            <w:tcW w:type="dxa" w:w="5760"/>
          </w:tcPr>
          <w:p>
            <w:pPr>
              <w:spacing w:after="40" w:before="40"/>
            </w:pPr>
            <w:r/>
            <w:r>
              <w:rPr>
                <w:b w:val="0"/>
                <w:sz w:val="18"/>
              </w:rPr>
              <w:t>Percent (0-100) of the scope's volume. 0 = lockout.</w:t>
            </w:r>
          </w:p>
        </w:tc>
      </w:tr>
      <w:tr>
        <w:tc>
          <w:tcPr>
            <w:tcW w:type="dxa" w:w="2592"/>
            <w:shd w:val="clear" w:color="auto" w:fill="DCE6F1"/>
          </w:tcPr>
          <w:p>
            <w:pPr>
              <w:spacing w:after="40" w:before="40"/>
            </w:pPr>
            <w:r/>
            <w:r>
              <w:rPr>
                <w:b w:val="0"/>
                <w:sz w:val="18"/>
              </w:rPr>
              <w:t>Excluded FC</w:t>
            </w:r>
          </w:p>
        </w:tc>
        <w:tc>
          <w:tcPr>
            <w:tcW w:type="dxa" w:w="1152"/>
            <w:shd w:val="clear" w:color="auto" w:fill="DCE6F1"/>
          </w:tcPr>
          <w:p>
            <w:pPr>
              <w:spacing w:after="40" w:before="40"/>
            </w:pPr>
            <w:r/>
            <w:r>
              <w:rPr>
                <w:b w:val="0"/>
                <w:sz w:val="18"/>
              </w:rPr>
              <w:t>Amount</w:t>
            </w:r>
          </w:p>
        </w:tc>
        <w:tc>
          <w:tcPr>
            <w:tcW w:type="dxa" w:w="5760"/>
            <w:shd w:val="clear" w:color="auto" w:fill="DCE6F1"/>
          </w:tcPr>
          <w:p>
            <w:pPr>
              <w:spacing w:after="40" w:before="40"/>
            </w:pPr>
            <w:r/>
            <w:r>
              <w:rPr>
                <w:b w:val="0"/>
                <w:sz w:val="18"/>
              </w:rPr>
              <w:t>Facility code where this carrier is banned from receiving volume.</w:t>
            </w:r>
          </w:p>
        </w:tc>
      </w:tr>
    </w:tbl>
    <w:p/>
    <w:p>
      <w:pPr>
        <w:spacing w:after="120"/>
      </w:pPr>
      <w:r>
        <w:rPr>
          <w:i/>
          <w:sz w:val="19"/>
        </w:rPr>
        <w:t>* Carrier is required whenever you set a Maximum, Minimum, or Excluded FC. A rule must also DO something — set at least one of Maximum / Minimum / Percent / Excluded FC — or it has no effect.</w:t>
      </w:r>
    </w:p>
    <w:p>
      <w:pPr>
        <w:pStyle w:val="Heading2"/>
      </w:pPr>
      <w:r>
        <w:rPr>
          <w:color w:val="2E5C9E"/>
          <w:sz w:val="28"/>
        </w:rPr>
        <w:t>3.3 How Scope Filters Work</w:t>
      </w:r>
    </w:p>
    <w:p>
      <w:pPr>
        <w:pStyle w:val="ListBullet"/>
        <w:spacing w:after="60"/>
      </w:pPr>
      <w:r>
        <w:rPr>
          <w:b/>
        </w:rPr>
        <w:t xml:space="preserve">Blank = any. </w:t>
      </w:r>
      <w:r>
        <w:t>An empty filter cell does not restrict that dimension.</w:t>
      </w:r>
    </w:p>
    <w:p>
      <w:pPr>
        <w:pStyle w:val="ListBullet"/>
        <w:spacing w:after="60"/>
      </w:pPr>
      <w:r>
        <w:rPr>
          <w:b/>
        </w:rPr>
        <w:t xml:space="preserve">Filters AND together. </w:t>
      </w:r>
      <w:r>
        <w:t>Multiple filters all must match the same row — the more filters, the narrower the scope.</w:t>
      </w:r>
    </w:p>
    <w:p>
      <w:pPr>
        <w:pStyle w:val="ListBullet"/>
        <w:spacing w:after="60"/>
      </w:pPr>
      <w:r>
        <w:rPr>
          <w:b/>
        </w:rPr>
        <w:t xml:space="preserve">Matching is normalized. </w:t>
      </w:r>
      <w:r>
        <w:t>Casing/whitespace never cause a silent miss; Category folds to a canonical bucket; Port shorthand expands to aliases; a short Lane matches by suffix.</w:t>
      </w:r>
    </w:p>
    <w:tbl>
      <w:tblPr>
        <w:tblStyle w:val="TableGrid"/>
        <w:tblW w:type="auto" w:w="0"/>
        <w:jc w:val="center"/>
        <w:tblLayout w:type="autofit"/>
        <w:tblLook w:firstColumn="1" w:firstRow="1" w:lastColumn="0" w:lastRow="0" w:noHBand="0" w:noVBand="1" w:val="04A0"/>
      </w:tblPr>
      <w:tblGrid>
        <w:gridCol w:w="4320"/>
        <w:gridCol w:w="4320"/>
      </w:tblGrid>
      <w:tr>
        <w:tc>
          <w:tcPr>
            <w:tcW w:type="dxa" w:w="3744"/>
            <w:shd w:val="clear" w:color="auto" w:fill="1F3764"/>
          </w:tcPr>
          <w:p>
            <w:pPr>
              <w:spacing w:after="40" w:before="40"/>
            </w:pPr>
            <w:r/>
            <w:r>
              <w:rPr>
                <w:b/>
                <w:color w:val="FFFFFF"/>
                <w:sz w:val="18"/>
              </w:rPr>
              <w:t>Filters specified</w:t>
            </w:r>
          </w:p>
        </w:tc>
        <w:tc>
          <w:tcPr>
            <w:tcW w:type="dxa" w:w="5760"/>
            <w:shd w:val="clear" w:color="auto" w:fill="1F3764"/>
          </w:tcPr>
          <w:p>
            <w:pPr>
              <w:spacing w:after="40" w:before="40"/>
            </w:pPr>
            <w:r/>
            <w:r>
              <w:rPr>
                <w:b/>
                <w:color w:val="FFFFFF"/>
                <w:sz w:val="18"/>
              </w:rPr>
              <w:t>Containers affected</w:t>
            </w:r>
          </w:p>
        </w:tc>
      </w:tr>
      <w:tr>
        <w:tc>
          <w:tcPr>
            <w:tcW w:type="dxa" w:w="3744"/>
          </w:tcPr>
          <w:p>
            <w:pPr>
              <w:spacing w:after="40" w:before="40"/>
            </w:pPr>
            <w:r/>
            <w:r>
              <w:rPr>
                <w:b w:val="0"/>
                <w:sz w:val="18"/>
              </w:rPr>
              <w:t>None</w:t>
            </w:r>
          </w:p>
        </w:tc>
        <w:tc>
          <w:tcPr>
            <w:tcW w:type="dxa" w:w="5760"/>
          </w:tcPr>
          <w:p>
            <w:pPr>
              <w:spacing w:after="40" w:before="40"/>
            </w:pPr>
            <w:r/>
            <w:r>
              <w:rPr>
                <w:b w:val="0"/>
                <w:sz w:val="18"/>
              </w:rPr>
              <w:t>All containers for that carrier's target</w:t>
            </w:r>
          </w:p>
        </w:tc>
      </w:tr>
      <w:tr>
        <w:tc>
          <w:tcPr>
            <w:tcW w:type="dxa" w:w="3744"/>
            <w:shd w:val="clear" w:color="auto" w:fill="DCE6F1"/>
          </w:tcPr>
          <w:p>
            <w:pPr>
              <w:spacing w:after="40" w:before="40"/>
            </w:pPr>
            <w:r/>
            <w:r>
              <w:rPr>
                <w:b w:val="0"/>
                <w:sz w:val="18"/>
              </w:rPr>
              <w:t>Category only</w:t>
            </w:r>
          </w:p>
        </w:tc>
        <w:tc>
          <w:tcPr>
            <w:tcW w:type="dxa" w:w="5760"/>
            <w:shd w:val="clear" w:color="auto" w:fill="DCE6F1"/>
          </w:tcPr>
          <w:p>
            <w:pPr>
              <w:spacing w:after="40" w:before="40"/>
            </w:pPr>
            <w:r/>
            <w:r>
              <w:rPr>
                <w:b w:val="0"/>
                <w:sz w:val="18"/>
              </w:rPr>
              <w:t>Only containers in that category</w:t>
            </w:r>
          </w:p>
        </w:tc>
      </w:tr>
      <w:tr>
        <w:tc>
          <w:tcPr>
            <w:tcW w:type="dxa" w:w="3744"/>
          </w:tcPr>
          <w:p>
            <w:pPr>
              <w:spacing w:after="40" w:before="40"/>
            </w:pPr>
            <w:r/>
            <w:r>
              <w:rPr>
                <w:b w:val="0"/>
                <w:sz w:val="18"/>
              </w:rPr>
              <w:t>Category + Lane</w:t>
            </w:r>
          </w:p>
        </w:tc>
        <w:tc>
          <w:tcPr>
            <w:tcW w:type="dxa" w:w="5760"/>
          </w:tcPr>
          <w:p>
            <w:pPr>
              <w:spacing w:after="40" w:before="40"/>
            </w:pPr>
            <w:r/>
            <w:r>
              <w:rPr>
                <w:b w:val="0"/>
                <w:sz w:val="18"/>
              </w:rPr>
              <w:t>Only containers in that category AND lane</w:t>
            </w:r>
          </w:p>
        </w:tc>
      </w:tr>
      <w:tr>
        <w:tc>
          <w:tcPr>
            <w:tcW w:type="dxa" w:w="3744"/>
            <w:shd w:val="clear" w:color="auto" w:fill="DCE6F1"/>
          </w:tcPr>
          <w:p>
            <w:pPr>
              <w:spacing w:after="40" w:before="40"/>
            </w:pPr>
            <w:r/>
            <w:r>
              <w:rPr>
                <w:b w:val="0"/>
                <w:sz w:val="18"/>
              </w:rPr>
              <w:t>Port + Week + Vessel</w:t>
            </w:r>
          </w:p>
        </w:tc>
        <w:tc>
          <w:tcPr>
            <w:tcW w:type="dxa" w:w="5760"/>
            <w:shd w:val="clear" w:color="auto" w:fill="DCE6F1"/>
          </w:tcPr>
          <w:p>
            <w:pPr>
              <w:spacing w:after="40" w:before="40"/>
            </w:pPr>
            <w:r/>
            <w:r>
              <w:rPr>
                <w:b w:val="0"/>
                <w:sz w:val="18"/>
              </w:rPr>
              <w:t>Only containers matching all three at once</w:t>
            </w:r>
          </w:p>
        </w:tc>
      </w:tr>
    </w:tbl>
    <w:p/>
    <w:p>
      <w:pPr>
        <w:pStyle w:val="Heading2"/>
      </w:pPr>
      <w:r>
        <w:rPr>
          <w:color w:val="2E5C9E"/>
          <w:sz w:val="28"/>
        </w:rPr>
        <w:t>3.4 Priority Order</w:t>
      </w:r>
    </w:p>
    <w:p>
      <w:pPr>
        <w:pStyle w:val="ListNumber"/>
        <w:spacing w:after="60"/>
      </w:pPr>
      <w:r>
        <w:t>Constraints are sorted by Priority Score, highest first.</w:t>
      </w:r>
    </w:p>
    <w:p>
      <w:pPr>
        <w:pStyle w:val="ListNumber"/>
        <w:spacing w:after="60"/>
      </w:pPr>
      <w:r>
        <w:t>Each is applied against the remaining (not-yet-claimed) pool.</w:t>
      </w:r>
    </w:p>
    <w:p>
      <w:pPr>
        <w:pStyle w:val="ListNumber"/>
        <w:spacing w:after="60"/>
      </w:pPr>
      <w:r>
        <w:t>A container claimed by a higher-priority rule is gone — a lower-priority rule works only with what's left.</w:t>
      </w:r>
    </w:p>
    <w:p>
      <w:pPr>
        <w:pStyle w:val="ListNumber"/>
        <w:spacing w:after="60"/>
      </w:pPr>
      <w:r>
        <w:t>Always-on prebuilt rules sit AHEAD of all user priority — they claim first (see Part 4).</w:t>
      </w:r>
    </w:p>
    <w:p>
      <w:pPr>
        <w:pStyle w:val="Heading2"/>
      </w:pPr>
      <w:r>
        <w:rPr>
          <w:color w:val="2E5C9E"/>
          <w:sz w:val="28"/>
        </w:rPr>
        <w:t>3.5 The Amount Types</w:t>
      </w:r>
    </w:p>
    <w:p>
      <w:pPr>
        <w:pStyle w:val="Heading3"/>
      </w:pPr>
      <w:r>
        <w:rPr>
          <w:color w:val="2E5C9E"/>
          <w:sz w:val="24"/>
        </w:rPr>
        <w:t>Maximum Container Count — a ceiling</w:t>
      </w:r>
    </w:p>
    <w:p>
      <w:pPr>
        <w:pStyle w:val="ListBullet"/>
        <w:spacing w:after="60"/>
      </w:pPr>
      <w:r>
        <w:t>Locks up to N matching containers to the carrier; the rest stay unconstrained.</w:t>
      </w:r>
    </w:p>
    <w:p>
      <w:pPr>
        <w:pStyle w:val="ListBullet"/>
        <w:spacing w:after="60"/>
      </w:pPr>
      <w:r>
        <w:t>The carrier is added to the exclusion set for that scope, so scenarios won't give it MORE volume there.</w:t>
      </w:r>
    </w:p>
    <w:p>
      <w:pPr>
        <w:pStyle w:val="ListBullet"/>
        <w:spacing w:after="60"/>
      </w:pPr>
      <w:r>
        <w:t>Maximum = 0 is a lockout: allocate nothing AND block the optimizer from assigning any (used by the PNW carrier-port lockouts).</w:t>
      </w:r>
    </w:p>
    <w:p>
      <w:pPr>
        <w:pStyle w:val="Heading3"/>
      </w:pPr>
      <w:r>
        <w:rPr>
          <w:color w:val="2E5C9E"/>
          <w:sz w:val="24"/>
        </w:rPr>
        <w:t>Minimum Container Count — a floor</w:t>
      </w:r>
    </w:p>
    <w:p>
      <w:pPr>
        <w:pStyle w:val="ListBullet"/>
        <w:spacing w:after="60"/>
      </w:pPr>
      <w:r>
        <w:t>Guarantees at least N matching containers are locked to the carrier.</w:t>
      </w:r>
    </w:p>
    <w:p>
      <w:pPr>
        <w:pStyle w:val="ListBullet"/>
        <w:spacing w:after="60"/>
      </w:pPr>
      <w:r>
        <w:t>If the scope lacks N available containers, the rule allocates what exists and reports a shortfall ("Partial") — it cannot invent volume.</w:t>
      </w:r>
    </w:p>
    <w:p>
      <w:pPr>
        <w:pStyle w:val="Heading3"/>
      </w:pPr>
      <w:r>
        <w:rPr>
          <w:color w:val="2E5C9E"/>
          <w:sz w:val="24"/>
        </w:rPr>
        <w:t>Percent Allocation — a proportional ceiling</w:t>
      </w:r>
    </w:p>
    <w:p>
      <w:pPr>
        <w:pStyle w:val="ListBullet"/>
        <w:spacing w:after="60"/>
      </w:pPr>
      <w:r>
        <w:t>Targets P% of the scope's volume for the carrier (0-100; 0 = lockout).</w:t>
      </w:r>
    </w:p>
    <w:p>
      <w:pPr>
        <w:pStyle w:val="ListBullet"/>
        <w:spacing w:after="60"/>
      </w:pPr>
      <w:r>
        <w:t>The denominator is the ORIGINAL scope volume, snapshotted before any allocation — so "30%" always means 30% of the full scope, even if higher-priority rules already consumed part of the pool.</w:t>
      </w:r>
    </w:p>
    <w:p>
      <w:pPr>
        <w:pStyle w:val="ListBullet"/>
        <w:spacing w:after="60"/>
      </w:pPr>
      <w:r>
        <w:t>If the original-pool target no longer fits in what's available, it degrades gracefully to 30% of the remainder and flags the gap.</w:t>
      </w:r>
    </w:p>
    <w:p>
      <w:pPr>
        <w:pStyle w:val="Heading3"/>
      </w:pPr>
      <w:r>
        <w:rPr>
          <w:color w:val="2E5C9E"/>
          <w:sz w:val="24"/>
        </w:rPr>
        <w:t>Combining amounts</w:t>
      </w:r>
    </w:p>
    <w:p>
      <w:pPr>
        <w:spacing w:after="120"/>
      </w:pPr>
      <w:r>
        <w:rPr>
          <w:i w:val="0"/>
          <w:sz w:val="21"/>
        </w:rPr>
        <w:t>A single row can combine amounts: Minimum 20 + Maximum 40 is a 20-40 band; Percent 30 + Maximum 40 is 30% of the pool but never above 40. A Maximum can also combine with an Excluded FC to cap a carrier and ban it from facilities in one row.</w:t>
      </w:r>
    </w:p>
    <w:p>
      <w:pPr>
        <w:pStyle w:val="Heading2"/>
      </w:pPr>
      <w:r>
        <w:rPr>
          <w:color w:val="2E5C9E"/>
          <w:sz w:val="28"/>
        </w:rPr>
        <w:t>3.6 Scoped Caps Are Hard Everywhere</w:t>
      </w:r>
    </w:p>
    <w:p>
      <w:pPr>
        <w:spacing w:after="120"/>
      </w:pPr>
      <w:r>
        <w:rPr>
          <w:i w:val="0"/>
          <w:sz w:val="21"/>
        </w:rPr>
        <w:t>A Maximum (or Percent) cap binds as a hard ceiling across every scope dimension and across BOTH tables — not just the rows the file pass happened to touch. The file pass, the peel-pile pass, and the scenario optimizer all consult the same ceilings, so a manual override or an optimizer reallocation cannot bust a cap you set. This holds for a cap scoped to a vessel, a terminal, a port, or any combination.</w:t>
      </w:r>
    </w:p>
    <w:p>
      <w:pPr>
        <w:pStyle w:val="Heading2"/>
      </w:pPr>
      <w:r>
        <w:rPr>
          <w:color w:val="2E5C9E"/>
          <w:sz w:val="28"/>
        </w:rPr>
        <w:t>3.7 Cross-Priority Crediting (no double-dipping)</w:t>
      </w:r>
    </w:p>
    <w:p>
      <w:pPr>
        <w:spacing w:after="120"/>
      </w:pPr>
      <w:r>
        <w:rPr>
          <w:i w:val="0"/>
          <w:sz w:val="21"/>
        </w:rPr>
        <w:t>A broader rule is the carrier's total ceiling for its scope. If a high-priority narrow rule already gave a carrier volume, a later broader rule for the SAME carrier subtracts what it already has.</w:t>
      </w:r>
    </w:p>
    <w:p>
      <w:pPr>
        <w:pStyle w:val="ListBullet"/>
        <w:spacing w:after="60"/>
      </w:pPr>
      <w:r>
        <w:rPr>
          <w:b/>
        </w:rPr>
        <w:t xml:space="preserve">Nested scopes credit — </w:t>
      </w:r>
      <w:r>
        <w:t>a lane-within-a-port rule credits a later port-wide rule for the same carrier.</w:t>
      </w:r>
    </w:p>
    <w:p>
      <w:pPr>
        <w:pStyle w:val="ListBullet"/>
        <w:spacing w:after="60"/>
      </w:pPr>
      <w:r>
        <w:rPr>
          <w:b/>
        </w:rPr>
        <w:t xml:space="preserve">Disjoint scopes don't — </w:t>
      </w:r>
      <w:r>
        <w:t>two disjoint caps on one carrier (e.g. a per-vessel cap and a per-terminal cap in the same port) do NOT subtract from each other.</w:t>
      </w:r>
    </w:p>
    <w:p>
      <w:pPr>
        <w:pStyle w:val="Heading2"/>
      </w:pPr>
      <w:r>
        <w:rPr>
          <w:color w:val="2E5C9E"/>
          <w:sz w:val="28"/>
        </w:rPr>
        <w:t>3.8 Even Weekly Distribution (always on)</w:t>
      </w:r>
    </w:p>
    <w:p>
      <w:pPr>
        <w:spacing w:after="120"/>
      </w:pPr>
      <w:r>
        <w:rPr>
          <w:i w:val="0"/>
          <w:sz w:val="21"/>
        </w:rPr>
        <w:t>When a constraint allocates N containers, the engine spreads them round-robin across day-of-week buckets (from each row's Ocean ETA) instead of draining the earliest day first. Friday, Saturday and Sunday collapse into one Fri-Sun bucket, leaving Mon, Tue, Wed, Thu, Fri-Sun. The spread is best-effort and never sacrifices the target — a spill pass tops up from any remaining rows if a thin day can't fill its quota.</w:t>
      </w:r>
    </w:p>
    <w:p>
      <w:pPr>
        <w:pStyle w:val="Heading2"/>
      </w:pPr>
      <w:r>
        <w:rPr>
          <w:color w:val="2E5C9E"/>
          <w:sz w:val="28"/>
        </w:rPr>
        <w:t>3.9 Excluded FC — a facility ban</w:t>
      </w:r>
    </w:p>
    <w:p>
      <w:pPr>
        <w:spacing w:after="120"/>
      </w:pPr>
      <w:r>
        <w:rPr>
          <w:i w:val="0"/>
          <w:sz w:val="21"/>
        </w:rPr>
        <w:t>Excluded FC bans a carrier from a facility entirely (requires a Carrier). The carrier receives no containers there in either table. If it already holds containers at the facility, the engine reallocates them:</w:t>
      </w:r>
    </w:p>
    <w:p>
      <w:pPr>
        <w:pStyle w:val="ListNumber"/>
        <w:spacing w:after="60"/>
      </w:pPr>
      <w:r>
        <w:t>look in the current data for another carrier serving that lane;</w:t>
      </w:r>
    </w:p>
    <w:p>
      <w:pPr>
        <w:pStyle w:val="ListNumber"/>
        <w:spacing w:after="60"/>
      </w:pPr>
      <w:r>
        <w:t>else consult the rate data for a capable carrier;</w:t>
      </w:r>
    </w:p>
    <w:p>
      <w:pPr>
        <w:pStyle w:val="ListNumber"/>
        <w:spacing w:after="60"/>
      </w:pPr>
      <w:r>
        <w:t>the alternative must have rates for the lane, not be excluded from that facility, and not be over its own Maximum.</w:t>
      </w:r>
    </w:p>
    <w:p>
      <w:pPr>
        <w:spacing w:after="120"/>
      </w:pPr>
      <w:r>
        <w:rPr>
          <w:i w:val="0"/>
          <w:sz w:val="21"/>
        </w:rPr>
        <w:t>If no valid alternative exists, the constraint fails (reported in the summary).</w:t>
      </w:r>
    </w:p>
    <w:p>
      <w:pPr>
        <w:pStyle w:val="Heading2"/>
      </w:pPr>
      <w:r>
        <w:rPr>
          <w:color w:val="2E5C9E"/>
          <w:sz w:val="28"/>
        </w:rPr>
        <w:t>3.10 Lead-Time Lock — freeze within 3 days of arrival</w:t>
      </w:r>
    </w:p>
    <w:p>
      <w:pPr>
        <w:spacing w:after="120"/>
      </w:pPr>
      <w:r>
        <w:rPr>
          <w:i w:val="0"/>
          <w:sz w:val="21"/>
        </w:rPr>
        <w:t>A container within 3 days of its Ocean ETA can no longer be re-tendered, so its carrier is locked to whatever it currently holds. The deadline is Ocean ETA - 3 days; once today has passed that deadline (ETA - 3 &lt; today), the row locks. Containers arriving today or already past are always locked; a container exactly 3 days out is still free; rows with no parseable Ocean ETA stay eligible.</w:t>
      </w:r>
    </w:p>
    <w:p>
      <w:pPr>
        <w:pStyle w:val="ListBullet"/>
        <w:spacing w:after="60"/>
      </w:pPr>
      <w:r>
        <w:t>This is NOT an exclusion — volume stays in the analysis. Locked rows move from the unconstrained pool into the constrained pool (same effect as a Max rule, but keyed on arrival date, not a carrier target).</w:t>
      </w:r>
    </w:p>
    <w:p>
      <w:pPr>
        <w:pStyle w:val="ListBullet"/>
        <w:spacing w:after="60"/>
      </w:pPr>
      <w:r>
        <w:t>Applies to all ports, with or without an uploaded constraints file. Conservation holds.</w:t>
      </w:r>
    </w:p>
    <w:tbl>
      <w:tblPr>
        <w:tblW w:type="auto" w:w="0"/>
        <w:jc w:val="center"/>
        <w:tblLook w:firstColumn="1" w:firstRow="1" w:lastColumn="0" w:lastRow="0" w:noHBand="0" w:noVBand="1" w:val="04A0"/>
      </w:tblPr>
      <w:tblGrid>
        <w:gridCol w:w="8640"/>
      </w:tblGrid>
      <w:tr>
        <w:tc>
          <w:tcPr>
            <w:tcW w:type="dxa" w:w="8640"/>
            <w:shd w:val="clear" w:color="auto" w:fill="EDEDED"/>
          </w:tcPr>
          <w:p>
            <w:r/>
            <w:r>
              <w:rPr>
                <w:b/>
                <w:sz w:val="20"/>
              </w:rPr>
              <w:t xml:space="preserve">Historical-data guard:  </w:t>
            </w:r>
            <w:r>
              <w:rPr>
                <w:sz w:val="20"/>
              </w:rPr>
              <w:t>On purely historical data (all Ocean ETAs in the past) the lock would freeze every container, leaving the optimizer nothing to reallocate. The dashboard detects this and skips the lock when it would empty the unconstrained pool, so the app keeps working on backward-looking datasets.</w:t>
            </w:r>
          </w:p>
        </w:tc>
      </w:tr>
    </w:tbl>
    <w:p/>
    <w:p>
      <w:pPr>
        <w:pStyle w:val="Heading2"/>
      </w:pPr>
      <w:r>
        <w:rPr>
          <w:color w:val="2E5C9E"/>
          <w:sz w:val="28"/>
        </w:rPr>
        <w:t>3.11 When a Constraint Matches Nothing</w:t>
      </w:r>
    </w:p>
    <w:p>
      <w:pPr>
        <w:spacing w:after="120"/>
      </w:pPr>
      <w:r>
        <w:rPr>
          <w:i w:val="0"/>
          <w:sz w:val="21"/>
        </w:rPr>
        <w:t>A zero-match constraint is classified so it's actionable — and a zero-match or shortfall is NOT automatically a bug (a rule can be legitimately superseded by a higher-priority rule, or out of scope for the loaded data):</w:t>
      </w:r>
    </w:p>
    <w:p>
      <w:pPr>
        <w:pStyle w:val="ListBullet"/>
        <w:spacing w:after="60"/>
      </w:pPr>
      <w:r>
        <w:rPr>
          <w:b/>
        </w:rPr>
        <w:t xml:space="preserve">Dead — </w:t>
      </w:r>
      <w:r>
        <w:t>one or more filter VALUES are absent from the data entirely (a typo, an alias that didn't expand, or a value that only exists under a different week/port/category). The most common, most fixable cause.</w:t>
      </w:r>
    </w:p>
    <w:p>
      <w:pPr>
        <w:pStyle w:val="ListBullet"/>
        <w:spacing w:after="60"/>
      </w:pPr>
      <w:r>
        <w:rPr>
          <w:b/>
        </w:rPr>
        <w:t xml:space="preserve">Combination — </w:t>
      </w:r>
      <w:r>
        <w:t>every filter matches rows on its own, but no single row satisfies all of them at once (the scope is too narrow — relax one dimension).</w:t>
      </w:r>
    </w:p>
    <w:p>
      <w:r>
        <w:br w:type="page"/>
      </w:r>
    </w:p>
    <w:p>
      <w:pPr>
        <w:pStyle w:val="Heading1"/>
      </w:pPr>
      <w:r>
        <w:rPr>
          <w:color w:val="1F3764"/>
          <w:sz w:val="36"/>
        </w:rPr>
        <w:t>Part 4 — Standing Rules (Prebuilt + PNW)</w:t>
      </w:r>
    </w:p>
    <w:p>
      <w:pPr>
        <w:spacing w:after="120"/>
      </w:pPr>
      <w:r>
        <w:rPr>
          <w:i w:val="0"/>
          <w:sz w:val="21"/>
        </w:rPr>
        <w:t>Beyond what you upload, the system carries always-on rules that are enforced on every run, ahead of any user rule. These are code/config-controlled (not exposed as UI switches) so they can't be accidentally turned off.</w:t>
      </w:r>
    </w:p>
    <w:p>
      <w:pPr>
        <w:pStyle w:val="Heading2"/>
      </w:pPr>
      <w:r>
        <w:rPr>
          <w:color w:val="2E5C9E"/>
          <w:sz w:val="28"/>
        </w:rPr>
        <w:t>4.1 Prebuilt Port Constraints</w:t>
      </w:r>
    </w:p>
    <w:p>
      <w:pPr>
        <w:spacing w:after="120"/>
      </w:pPr>
      <w:r>
        <w:rPr>
          <w:i w:val="0"/>
          <w:sz w:val="21"/>
        </w:rPr>
        <w:t>Each port can carry a CSV of standing rules (same 14-column schema as a user file) under config/port_constraints/. They are merged to the FRONT of the constraint set, so they claim their volume before any user rule — even one with a higher Priority Score. A master switch and per-port toggles live in components/constraints/prebuilt.py.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3600"/>
            <w:shd w:val="clear" w:color="auto" w:fill="1F3764"/>
          </w:tcPr>
          <w:p>
            <w:pPr>
              <w:spacing w:after="40" w:before="40"/>
            </w:pPr>
            <w:r/>
            <w:r>
              <w:rPr>
                <w:b/>
                <w:color w:val="FFFFFF"/>
                <w:sz w:val="18"/>
              </w:rPr>
              <w:t>Port</w:t>
            </w:r>
          </w:p>
        </w:tc>
        <w:tc>
          <w:tcPr>
            <w:tcW w:type="dxa" w:w="1440"/>
            <w:shd w:val="clear" w:color="auto" w:fill="1F3764"/>
          </w:tcPr>
          <w:p>
            <w:pPr>
              <w:spacing w:after="40" w:before="40"/>
            </w:pPr>
            <w:r/>
            <w:r>
              <w:rPr>
                <w:b/>
                <w:color w:val="FFFFFF"/>
                <w:sz w:val="18"/>
              </w:rPr>
              <w:t>Enabled</w:t>
            </w:r>
          </w:p>
        </w:tc>
        <w:tc>
          <w:tcPr>
            <w:tcW w:type="dxa" w:w="4464"/>
            <w:shd w:val="clear" w:color="auto" w:fill="1F3764"/>
          </w:tcPr>
          <w:p>
            <w:pPr>
              <w:spacing w:after="40" w:before="40"/>
            </w:pPr>
            <w:r/>
            <w:r>
              <w:rPr>
                <w:b/>
                <w:color w:val="FFFFFF"/>
                <w:sz w:val="18"/>
              </w:rPr>
              <w:t>Rules today</w:t>
            </w:r>
          </w:p>
        </w:tc>
      </w:tr>
      <w:tr>
        <w:tc>
          <w:tcPr>
            <w:tcW w:type="dxa" w:w="3600"/>
          </w:tcPr>
          <w:p>
            <w:pPr>
              <w:spacing w:after="40" w:before="40"/>
            </w:pPr>
            <w:r/>
            <w:r>
              <w:rPr>
                <w:b w:val="0"/>
                <w:sz w:val="18"/>
              </w:rPr>
              <w:t>SEA (Seattle)</w:t>
            </w:r>
          </w:p>
        </w:tc>
        <w:tc>
          <w:tcPr>
            <w:tcW w:type="dxa" w:w="1440"/>
          </w:tcPr>
          <w:p>
            <w:pPr>
              <w:spacing w:after="40" w:before="40"/>
            </w:pPr>
            <w:r/>
            <w:r>
              <w:rPr>
                <w:b w:val="0"/>
                <w:sz w:val="18"/>
              </w:rPr>
              <w:t>Yes</w:t>
            </w:r>
          </w:p>
        </w:tc>
        <w:tc>
          <w:tcPr>
            <w:tcW w:type="dxa" w:w="4464"/>
          </w:tcPr>
          <w:p>
            <w:pPr>
              <w:spacing w:after="40" w:before="40"/>
            </w:pPr>
            <w:r/>
            <w:r>
              <w:rPr>
                <w:b w:val="0"/>
                <w:sz w:val="18"/>
              </w:rPr>
              <w:t>Lockouts: RKNE and HJBT are Max 0 (Tacoma-only carriers).</w:t>
            </w:r>
          </w:p>
        </w:tc>
      </w:tr>
      <w:tr>
        <w:tc>
          <w:tcPr>
            <w:tcW w:type="dxa" w:w="3600"/>
            <w:shd w:val="clear" w:color="auto" w:fill="DCE6F1"/>
          </w:tcPr>
          <w:p>
            <w:pPr>
              <w:spacing w:after="40" w:before="40"/>
            </w:pPr>
            <w:r/>
            <w:r>
              <w:rPr>
                <w:b w:val="0"/>
                <w:sz w:val="18"/>
              </w:rPr>
              <w:t>TIW (Tacoma)</w:t>
            </w:r>
          </w:p>
        </w:tc>
        <w:tc>
          <w:tcPr>
            <w:tcW w:type="dxa" w:w="1440"/>
            <w:shd w:val="clear" w:color="auto" w:fill="DCE6F1"/>
          </w:tcPr>
          <w:p>
            <w:pPr>
              <w:spacing w:after="40" w:before="40"/>
            </w:pPr>
            <w:r/>
            <w:r>
              <w:rPr>
                <w:b w:val="0"/>
                <w:sz w:val="18"/>
              </w:rPr>
              <w:t>Yes</w:t>
            </w:r>
          </w:p>
        </w:tc>
        <w:tc>
          <w:tcPr>
            <w:tcW w:type="dxa" w:w="4464"/>
            <w:shd w:val="clear" w:color="auto" w:fill="DCE6F1"/>
          </w:tcPr>
          <w:p>
            <w:pPr>
              <w:spacing w:after="40" w:before="40"/>
            </w:pPr>
            <w:r/>
            <w:r>
              <w:rPr>
                <w:b w:val="0"/>
                <w:sz w:val="18"/>
              </w:rPr>
              <w:t>Lockouts: AOYV and RDXY are Max 0 (Seattle-only carriers).</w:t>
            </w:r>
          </w:p>
        </w:tc>
      </w:tr>
      <w:tr>
        <w:tc>
          <w:tcPr>
            <w:tcW w:type="dxa" w:w="3600"/>
          </w:tcPr>
          <w:p>
            <w:pPr>
              <w:spacing w:after="40" w:before="40"/>
            </w:pPr>
            <w:r/>
            <w:r>
              <w:rPr>
                <w:b w:val="0"/>
                <w:sz w:val="18"/>
              </w:rPr>
              <w:t>LAX, NYC, BAL, NFK, CHI, MKC, MEM</w:t>
            </w:r>
          </w:p>
        </w:tc>
        <w:tc>
          <w:tcPr>
            <w:tcW w:type="dxa" w:w="1440"/>
          </w:tcPr>
          <w:p>
            <w:pPr>
              <w:spacing w:after="40" w:before="40"/>
            </w:pPr>
            <w:r/>
            <w:r>
              <w:rPr>
                <w:b w:val="0"/>
                <w:sz w:val="18"/>
              </w:rPr>
              <w:t>Yes</w:t>
            </w:r>
          </w:p>
        </w:tc>
        <w:tc>
          <w:tcPr>
            <w:tcW w:type="dxa" w:w="4464"/>
          </w:tcPr>
          <w:p>
            <w:pPr>
              <w:spacing w:after="40" w:before="40"/>
            </w:pPr>
            <w:r/>
            <w:r>
              <w:rPr>
                <w:b w:val="0"/>
                <w:sz w:val="18"/>
              </w:rPr>
              <w:t>Enabled but empty — ready to receive rules; none defined today.</w:t>
            </w:r>
          </w:p>
        </w:tc>
      </w:tr>
    </w:tbl>
    <w:p/>
    <w:tbl>
      <w:tblPr>
        <w:tblW w:type="auto" w:w="0"/>
        <w:jc w:val="center"/>
        <w:tblLook w:firstColumn="1" w:firstRow="1" w:lastColumn="0" w:lastRow="0" w:noHBand="0" w:noVBand="1" w:val="04A0"/>
      </w:tblPr>
      <w:tblGrid>
        <w:gridCol w:w="8640"/>
      </w:tblGrid>
      <w:tr>
        <w:tc>
          <w:tcPr>
            <w:tcW w:type="dxa" w:w="8640"/>
            <w:shd w:val="clear" w:color="auto" w:fill="FFF2CC"/>
          </w:tcPr>
          <w:p>
            <w:r/>
            <w:r>
              <w:rPr>
                <w:b/>
                <w:sz w:val="20"/>
              </w:rPr>
              <w:t xml:space="preserve">Note:  </w:t>
            </w:r>
            <w:r>
              <w:rPr>
                <w:sz w:val="20"/>
              </w:rPr>
              <w:t>All seven non-PNW ports are toggled ON but their CSVs currently hold only the header — so they contribute no rules yet. Add a row to a port's CSV (e.g. a Max-0 lockout) to activate a rule there; no engine code changes are needed.</w:t>
            </w:r>
          </w:p>
        </w:tc>
      </w:tr>
    </w:tbl>
    <w:p/>
    <w:p>
      <w:pPr>
        <w:pStyle w:val="Heading2"/>
      </w:pPr>
      <w:r>
        <w:rPr>
          <w:color w:val="2E5C9E"/>
          <w:sz w:val="28"/>
        </w:rPr>
        <w:t>4.2 Pacific Northwest (PNW) Waterfront Rules</w:t>
      </w:r>
    </w:p>
    <w:p>
      <w:pPr>
        <w:spacing w:after="120"/>
      </w:pPr>
      <w:r>
        <w:rPr>
          <w:i w:val="0"/>
          <w:sz w:val="21"/>
        </w:rPr>
        <w:t>The PNW ports — SEA (Seattle) and TIW (Tacoma), both Discharged Ports, not terminals — carry a set of standing rules enforced on every run.</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576"/>
            <w:shd w:val="clear" w:color="auto" w:fill="1F3764"/>
          </w:tcPr>
          <w:p>
            <w:pPr>
              <w:spacing w:after="40" w:before="40"/>
            </w:pPr>
            <w:r/>
            <w:r>
              <w:rPr>
                <w:b/>
                <w:color w:val="FFFFFF"/>
                <w:sz w:val="18"/>
              </w:rPr>
              <w:t>#</w:t>
            </w:r>
          </w:p>
        </w:tc>
        <w:tc>
          <w:tcPr>
            <w:tcW w:type="dxa" w:w="7056"/>
            <w:shd w:val="clear" w:color="auto" w:fill="1F3764"/>
          </w:tcPr>
          <w:p>
            <w:pPr>
              <w:spacing w:after="40" w:before="40"/>
            </w:pPr>
            <w:r/>
            <w:r>
              <w:rPr>
                <w:b/>
                <w:color w:val="FFFFFF"/>
                <w:sz w:val="18"/>
              </w:rPr>
              <w:t>Rule</w:t>
            </w:r>
          </w:p>
        </w:tc>
        <w:tc>
          <w:tcPr>
            <w:tcW w:type="dxa" w:w="1872"/>
            <w:shd w:val="clear" w:color="auto" w:fill="1F3764"/>
          </w:tcPr>
          <w:p>
            <w:pPr>
              <w:spacing w:after="40" w:before="40"/>
            </w:pPr>
            <w:r/>
            <w:r>
              <w:rPr>
                <w:b/>
                <w:color w:val="FFFFFF"/>
                <w:sz w:val="18"/>
              </w:rPr>
              <w:t>Status</w:t>
            </w:r>
          </w:p>
        </w:tc>
      </w:tr>
      <w:tr>
        <w:tc>
          <w:tcPr>
            <w:tcW w:type="dxa" w:w="576"/>
          </w:tcPr>
          <w:p>
            <w:pPr>
              <w:spacing w:after="40" w:before="40"/>
            </w:pPr>
            <w:r/>
            <w:r>
              <w:rPr>
                <w:b w:val="0"/>
                <w:sz w:val="18"/>
              </w:rPr>
              <w:t>0</w:t>
            </w:r>
          </w:p>
        </w:tc>
        <w:tc>
          <w:tcPr>
            <w:tcW w:type="dxa" w:w="7056"/>
          </w:tcPr>
          <w:p>
            <w:pPr>
              <w:spacing w:after="40" w:before="40"/>
            </w:pPr>
            <w:r/>
            <w:r>
              <w:rPr>
                <w:b w:val="0"/>
                <w:sz w:val="18"/>
              </w:rPr>
              <w:t>Carrier-to-port lockouts: AOYV/RDXY = Seattle only (Max 0 at Tacoma); RKNE/HJBT = Tacoma only (Max 0 at Seattle).</w:t>
            </w:r>
          </w:p>
        </w:tc>
        <w:tc>
          <w:tcPr>
            <w:tcW w:type="dxa" w:w="1872"/>
          </w:tcPr>
          <w:p>
            <w:pPr>
              <w:spacing w:after="40" w:before="40"/>
            </w:pPr>
            <w:r/>
            <w:r>
              <w:rPr>
                <w:b w:val="0"/>
                <w:sz w:val="18"/>
              </w:rPr>
              <w:t>Live</w:t>
            </w:r>
          </w:p>
        </w:tc>
      </w:tr>
      <w:tr>
        <w:tc>
          <w:tcPr>
            <w:tcW w:type="dxa" w:w="576"/>
            <w:shd w:val="clear" w:color="auto" w:fill="DCE6F1"/>
          </w:tcPr>
          <w:p>
            <w:pPr>
              <w:spacing w:after="40" w:before="40"/>
            </w:pPr>
            <w:r/>
            <w:r>
              <w:rPr>
                <w:b w:val="0"/>
                <w:sz w:val="18"/>
              </w:rPr>
              <w:t>1</w:t>
            </w:r>
          </w:p>
        </w:tc>
        <w:tc>
          <w:tcPr>
            <w:tcW w:type="dxa" w:w="7056"/>
            <w:shd w:val="clear" w:color="auto" w:fill="DCE6F1"/>
          </w:tcPr>
          <w:p>
            <w:pPr>
              <w:spacing w:after="40" w:before="40"/>
            </w:pPr>
            <w:r/>
            <w:r>
              <w:rPr>
                <w:b w:val="0"/>
                <w:sz w:val="18"/>
              </w:rPr>
              <w:t>JB Hunt (HJBT) = exactly 130 containers/week at Tacoma (per-week Min 130 AND Max 130).</w:t>
            </w:r>
          </w:p>
        </w:tc>
        <w:tc>
          <w:tcPr>
            <w:tcW w:type="dxa" w:w="1872"/>
            <w:shd w:val="clear" w:color="auto" w:fill="DCE6F1"/>
          </w:tcPr>
          <w:p>
            <w:pPr>
              <w:spacing w:after="40" w:before="40"/>
            </w:pPr>
            <w:r/>
            <w:r>
              <w:rPr>
                <w:b w:val="0"/>
                <w:sz w:val="18"/>
              </w:rPr>
              <w:t>Live</w:t>
            </w:r>
          </w:p>
        </w:tc>
      </w:tr>
      <w:tr>
        <w:tc>
          <w:tcPr>
            <w:tcW w:type="dxa" w:w="576"/>
          </w:tcPr>
          <w:p>
            <w:pPr>
              <w:spacing w:after="40" w:before="40"/>
            </w:pPr>
            <w:r/>
            <w:r>
              <w:rPr>
                <w:b w:val="0"/>
                <w:sz w:val="18"/>
              </w:rPr>
              <w:t>2</w:t>
            </w:r>
          </w:p>
        </w:tc>
        <w:tc>
          <w:tcPr>
            <w:tcW w:type="dxa" w:w="7056"/>
          </w:tcPr>
          <w:p>
            <w:pPr>
              <w:spacing w:after="40" w:before="40"/>
            </w:pPr>
            <w:r/>
            <w:r>
              <w:rPr>
                <w:b w:val="0"/>
                <w:sz w:val="18"/>
              </w:rPr>
              <w:t>No SCAC may take more than 60 containers per vessel at PNW ports.</w:t>
            </w:r>
          </w:p>
        </w:tc>
        <w:tc>
          <w:tcPr>
            <w:tcW w:type="dxa" w:w="1872"/>
          </w:tcPr>
          <w:p>
            <w:pPr>
              <w:spacing w:after="40" w:before="40"/>
            </w:pPr>
            <w:r/>
            <w:r>
              <w:rPr>
                <w:b w:val="0"/>
                <w:sz w:val="18"/>
              </w:rPr>
              <w:t>Live</w:t>
            </w:r>
          </w:p>
        </w:tc>
      </w:tr>
      <w:tr>
        <w:tc>
          <w:tcPr>
            <w:tcW w:type="dxa" w:w="576"/>
            <w:shd w:val="clear" w:color="auto" w:fill="DCE6F1"/>
          </w:tcPr>
          <w:p>
            <w:pPr>
              <w:spacing w:after="40" w:before="40"/>
            </w:pPr>
            <w:r/>
            <w:r>
              <w:rPr>
                <w:b w:val="0"/>
                <w:sz w:val="18"/>
              </w:rPr>
              <w:t>3</w:t>
            </w:r>
          </w:p>
        </w:tc>
        <w:tc>
          <w:tcPr>
            <w:tcW w:type="dxa" w:w="7056"/>
            <w:shd w:val="clear" w:color="auto" w:fill="DCE6F1"/>
          </w:tcPr>
          <w:p>
            <w:pPr>
              <w:spacing w:after="40" w:before="40"/>
            </w:pPr>
            <w:r/>
            <w:r>
              <w:rPr>
                <w:b w:val="0"/>
                <w:sz w:val="18"/>
              </w:rPr>
              <w:t>A SCAC may take volume from only one vessel at a time.</w:t>
            </w:r>
          </w:p>
        </w:tc>
        <w:tc>
          <w:tcPr>
            <w:tcW w:type="dxa" w:w="1872"/>
            <w:shd w:val="clear" w:color="auto" w:fill="DCE6F1"/>
          </w:tcPr>
          <w:p>
            <w:pPr>
              <w:spacing w:after="40" w:before="40"/>
            </w:pPr>
            <w:r/>
            <w:r>
              <w:rPr>
                <w:b w:val="0"/>
                <w:sz w:val="18"/>
              </w:rPr>
              <w:t>Live</w:t>
            </w:r>
          </w:p>
        </w:tc>
      </w:tr>
      <w:tr>
        <w:tc>
          <w:tcPr>
            <w:tcW w:type="dxa" w:w="576"/>
          </w:tcPr>
          <w:p>
            <w:pPr>
              <w:spacing w:after="40" w:before="40"/>
            </w:pPr>
            <w:r/>
            <w:r>
              <w:rPr>
                <w:b w:val="0"/>
                <w:sz w:val="18"/>
              </w:rPr>
              <w:t>4</w:t>
            </w:r>
          </w:p>
        </w:tc>
        <w:tc>
          <w:tcPr>
            <w:tcW w:type="dxa" w:w="7056"/>
          </w:tcPr>
          <w:p>
            <w:pPr>
              <w:spacing w:after="40" w:before="40"/>
            </w:pPr>
            <w:r/>
            <w:r>
              <w:rPr>
                <w:b w:val="0"/>
                <w:sz w:val="18"/>
              </w:rPr>
              <w:t>If 2+ vessels arrive the same day, a SCAC may take volume from only one of them.</w:t>
            </w:r>
          </w:p>
        </w:tc>
        <w:tc>
          <w:tcPr>
            <w:tcW w:type="dxa" w:w="1872"/>
          </w:tcPr>
          <w:p>
            <w:pPr>
              <w:spacing w:after="40" w:before="40"/>
            </w:pPr>
            <w:r/>
            <w:r>
              <w:rPr>
                <w:b w:val="0"/>
                <w:sz w:val="18"/>
              </w:rPr>
              <w:t>Live</w:t>
            </w:r>
          </w:p>
        </w:tc>
      </w:tr>
      <w:tr>
        <w:tc>
          <w:tcPr>
            <w:tcW w:type="dxa" w:w="576"/>
            <w:shd w:val="clear" w:color="auto" w:fill="DCE6F1"/>
          </w:tcPr>
          <w:p>
            <w:pPr>
              <w:spacing w:after="40" w:before="40"/>
            </w:pPr>
            <w:r/>
            <w:r>
              <w:rPr>
                <w:b w:val="0"/>
                <w:sz w:val="18"/>
              </w:rPr>
              <w:t>5</w:t>
            </w:r>
          </w:p>
        </w:tc>
        <w:tc>
          <w:tcPr>
            <w:tcW w:type="dxa" w:w="7056"/>
            <w:shd w:val="clear" w:color="auto" w:fill="DCE6F1"/>
          </w:tcPr>
          <w:p>
            <w:pPr>
              <w:spacing w:after="40" w:before="40"/>
            </w:pPr>
            <w:r/>
            <w:r>
              <w:rPr>
                <w:b w:val="0"/>
                <w:sz w:val="18"/>
              </w:rPr>
              <w:t>Peel-pile qualifying thresholds are per-terminal at PNW (see 4.4).</w:t>
            </w:r>
          </w:p>
        </w:tc>
        <w:tc>
          <w:tcPr>
            <w:tcW w:type="dxa" w:w="1872"/>
            <w:shd w:val="clear" w:color="auto" w:fill="DCE6F1"/>
          </w:tcPr>
          <w:p>
            <w:pPr>
              <w:spacing w:after="40" w:before="40"/>
            </w:pPr>
            <w:r/>
            <w:r>
              <w:rPr>
                <w:b w:val="0"/>
                <w:sz w:val="18"/>
              </w:rPr>
              <w:t>Live</w:t>
            </w:r>
          </w:p>
        </w:tc>
      </w:tr>
      <w:tr>
        <w:tc>
          <w:tcPr>
            <w:tcW w:type="dxa" w:w="576"/>
          </w:tcPr>
          <w:p>
            <w:pPr>
              <w:spacing w:after="40" w:before="40"/>
            </w:pPr>
            <w:r/>
            <w:r>
              <w:rPr>
                <w:b w:val="0"/>
                <w:sz w:val="18"/>
              </w:rPr>
              <w:t>6</w:t>
            </w:r>
          </w:p>
        </w:tc>
        <w:tc>
          <w:tcPr>
            <w:tcW w:type="dxa" w:w="7056"/>
          </w:tcPr>
          <w:p>
            <w:pPr>
              <w:spacing w:after="40" w:before="40"/>
            </w:pPr>
            <w:r/>
            <w:r>
              <w:rPr>
                <w:b w:val="0"/>
                <w:sz w:val="18"/>
              </w:rPr>
              <w:t>Empties awareness + prior-week carrier continuity (reuse the SCAC, keep terminal volume stable).</w:t>
            </w:r>
          </w:p>
        </w:tc>
        <w:tc>
          <w:tcPr>
            <w:tcW w:type="dxa" w:w="1872"/>
          </w:tcPr>
          <w:p>
            <w:pPr>
              <w:spacing w:after="40" w:before="40"/>
            </w:pPr>
            <w:r/>
            <w:r>
              <w:rPr>
                <w:b w:val="0"/>
                <w:sz w:val="18"/>
              </w:rPr>
              <w:t>Pending (design)</w:t>
            </w:r>
          </w:p>
        </w:tc>
      </w:tr>
    </w:tbl>
    <w:p/>
    <w:p>
      <w:pPr>
        <w:spacing w:after="120"/>
      </w:pPr>
      <w:r>
        <w:rPr>
          <w:i w:val="0"/>
          <w:sz w:val="21"/>
        </w:rPr>
        <w:t>Rules 0-1 are encoded as constraint rows (CSV lockouts + generated Hunt rows). Rule 2 is a generated per-vessel cap PLUS a post-allocation safety sweep. Rules 3 &amp; 4 are a post-allocation pass that collapses each carrier onto the single vessel where it holds the most volume and clears the rest for re-homing. The safety passes run across the combined constrained + unconstrained tables, because the caps bind on a carrier's TOTAL PNW volume.</w:t>
      </w:r>
    </w:p>
    <w:p>
      <w:pPr>
        <w:pStyle w:val="Heading2"/>
      </w:pPr>
      <w:r>
        <w:rPr>
          <w:color w:val="2E5C9E"/>
          <w:sz w:val="28"/>
        </w:rPr>
        <w:t>4.3 PNW Terminals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1F3764"/>
          </w:tcPr>
          <w:p>
            <w:pPr>
              <w:spacing w:after="40" w:before="40"/>
            </w:pPr>
            <w:r/>
            <w:r>
              <w:rPr>
                <w:b/>
                <w:color w:val="FFFFFF"/>
                <w:sz w:val="18"/>
              </w:rPr>
              <w:t>GVT Terminal string</w:t>
            </w:r>
          </w:p>
        </w:tc>
        <w:tc>
          <w:tcPr>
            <w:tcW w:type="dxa" w:w="4896"/>
            <w:shd w:val="clear" w:color="auto" w:fill="1F3764"/>
          </w:tcPr>
          <w:p>
            <w:pPr>
              <w:spacing w:after="40" w:before="40"/>
            </w:pPr>
            <w:r/>
            <w:r>
              <w:rPr>
                <w:b/>
                <w:color w:val="FFFFFF"/>
                <w:sz w:val="18"/>
              </w:rPr>
              <w:t>Terminal</w:t>
            </w:r>
          </w:p>
        </w:tc>
        <w:tc>
          <w:tcPr>
            <w:tcW w:type="dxa" w:w="1728"/>
            <w:shd w:val="clear" w:color="auto" w:fill="1F3764"/>
          </w:tcPr>
          <w:p>
            <w:pPr>
              <w:spacing w:after="40" w:before="40"/>
            </w:pPr>
            <w:r/>
            <w:r>
              <w:rPr>
                <w:b/>
                <w:color w:val="FFFFFF"/>
                <w:sz w:val="18"/>
              </w:rPr>
              <w:t>Port</w:t>
            </w:r>
          </w:p>
        </w:tc>
      </w:tr>
      <w:tr>
        <w:tc>
          <w:tcPr>
            <w:tcW w:type="dxa" w:w="2880"/>
          </w:tcPr>
          <w:p>
            <w:pPr>
              <w:spacing w:after="40" w:before="40"/>
            </w:pPr>
            <w:r/>
            <w:r>
              <w:rPr>
                <w:b w:val="0"/>
                <w:sz w:val="18"/>
              </w:rPr>
              <w:t>TRM-T004</w:t>
            </w:r>
          </w:p>
        </w:tc>
        <w:tc>
          <w:tcPr>
            <w:tcW w:type="dxa" w:w="4896"/>
          </w:tcPr>
          <w:p>
            <w:pPr>
              <w:spacing w:after="40" w:before="40"/>
            </w:pPr>
            <w:r/>
            <w:r>
              <w:rPr>
                <w:b w:val="0"/>
                <w:sz w:val="18"/>
              </w:rPr>
              <w:t>Husky Terminal (Tacoma Terminal 4)</w:t>
            </w:r>
          </w:p>
        </w:tc>
        <w:tc>
          <w:tcPr>
            <w:tcW w:type="dxa" w:w="1728"/>
          </w:tcPr>
          <w:p>
            <w:pPr>
              <w:spacing w:after="40" w:before="40"/>
            </w:pPr>
            <w:r/>
            <w:r>
              <w:rPr>
                <w:b w:val="0"/>
                <w:sz w:val="18"/>
              </w:rPr>
              <w:t>TIW</w:t>
            </w:r>
          </w:p>
        </w:tc>
      </w:tr>
      <w:tr>
        <w:tc>
          <w:tcPr>
            <w:tcW w:type="dxa" w:w="2880"/>
            <w:shd w:val="clear" w:color="auto" w:fill="DCE6F1"/>
          </w:tcPr>
          <w:p>
            <w:pPr>
              <w:spacing w:after="40" w:before="40"/>
            </w:pPr>
            <w:r/>
            <w:r>
              <w:rPr>
                <w:b w:val="0"/>
                <w:sz w:val="18"/>
              </w:rPr>
              <w:t>TRM-TWUT</w:t>
            </w:r>
          </w:p>
        </w:tc>
        <w:tc>
          <w:tcPr>
            <w:tcW w:type="dxa" w:w="4896"/>
            <w:shd w:val="clear" w:color="auto" w:fill="DCE6F1"/>
          </w:tcPr>
          <w:p>
            <w:pPr>
              <w:spacing w:after="40" w:before="40"/>
            </w:pPr>
            <w:r/>
            <w:r>
              <w:rPr>
                <w:b w:val="0"/>
                <w:sz w:val="18"/>
              </w:rPr>
              <w:t>Washington United Terminal (WUT)</w:t>
            </w:r>
          </w:p>
        </w:tc>
        <w:tc>
          <w:tcPr>
            <w:tcW w:type="dxa" w:w="1728"/>
            <w:shd w:val="clear" w:color="auto" w:fill="DCE6F1"/>
          </w:tcPr>
          <w:p>
            <w:pPr>
              <w:spacing w:after="40" w:before="40"/>
            </w:pPr>
            <w:r/>
            <w:r>
              <w:rPr>
                <w:b w:val="0"/>
                <w:sz w:val="18"/>
              </w:rPr>
              <w:t>TIW</w:t>
            </w:r>
          </w:p>
        </w:tc>
      </w:tr>
      <w:tr>
        <w:tc>
          <w:tcPr>
            <w:tcW w:type="dxa" w:w="2880"/>
          </w:tcPr>
          <w:p>
            <w:pPr>
              <w:spacing w:after="40" w:before="40"/>
            </w:pPr>
            <w:r/>
            <w:r>
              <w:rPr>
                <w:b w:val="0"/>
                <w:sz w:val="18"/>
              </w:rPr>
              <w:t>TRM-TPCT</w:t>
            </w:r>
          </w:p>
        </w:tc>
        <w:tc>
          <w:tcPr>
            <w:tcW w:type="dxa" w:w="4896"/>
          </w:tcPr>
          <w:p>
            <w:pPr>
              <w:spacing w:after="40" w:before="40"/>
            </w:pPr>
            <w:r/>
            <w:r>
              <w:rPr>
                <w:b w:val="0"/>
                <w:sz w:val="18"/>
              </w:rPr>
              <w:t>Pierce County Terminal (PCT)</w:t>
            </w:r>
          </w:p>
        </w:tc>
        <w:tc>
          <w:tcPr>
            <w:tcW w:type="dxa" w:w="1728"/>
          </w:tcPr>
          <w:p>
            <w:pPr>
              <w:spacing w:after="40" w:before="40"/>
            </w:pPr>
            <w:r/>
            <w:r>
              <w:rPr>
                <w:b w:val="0"/>
                <w:sz w:val="18"/>
              </w:rPr>
              <w:t>TIW</w:t>
            </w:r>
          </w:p>
        </w:tc>
      </w:tr>
      <w:tr>
        <w:tc>
          <w:tcPr>
            <w:tcW w:type="dxa" w:w="2880"/>
            <w:shd w:val="clear" w:color="auto" w:fill="DCE6F1"/>
          </w:tcPr>
          <w:p>
            <w:pPr>
              <w:spacing w:after="40" w:before="40"/>
            </w:pPr>
            <w:r/>
            <w:r>
              <w:rPr>
                <w:b w:val="0"/>
                <w:sz w:val="18"/>
              </w:rPr>
              <w:t>SSA-T18</w:t>
            </w:r>
          </w:p>
        </w:tc>
        <w:tc>
          <w:tcPr>
            <w:tcW w:type="dxa" w:w="4896"/>
            <w:shd w:val="clear" w:color="auto" w:fill="DCE6F1"/>
          </w:tcPr>
          <w:p>
            <w:pPr>
              <w:spacing w:after="40" w:before="40"/>
            </w:pPr>
            <w:r/>
            <w:r>
              <w:rPr>
                <w:b w:val="0"/>
                <w:sz w:val="18"/>
              </w:rPr>
              <w:t>Terminal 18</w:t>
            </w:r>
          </w:p>
        </w:tc>
        <w:tc>
          <w:tcPr>
            <w:tcW w:type="dxa" w:w="1728"/>
            <w:shd w:val="clear" w:color="auto" w:fill="DCE6F1"/>
          </w:tcPr>
          <w:p>
            <w:pPr>
              <w:spacing w:after="40" w:before="40"/>
            </w:pPr>
            <w:r/>
            <w:r>
              <w:rPr>
                <w:b w:val="0"/>
                <w:sz w:val="18"/>
              </w:rPr>
              <w:t>SEA</w:t>
            </w:r>
          </w:p>
        </w:tc>
      </w:tr>
      <w:tr>
        <w:tc>
          <w:tcPr>
            <w:tcW w:type="dxa" w:w="2880"/>
          </w:tcPr>
          <w:p>
            <w:pPr>
              <w:spacing w:after="40" w:before="40"/>
            </w:pPr>
            <w:r/>
            <w:r>
              <w:rPr>
                <w:b w:val="0"/>
                <w:sz w:val="18"/>
              </w:rPr>
              <w:t>TERMINAL 5</w:t>
            </w:r>
          </w:p>
        </w:tc>
        <w:tc>
          <w:tcPr>
            <w:tcW w:type="dxa" w:w="4896"/>
          </w:tcPr>
          <w:p>
            <w:pPr>
              <w:spacing w:after="40" w:before="40"/>
            </w:pPr>
            <w:r/>
            <w:r>
              <w:rPr>
                <w:b w:val="0"/>
                <w:sz w:val="18"/>
              </w:rPr>
              <w:t>Terminal 5</w:t>
            </w:r>
          </w:p>
        </w:tc>
        <w:tc>
          <w:tcPr>
            <w:tcW w:type="dxa" w:w="1728"/>
          </w:tcPr>
          <w:p>
            <w:pPr>
              <w:spacing w:after="40" w:before="40"/>
            </w:pPr>
            <w:r/>
            <w:r>
              <w:rPr>
                <w:b w:val="0"/>
                <w:sz w:val="18"/>
              </w:rPr>
              <w:t>SEA</w:t>
            </w:r>
          </w:p>
        </w:tc>
      </w:tr>
    </w:tbl>
    <w:p/>
    <w:p>
      <w:pPr>
        <w:pStyle w:val="Heading2"/>
      </w:pPr>
      <w:r>
        <w:rPr>
          <w:color w:val="2E5C9E"/>
          <w:sz w:val="28"/>
        </w:rPr>
        <w:t>4.4 Peel Piles &amp; Qualifying Thresholds</w:t>
      </w:r>
    </w:p>
    <w:p>
      <w:pPr>
        <w:spacing w:after="120"/>
      </w:pPr>
      <w:r>
        <w:rPr>
          <w:i w:val="0"/>
          <w:sz w:val="21"/>
        </w:rPr>
        <w:t>A peel pile is a Vessel + Week + Discharged Port + Terminal group large enough to warrant a dedicated carrier assignment. The qualifying threshold (the minimum size a group must reach to surface) depends on the port and terminal. Peel piles surface ONLY at PNW and Oakland; every other port is effectively disabled.</w:t>
      </w:r>
    </w:p>
    <w:tbl>
      <w:tblPr>
        <w:tblStyle w:val="TableGrid"/>
        <w:tblW w:type="auto" w:w="0"/>
        <w:jc w:val="center"/>
        <w:tblLayout w:type="autofit"/>
        <w:tblLook w:firstColumn="1" w:firstRow="1" w:lastColumn="0" w:lastRow="0" w:noHBand="0" w:noVBand="1" w:val="04A0"/>
      </w:tblPr>
      <w:tblGrid>
        <w:gridCol w:w="4320"/>
        <w:gridCol w:w="4320"/>
      </w:tblGrid>
      <w:tr>
        <w:tc>
          <w:tcPr>
            <w:tcW w:type="dxa" w:w="6336"/>
            <w:shd w:val="clear" w:color="auto" w:fill="1F3764"/>
          </w:tcPr>
          <w:p>
            <w:pPr>
              <w:spacing w:after="40" w:before="40"/>
            </w:pPr>
            <w:r/>
            <w:r>
              <w:rPr>
                <w:b/>
                <w:color w:val="FFFFFF"/>
                <w:sz w:val="18"/>
              </w:rPr>
              <w:t>Port / Terminal</w:t>
            </w:r>
          </w:p>
        </w:tc>
        <w:tc>
          <w:tcPr>
            <w:tcW w:type="dxa" w:w="3168"/>
            <w:shd w:val="clear" w:color="auto" w:fill="1F3764"/>
          </w:tcPr>
          <w:p>
            <w:pPr>
              <w:spacing w:after="40" w:before="40"/>
            </w:pPr>
            <w:r/>
            <w:r>
              <w:rPr>
                <w:b/>
                <w:color w:val="FFFFFF"/>
                <w:sz w:val="18"/>
              </w:rPr>
              <w:t>Threshold</w:t>
            </w:r>
          </w:p>
        </w:tc>
      </w:tr>
      <w:tr>
        <w:tc>
          <w:tcPr>
            <w:tcW w:type="dxa" w:w="6336"/>
          </w:tcPr>
          <w:p>
            <w:pPr>
              <w:spacing w:after="40" w:before="40"/>
            </w:pPr>
            <w:r/>
            <w:r>
              <w:rPr>
                <w:b w:val="0"/>
                <w:sz w:val="18"/>
              </w:rPr>
              <w:t>PNW — Washington United (TRM-TWUT)</w:t>
            </w:r>
          </w:p>
        </w:tc>
        <w:tc>
          <w:tcPr>
            <w:tcW w:type="dxa" w:w="3168"/>
          </w:tcPr>
          <w:p>
            <w:pPr>
              <w:spacing w:after="40" w:before="40"/>
            </w:pPr>
            <w:r/>
            <w:r>
              <w:rPr>
                <w:b w:val="0"/>
                <w:sz w:val="18"/>
              </w:rPr>
              <w:t>40</w:t>
            </w:r>
          </w:p>
        </w:tc>
      </w:tr>
      <w:tr>
        <w:tc>
          <w:tcPr>
            <w:tcW w:type="dxa" w:w="6336"/>
            <w:shd w:val="clear" w:color="auto" w:fill="DCE6F1"/>
          </w:tcPr>
          <w:p>
            <w:pPr>
              <w:spacing w:after="40" w:before="40"/>
            </w:pPr>
            <w:r/>
            <w:r>
              <w:rPr>
                <w:b w:val="0"/>
                <w:sz w:val="18"/>
              </w:rPr>
              <w:t>PNW — Husky (TRM-T004)</w:t>
            </w:r>
          </w:p>
        </w:tc>
        <w:tc>
          <w:tcPr>
            <w:tcW w:type="dxa" w:w="3168"/>
            <w:shd w:val="clear" w:color="auto" w:fill="DCE6F1"/>
          </w:tcPr>
          <w:p>
            <w:pPr>
              <w:spacing w:after="40" w:before="40"/>
            </w:pPr>
            <w:r/>
            <w:r>
              <w:rPr>
                <w:b w:val="0"/>
                <w:sz w:val="18"/>
              </w:rPr>
              <w:t>45</w:t>
            </w:r>
          </w:p>
        </w:tc>
      </w:tr>
      <w:tr>
        <w:tc>
          <w:tcPr>
            <w:tcW w:type="dxa" w:w="6336"/>
          </w:tcPr>
          <w:p>
            <w:pPr>
              <w:spacing w:after="40" w:before="40"/>
            </w:pPr>
            <w:r/>
            <w:r>
              <w:rPr>
                <w:b w:val="0"/>
                <w:sz w:val="18"/>
              </w:rPr>
              <w:t>PNW — Terminal 18 (SSA-T18)</w:t>
            </w:r>
          </w:p>
        </w:tc>
        <w:tc>
          <w:tcPr>
            <w:tcW w:type="dxa" w:w="3168"/>
          </w:tcPr>
          <w:p>
            <w:pPr>
              <w:spacing w:after="40" w:before="40"/>
            </w:pPr>
            <w:r/>
            <w:r>
              <w:rPr>
                <w:b w:val="0"/>
                <w:sz w:val="18"/>
              </w:rPr>
              <w:t>30</w:t>
            </w:r>
          </w:p>
        </w:tc>
      </w:tr>
      <w:tr>
        <w:tc>
          <w:tcPr>
            <w:tcW w:type="dxa" w:w="6336"/>
            <w:shd w:val="clear" w:color="auto" w:fill="DCE6F1"/>
          </w:tcPr>
          <w:p>
            <w:pPr>
              <w:spacing w:after="40" w:before="40"/>
            </w:pPr>
            <w:r/>
            <w:r>
              <w:rPr>
                <w:b w:val="0"/>
                <w:sz w:val="18"/>
              </w:rPr>
              <w:t>PNW — Terminal 5 (TERMINAL 5)</w:t>
            </w:r>
          </w:p>
        </w:tc>
        <w:tc>
          <w:tcPr>
            <w:tcW w:type="dxa" w:w="3168"/>
            <w:shd w:val="clear" w:color="auto" w:fill="DCE6F1"/>
          </w:tcPr>
          <w:p>
            <w:pPr>
              <w:spacing w:after="40" w:before="40"/>
            </w:pPr>
            <w:r/>
            <w:r>
              <w:rPr>
                <w:b w:val="0"/>
                <w:sz w:val="18"/>
              </w:rPr>
              <w:t>30</w:t>
            </w:r>
          </w:p>
        </w:tc>
      </w:tr>
      <w:tr>
        <w:tc>
          <w:tcPr>
            <w:tcW w:type="dxa" w:w="6336"/>
          </w:tcPr>
          <w:p>
            <w:pPr>
              <w:spacing w:after="40" w:before="40"/>
            </w:pPr>
            <w:r/>
            <w:r>
              <w:rPr>
                <w:b w:val="0"/>
                <w:sz w:val="18"/>
              </w:rPr>
              <w:t>PNW — Pierce County / any other / blank terminal</w:t>
            </w:r>
          </w:p>
        </w:tc>
        <w:tc>
          <w:tcPr>
            <w:tcW w:type="dxa" w:w="3168"/>
          </w:tcPr>
          <w:p>
            <w:pPr>
              <w:spacing w:after="40" w:before="40"/>
            </w:pPr>
            <w:r/>
            <w:r>
              <w:rPr>
                <w:b w:val="0"/>
                <w:sz w:val="18"/>
              </w:rPr>
              <w:t>80 (PNW default)</w:t>
            </w:r>
          </w:p>
        </w:tc>
      </w:tr>
      <w:tr>
        <w:tc>
          <w:tcPr>
            <w:tcW w:type="dxa" w:w="6336"/>
            <w:shd w:val="clear" w:color="auto" w:fill="DCE6F1"/>
          </w:tcPr>
          <w:p>
            <w:pPr>
              <w:spacing w:after="40" w:before="40"/>
            </w:pPr>
            <w:r/>
            <w:r>
              <w:rPr>
                <w:b w:val="0"/>
                <w:sz w:val="18"/>
              </w:rPr>
              <w:t>OAK (Oakland)</w:t>
            </w:r>
          </w:p>
        </w:tc>
        <w:tc>
          <w:tcPr>
            <w:tcW w:type="dxa" w:w="3168"/>
            <w:shd w:val="clear" w:color="auto" w:fill="DCE6F1"/>
          </w:tcPr>
          <w:p>
            <w:pPr>
              <w:spacing w:after="40" w:before="40"/>
            </w:pPr>
            <w:r/>
            <w:r>
              <w:rPr>
                <w:b w:val="0"/>
                <w:sz w:val="18"/>
              </w:rPr>
              <w:t>30</w:t>
            </w:r>
          </w:p>
        </w:tc>
      </w:tr>
      <w:tr>
        <w:tc>
          <w:tcPr>
            <w:tcW w:type="dxa" w:w="6336"/>
          </w:tcPr>
          <w:p>
            <w:pPr>
              <w:spacing w:after="40" w:before="40"/>
            </w:pPr>
            <w:r/>
            <w:r>
              <w:rPr>
                <w:b w:val="0"/>
                <w:sz w:val="18"/>
              </w:rPr>
              <w:t>Any other port</w:t>
            </w:r>
          </w:p>
        </w:tc>
        <w:tc>
          <w:tcPr>
            <w:tcW w:type="dxa" w:w="3168"/>
          </w:tcPr>
          <w:p>
            <w:pPr>
              <w:spacing w:after="40" w:before="40"/>
            </w:pPr>
            <w:r/>
            <w:r>
              <w:rPr>
                <w:b w:val="0"/>
                <w:sz w:val="18"/>
              </w:rPr>
              <w:t>Disabled (no peel piles)</w:t>
            </w:r>
          </w:p>
        </w:tc>
      </w:tr>
    </w:tbl>
    <w:p/>
    <w:p>
      <w:pPr>
        <w:spacing w:after="120"/>
      </w:pPr>
      <w:r>
        <w:rPr>
          <w:i w:val="0"/>
          <w:sz w:val="21"/>
        </w:rPr>
        <w:t>When you assign a peel-pile group to multiple carriers, containers split as evenly as possible (the first carrier(s) take any remainder — e.g. 10 rows across 3 carriers -&gt; 4 / 3 / 3). Peel-pile assignments honor every scoped cap, so they can't push a carrier past a Max already set.</w:t>
      </w:r>
    </w:p>
    <w:p>
      <w:pPr>
        <w:pStyle w:val="Heading2"/>
      </w:pPr>
      <w:r>
        <w:rPr>
          <w:color w:val="2E5C9E"/>
          <w:sz w:val="28"/>
        </w:rPr>
        <w:t>4.5 Changing a Standing Rule</w:t>
      </w:r>
    </w:p>
    <w:p>
      <w:pPr>
        <w:pStyle w:val="ListBullet"/>
        <w:spacing w:after="60"/>
      </w:pPr>
      <w:r>
        <w:rPr>
          <w:b/>
        </w:rPr>
        <w:t xml:space="preserve">Add/adjust a carrier-port restriction — </w:t>
      </w:r>
      <w:r>
        <w:t>edit the relevant port CSV (add a Port-scoped Max-0 row to lock a carrier out).</w:t>
      </w:r>
    </w:p>
    <w:p>
      <w:pPr>
        <w:pStyle w:val="ListBullet"/>
        <w:spacing w:after="60"/>
      </w:pPr>
      <w:r>
        <w:rPr>
          <w:b/>
        </w:rPr>
        <w:t xml:space="preserve">Disable a port's prebuilt rules — </w:t>
      </w:r>
      <w:r>
        <w:t>set the port to False in the ENABLED dict in prebuilt.py, or flip the master switch to disable all ports at once.</w:t>
      </w:r>
    </w:p>
    <w:p>
      <w:pPr>
        <w:pStyle w:val="ListBullet"/>
        <w:spacing w:after="60"/>
      </w:pPr>
      <w:r>
        <w:rPr>
          <w:b/>
        </w:rPr>
        <w:t xml:space="preserve">Adjust a peel-pile threshold — </w:t>
      </w:r>
      <w:r>
        <w:t>edit the tables in config/peel_pile_thresholds.py.</w:t>
      </w:r>
    </w:p>
    <w:p>
      <w:pPr>
        <w:pStyle w:val="ListBullet"/>
        <w:spacing w:after="60"/>
      </w:pPr>
      <w:r>
        <w:rPr>
          <w:b/>
        </w:rPr>
        <w:t xml:space="preserve">Retune the PNW vessel numbers — </w:t>
      </w:r>
      <w:r>
        <w:t>edit the config constants at the top of pnw_vessel_rules.py (the 130, the 60, the PNW port set).</w:t>
      </w:r>
    </w:p>
    <w:p>
      <w:pPr>
        <w:spacing w:after="120"/>
      </w:pPr>
      <w:r>
        <w:rPr>
          <w:i/>
          <w:sz w:val="19"/>
        </w:rPr>
        <w:t>None of these require engine code changes.</w:t>
      </w:r>
    </w:p>
    <w:p>
      <w:r>
        <w:br w:type="page"/>
      </w:r>
    </w:p>
    <w:p>
      <w:pPr>
        <w:pStyle w:val="Heading1"/>
      </w:pPr>
      <w:r>
        <w:rPr>
          <w:color w:val="1F3764"/>
          <w:sz w:val="36"/>
        </w:rPr>
        <w:t>Part 5 — Quick Reference</w:t>
      </w:r>
    </w:p>
    <w:p>
      <w:pPr>
        <w:pStyle w:val="Heading2"/>
      </w:pPr>
      <w:r>
        <w:rPr>
          <w:color w:val="2E5C9E"/>
          <w:sz w:val="28"/>
        </w:rPr>
        <w:t>5.1 Constraint Behavior</w:t>
      </w:r>
    </w:p>
    <w:tbl>
      <w:tblPr>
        <w:tblStyle w:val="TableGrid"/>
        <w:tblW w:type="auto" w:w="0"/>
        <w:jc w:val="center"/>
        <w:tblLayout w:type="autofit"/>
        <w:tblLook w:firstColumn="1" w:firstRow="1" w:lastColumn="0" w:lastRow="0" w:noHBand="0" w:noVBand="1" w:val="04A0"/>
      </w:tblPr>
      <w:tblGrid>
        <w:gridCol w:w="4320"/>
        <w:gridCol w:w="4320"/>
      </w:tblGrid>
      <w:tr>
        <w:tc>
          <w:tcPr>
            <w:tcW w:type="dxa" w:w="3168"/>
            <w:shd w:val="clear" w:color="auto" w:fill="1F3764"/>
          </w:tcPr>
          <w:p>
            <w:pPr>
              <w:spacing w:after="40" w:before="40"/>
            </w:pPr>
            <w:r/>
            <w:r>
              <w:rPr>
                <w:b/>
                <w:color w:val="FFFFFF"/>
                <w:sz w:val="18"/>
              </w:rPr>
              <w:t>Rule</w:t>
            </w:r>
          </w:p>
        </w:tc>
        <w:tc>
          <w:tcPr>
            <w:tcW w:type="dxa" w:w="6336"/>
            <w:shd w:val="clear" w:color="auto" w:fill="1F3764"/>
          </w:tcPr>
          <w:p>
            <w:pPr>
              <w:spacing w:after="40" w:before="40"/>
            </w:pPr>
            <w:r/>
            <w:r>
              <w:rPr>
                <w:b/>
                <w:color w:val="FFFFFF"/>
                <w:sz w:val="18"/>
              </w:rPr>
              <w:t>One-liner</w:t>
            </w:r>
          </w:p>
        </w:tc>
      </w:tr>
      <w:tr>
        <w:tc>
          <w:tcPr>
            <w:tcW w:type="dxa" w:w="3168"/>
          </w:tcPr>
          <w:p>
            <w:pPr>
              <w:spacing w:after="40" w:before="40"/>
            </w:pPr>
            <w:r/>
            <w:r>
              <w:rPr>
                <w:b w:val="0"/>
                <w:sz w:val="18"/>
              </w:rPr>
              <w:t>Carrier = target</w:t>
            </w:r>
          </w:p>
        </w:tc>
        <w:tc>
          <w:tcPr>
            <w:tcW w:type="dxa" w:w="6336"/>
          </w:tcPr>
          <w:p>
            <w:pPr>
              <w:spacing w:after="40" w:before="40"/>
            </w:pPr>
            <w:r/>
            <w:r>
              <w:rPr>
                <w:b w:val="0"/>
                <w:sz w:val="18"/>
              </w:rPr>
              <w:t>Carrier is who volume is assigned TO, not a filter.</w:t>
            </w:r>
          </w:p>
        </w:tc>
      </w:tr>
      <w:tr>
        <w:tc>
          <w:tcPr>
            <w:tcW w:type="dxa" w:w="3168"/>
            <w:shd w:val="clear" w:color="auto" w:fill="DCE6F1"/>
          </w:tcPr>
          <w:p>
            <w:pPr>
              <w:spacing w:after="40" w:before="40"/>
            </w:pPr>
            <w:r/>
            <w:r>
              <w:rPr>
                <w:b w:val="0"/>
                <w:sz w:val="18"/>
              </w:rPr>
              <w:t>Blank filter = any</w:t>
            </w:r>
          </w:p>
        </w:tc>
        <w:tc>
          <w:tcPr>
            <w:tcW w:type="dxa" w:w="6336"/>
            <w:shd w:val="clear" w:color="auto" w:fill="DCE6F1"/>
          </w:tcPr>
          <w:p>
            <w:pPr>
              <w:spacing w:after="40" w:before="40"/>
            </w:pPr>
            <w:r/>
            <w:r>
              <w:rPr>
                <w:b w:val="0"/>
                <w:sz w:val="18"/>
              </w:rPr>
              <w:t>An empty scope cell doesn't restrict that dimension.</w:t>
            </w:r>
          </w:p>
        </w:tc>
      </w:tr>
      <w:tr>
        <w:tc>
          <w:tcPr>
            <w:tcW w:type="dxa" w:w="3168"/>
          </w:tcPr>
          <w:p>
            <w:pPr>
              <w:spacing w:after="40" w:before="40"/>
            </w:pPr>
            <w:r/>
            <w:r>
              <w:rPr>
                <w:b w:val="0"/>
                <w:sz w:val="18"/>
              </w:rPr>
              <w:t>Filters AND</w:t>
            </w:r>
          </w:p>
        </w:tc>
        <w:tc>
          <w:tcPr>
            <w:tcW w:type="dxa" w:w="6336"/>
          </w:tcPr>
          <w:p>
            <w:pPr>
              <w:spacing w:after="40" w:before="40"/>
            </w:pPr>
            <w:r/>
            <w:r>
              <w:rPr>
                <w:b w:val="0"/>
                <w:sz w:val="18"/>
              </w:rPr>
              <w:t>All specified filters must match the same row.</w:t>
            </w:r>
          </w:p>
        </w:tc>
      </w:tr>
      <w:tr>
        <w:tc>
          <w:tcPr>
            <w:tcW w:type="dxa" w:w="3168"/>
            <w:shd w:val="clear" w:color="auto" w:fill="DCE6F1"/>
          </w:tcPr>
          <w:p>
            <w:pPr>
              <w:spacing w:after="40" w:before="40"/>
            </w:pPr>
            <w:r/>
            <w:r>
              <w:rPr>
                <w:b w:val="0"/>
                <w:sz w:val="18"/>
              </w:rPr>
              <w:t>Priority desc</w:t>
            </w:r>
          </w:p>
        </w:tc>
        <w:tc>
          <w:tcPr>
            <w:tcW w:type="dxa" w:w="6336"/>
            <w:shd w:val="clear" w:color="auto" w:fill="DCE6F1"/>
          </w:tcPr>
          <w:p>
            <w:pPr>
              <w:spacing w:after="40" w:before="40"/>
            </w:pPr>
            <w:r/>
            <w:r>
              <w:rPr>
                <w:b w:val="0"/>
                <w:sz w:val="18"/>
              </w:rPr>
              <w:t>Higher Priority Score processed first; claims are exclusive.</w:t>
            </w:r>
          </w:p>
        </w:tc>
      </w:tr>
      <w:tr>
        <w:tc>
          <w:tcPr>
            <w:tcW w:type="dxa" w:w="3168"/>
          </w:tcPr>
          <w:p>
            <w:pPr>
              <w:spacing w:after="40" w:before="40"/>
            </w:pPr>
            <w:r/>
            <w:r>
              <w:rPr>
                <w:b w:val="0"/>
                <w:sz w:val="18"/>
              </w:rPr>
              <w:t>Prebuilt first</w:t>
            </w:r>
          </w:p>
        </w:tc>
        <w:tc>
          <w:tcPr>
            <w:tcW w:type="dxa" w:w="6336"/>
          </w:tcPr>
          <w:p>
            <w:pPr>
              <w:spacing w:after="40" w:before="40"/>
            </w:pPr>
            <w:r/>
            <w:r>
              <w:rPr>
                <w:b w:val="0"/>
                <w:sz w:val="18"/>
              </w:rPr>
              <w:t>Always-on port rules outrank any user Priority Score.</w:t>
            </w:r>
          </w:p>
        </w:tc>
      </w:tr>
      <w:tr>
        <w:tc>
          <w:tcPr>
            <w:tcW w:type="dxa" w:w="3168"/>
            <w:shd w:val="clear" w:color="auto" w:fill="DCE6F1"/>
          </w:tcPr>
          <w:p>
            <w:pPr>
              <w:spacing w:after="40" w:before="40"/>
            </w:pPr>
            <w:r/>
            <w:r>
              <w:rPr>
                <w:b w:val="0"/>
                <w:sz w:val="18"/>
              </w:rPr>
              <w:t>Max = ceiling</w:t>
            </w:r>
          </w:p>
        </w:tc>
        <w:tc>
          <w:tcPr>
            <w:tcW w:type="dxa" w:w="6336"/>
            <w:shd w:val="clear" w:color="auto" w:fill="DCE6F1"/>
          </w:tcPr>
          <w:p>
            <w:pPr>
              <w:spacing w:after="40" w:before="40"/>
            </w:pPr>
            <w:r/>
            <w:r>
              <w:rPr>
                <w:b w:val="0"/>
                <w:sz w:val="18"/>
              </w:rPr>
              <w:t>Cap; overflow stays unconstrained; 0 = lockout.</w:t>
            </w:r>
          </w:p>
        </w:tc>
      </w:tr>
      <w:tr>
        <w:tc>
          <w:tcPr>
            <w:tcW w:type="dxa" w:w="3168"/>
          </w:tcPr>
          <w:p>
            <w:pPr>
              <w:spacing w:after="40" w:before="40"/>
            </w:pPr>
            <w:r/>
            <w:r>
              <w:rPr>
                <w:b w:val="0"/>
                <w:sz w:val="18"/>
              </w:rPr>
              <w:t>Min = floor</w:t>
            </w:r>
          </w:p>
        </w:tc>
        <w:tc>
          <w:tcPr>
            <w:tcW w:type="dxa" w:w="6336"/>
          </w:tcPr>
          <w:p>
            <w:pPr>
              <w:spacing w:after="40" w:before="40"/>
            </w:pPr>
            <w:r/>
            <w:r>
              <w:rPr>
                <w:b w:val="0"/>
                <w:sz w:val="18"/>
              </w:rPr>
              <w:t>At least N; reports a shortfall if the scope lacks volume.</w:t>
            </w:r>
          </w:p>
        </w:tc>
      </w:tr>
      <w:tr>
        <w:tc>
          <w:tcPr>
            <w:tcW w:type="dxa" w:w="3168"/>
            <w:shd w:val="clear" w:color="auto" w:fill="DCE6F1"/>
          </w:tcPr>
          <w:p>
            <w:pPr>
              <w:spacing w:after="40" w:before="40"/>
            </w:pPr>
            <w:r/>
            <w:r>
              <w:rPr>
                <w:b w:val="0"/>
                <w:sz w:val="18"/>
              </w:rPr>
              <w:t>Percent = ceiling</w:t>
            </w:r>
          </w:p>
        </w:tc>
        <w:tc>
          <w:tcPr>
            <w:tcW w:type="dxa" w:w="6336"/>
            <w:shd w:val="clear" w:color="auto" w:fill="DCE6F1"/>
          </w:tcPr>
          <w:p>
            <w:pPr>
              <w:spacing w:after="40" w:before="40"/>
            </w:pPr>
            <w:r/>
            <w:r>
              <w:rPr>
                <w:b w:val="0"/>
                <w:sz w:val="18"/>
              </w:rPr>
              <w:t>P% of the ORIGINAL scope volume; 0 = lockout.</w:t>
            </w:r>
          </w:p>
        </w:tc>
      </w:tr>
      <w:tr>
        <w:tc>
          <w:tcPr>
            <w:tcW w:type="dxa" w:w="3168"/>
          </w:tcPr>
          <w:p>
            <w:pPr>
              <w:spacing w:after="40" w:before="40"/>
            </w:pPr>
            <w:r/>
            <w:r>
              <w:rPr>
                <w:b w:val="0"/>
                <w:sz w:val="18"/>
              </w:rPr>
              <w:t>Caps are hard everywhere</w:t>
            </w:r>
          </w:p>
        </w:tc>
        <w:tc>
          <w:tcPr>
            <w:tcW w:type="dxa" w:w="6336"/>
          </w:tcPr>
          <w:p>
            <w:pPr>
              <w:spacing w:after="40" w:before="40"/>
            </w:pPr>
            <w:r/>
            <w:r>
              <w:rPr>
                <w:b w:val="0"/>
                <w:sz w:val="18"/>
              </w:rPr>
              <w:t>A scoped max binds across all dims + both tables + peel pile + optimizer.</w:t>
            </w:r>
          </w:p>
        </w:tc>
      </w:tr>
      <w:tr>
        <w:tc>
          <w:tcPr>
            <w:tcW w:type="dxa" w:w="3168"/>
            <w:shd w:val="clear" w:color="auto" w:fill="DCE6F1"/>
          </w:tcPr>
          <w:p>
            <w:pPr>
              <w:spacing w:after="40" w:before="40"/>
            </w:pPr>
            <w:r/>
            <w:r>
              <w:rPr>
                <w:b w:val="0"/>
                <w:sz w:val="18"/>
              </w:rPr>
              <w:t>No double-dip</w:t>
            </w:r>
          </w:p>
        </w:tc>
        <w:tc>
          <w:tcPr>
            <w:tcW w:type="dxa" w:w="6336"/>
            <w:shd w:val="clear" w:color="auto" w:fill="DCE6F1"/>
          </w:tcPr>
          <w:p>
            <w:pPr>
              <w:spacing w:after="40" w:before="40"/>
            </w:pPr>
            <w:r/>
            <w:r>
              <w:rPr>
                <w:b w:val="0"/>
                <w:sz w:val="18"/>
              </w:rPr>
              <w:t>A broader rule credits nested earlier volume; disjoint scopes don't cannibalize.</w:t>
            </w:r>
          </w:p>
        </w:tc>
      </w:tr>
      <w:tr>
        <w:tc>
          <w:tcPr>
            <w:tcW w:type="dxa" w:w="3168"/>
          </w:tcPr>
          <w:p>
            <w:pPr>
              <w:spacing w:after="40" w:before="40"/>
            </w:pPr>
            <w:r/>
            <w:r>
              <w:rPr>
                <w:b w:val="0"/>
                <w:sz w:val="18"/>
              </w:rPr>
              <w:t>Even spread</w:t>
            </w:r>
          </w:p>
        </w:tc>
        <w:tc>
          <w:tcPr>
            <w:tcW w:type="dxa" w:w="6336"/>
          </w:tcPr>
          <w:p>
            <w:pPr>
              <w:spacing w:after="40" w:before="40"/>
            </w:pPr>
            <w:r/>
            <w:r>
              <w:rPr>
                <w:b w:val="0"/>
                <w:sz w:val="18"/>
              </w:rPr>
              <w:t>Allocations round-robin across Mon / Tue / Wed / Thu / Fri-Sun.</w:t>
            </w:r>
          </w:p>
        </w:tc>
      </w:tr>
      <w:tr>
        <w:tc>
          <w:tcPr>
            <w:tcW w:type="dxa" w:w="3168"/>
            <w:shd w:val="clear" w:color="auto" w:fill="DCE6F1"/>
          </w:tcPr>
          <w:p>
            <w:pPr>
              <w:spacing w:after="40" w:before="40"/>
            </w:pPr>
            <w:r/>
            <w:r>
              <w:rPr>
                <w:b w:val="0"/>
                <w:sz w:val="18"/>
              </w:rPr>
              <w:t>Lead-time lock</w:t>
            </w:r>
          </w:p>
        </w:tc>
        <w:tc>
          <w:tcPr>
            <w:tcW w:type="dxa" w:w="6336"/>
            <w:shd w:val="clear" w:color="auto" w:fill="DCE6F1"/>
          </w:tcPr>
          <w:p>
            <w:pPr>
              <w:spacing w:after="40" w:before="40"/>
            </w:pPr>
            <w:r/>
            <w:r>
              <w:rPr>
                <w:b w:val="0"/>
                <w:sz w:val="18"/>
              </w:rPr>
              <w:t>Within 3 days of Ocean ETA (ETA - 3 &lt; today) the carrier is frozen.</w:t>
            </w:r>
          </w:p>
        </w:tc>
      </w:tr>
      <w:tr>
        <w:tc>
          <w:tcPr>
            <w:tcW w:type="dxa" w:w="3168"/>
          </w:tcPr>
          <w:p>
            <w:pPr>
              <w:spacing w:after="40" w:before="40"/>
            </w:pPr>
            <w:r/>
            <w:r>
              <w:rPr>
                <w:b w:val="0"/>
                <w:sz w:val="18"/>
              </w:rPr>
              <w:t>Excluded FC</w:t>
            </w:r>
          </w:p>
        </w:tc>
        <w:tc>
          <w:tcPr>
            <w:tcW w:type="dxa" w:w="6336"/>
          </w:tcPr>
          <w:p>
            <w:pPr>
              <w:spacing w:after="40" w:before="40"/>
            </w:pPr>
            <w:r/>
            <w:r>
              <w:rPr>
                <w:b w:val="0"/>
                <w:sz w:val="18"/>
              </w:rPr>
              <w:t>Hard facility ban; triggers reallocation or fails.</w:t>
            </w:r>
          </w:p>
        </w:tc>
      </w:tr>
      <w:tr>
        <w:tc>
          <w:tcPr>
            <w:tcW w:type="dxa" w:w="3168"/>
            <w:shd w:val="clear" w:color="auto" w:fill="DCE6F1"/>
          </w:tcPr>
          <w:p>
            <w:pPr>
              <w:spacing w:after="40" w:before="40"/>
            </w:pPr>
            <w:r/>
            <w:r>
              <w:rPr>
                <w:b w:val="0"/>
                <w:sz w:val="18"/>
              </w:rPr>
              <w:t>Conservation</w:t>
            </w:r>
          </w:p>
        </w:tc>
        <w:tc>
          <w:tcPr>
            <w:tcW w:type="dxa" w:w="6336"/>
            <w:shd w:val="clear" w:color="auto" w:fill="DCE6F1"/>
          </w:tcPr>
          <w:p>
            <w:pPr>
              <w:spacing w:after="40" w:before="40"/>
            </w:pPr>
            <w:r/>
            <w:r>
              <w:rPr>
                <w:b w:val="0"/>
                <w:sz w:val="18"/>
              </w:rPr>
              <w:t>Original = Constrained + Unconstrained, always.</w:t>
            </w:r>
          </w:p>
        </w:tc>
      </w:tr>
    </w:tbl>
    <w:p/>
    <w:p>
      <w:pPr>
        <w:pStyle w:val="Heading2"/>
      </w:pPr>
      <w:r>
        <w:rPr>
          <w:color w:val="2E5C9E"/>
          <w:sz w:val="28"/>
        </w:rPr>
        <w:t>5.2 The Four Scenarios at a Glance</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160"/>
            <w:shd w:val="clear" w:color="auto" w:fill="1F3764"/>
          </w:tcPr>
          <w:p>
            <w:pPr>
              <w:spacing w:after="40" w:before="40"/>
            </w:pPr>
            <w:r/>
            <w:r>
              <w:rPr>
                <w:b/>
                <w:color w:val="FFFFFF"/>
                <w:sz w:val="18"/>
              </w:rPr>
              <w:t>Scenario</w:t>
            </w:r>
          </w:p>
        </w:tc>
        <w:tc>
          <w:tcPr>
            <w:tcW w:type="dxa" w:w="3168"/>
            <w:shd w:val="clear" w:color="auto" w:fill="1F3764"/>
          </w:tcPr>
          <w:p>
            <w:pPr>
              <w:spacing w:after="40" w:before="40"/>
            </w:pPr>
            <w:r/>
            <w:r>
              <w:rPr>
                <w:b/>
                <w:color w:val="FFFFFF"/>
                <w:sz w:val="18"/>
              </w:rPr>
              <w:t>Carrier picked by</w:t>
            </w:r>
          </w:p>
        </w:tc>
        <w:tc>
          <w:tcPr>
            <w:tcW w:type="dxa" w:w="4176"/>
            <w:shd w:val="clear" w:color="auto" w:fill="1F3764"/>
          </w:tcPr>
          <w:p>
            <w:pPr>
              <w:spacing w:after="40" w:before="40"/>
            </w:pPr>
            <w:r/>
            <w:r>
              <w:rPr>
                <w:b/>
                <w:color w:val="FFFFFF"/>
                <w:sz w:val="18"/>
              </w:rPr>
              <w:t>Distribution within a group</w:t>
            </w:r>
          </w:p>
        </w:tc>
      </w:tr>
      <w:tr>
        <w:tc>
          <w:tcPr>
            <w:tcW w:type="dxa" w:w="2160"/>
          </w:tcPr>
          <w:p>
            <w:pPr>
              <w:spacing w:after="40" w:before="40"/>
            </w:pPr>
            <w:r/>
            <w:r>
              <w:rPr>
                <w:b w:val="0"/>
                <w:sz w:val="18"/>
              </w:rPr>
              <w:t>Current Selection</w:t>
            </w:r>
          </w:p>
        </w:tc>
        <w:tc>
          <w:tcPr>
            <w:tcW w:type="dxa" w:w="3168"/>
          </w:tcPr>
          <w:p>
            <w:pPr>
              <w:spacing w:after="40" w:before="40"/>
            </w:pPr>
            <w:r/>
            <w:r>
              <w:rPr>
                <w:b w:val="0"/>
                <w:sz w:val="18"/>
              </w:rPr>
              <w:t>(none — as-is)</w:t>
            </w:r>
          </w:p>
        </w:tc>
        <w:tc>
          <w:tcPr>
            <w:tcW w:type="dxa" w:w="4176"/>
          </w:tcPr>
          <w:p>
            <w:pPr>
              <w:spacing w:after="40" w:before="40"/>
            </w:pPr>
            <w:r/>
            <w:r>
              <w:rPr>
                <w:b w:val="0"/>
                <w:sz w:val="18"/>
              </w:rPr>
              <w:t>Unchanged from the GVT file.</w:t>
            </w:r>
          </w:p>
        </w:tc>
      </w:tr>
      <w:tr>
        <w:tc>
          <w:tcPr>
            <w:tcW w:type="dxa" w:w="2160"/>
            <w:shd w:val="clear" w:color="auto" w:fill="DCE6F1"/>
          </w:tcPr>
          <w:p>
            <w:pPr>
              <w:spacing w:after="40" w:before="40"/>
            </w:pPr>
            <w:r/>
            <w:r>
              <w:rPr>
                <w:b w:val="0"/>
                <w:sz w:val="18"/>
              </w:rPr>
              <w:t>Performance</w:t>
            </w:r>
          </w:p>
        </w:tc>
        <w:tc>
          <w:tcPr>
            <w:tcW w:type="dxa" w:w="3168"/>
            <w:shd w:val="clear" w:color="auto" w:fill="DCE6F1"/>
          </w:tcPr>
          <w:p>
            <w:pPr>
              <w:spacing w:after="40" w:before="40"/>
            </w:pPr>
            <w:r/>
            <w:r>
              <w:rPr>
                <w:b w:val="0"/>
                <w:sz w:val="18"/>
              </w:rPr>
              <w:t>Highest performance score</w:t>
            </w:r>
          </w:p>
        </w:tc>
        <w:tc>
          <w:tcPr>
            <w:tcW w:type="dxa" w:w="4176"/>
            <w:shd w:val="clear" w:color="auto" w:fill="DCE6F1"/>
          </w:tcPr>
          <w:p>
            <w:pPr>
              <w:spacing w:after="40" w:before="40"/>
            </w:pPr>
            <w:r/>
            <w:r>
              <w:rPr>
                <w:b w:val="0"/>
                <w:sz w:val="18"/>
              </w:rPr>
              <w:t>All volume to one carrier.</w:t>
            </w:r>
          </w:p>
        </w:tc>
      </w:tr>
      <w:tr>
        <w:tc>
          <w:tcPr>
            <w:tcW w:type="dxa" w:w="2160"/>
          </w:tcPr>
          <w:p>
            <w:pPr>
              <w:spacing w:after="40" w:before="40"/>
            </w:pPr>
            <w:r/>
            <w:r>
              <w:rPr>
                <w:b w:val="0"/>
                <w:sz w:val="18"/>
              </w:rPr>
              <w:t>Cheapest Cost</w:t>
            </w:r>
          </w:p>
        </w:tc>
        <w:tc>
          <w:tcPr>
            <w:tcW w:type="dxa" w:w="3168"/>
          </w:tcPr>
          <w:p>
            <w:pPr>
              <w:spacing w:after="40" w:before="40"/>
            </w:pPr>
            <w:r/>
            <w:r>
              <w:rPr>
                <w:b w:val="0"/>
                <w:sz w:val="18"/>
              </w:rPr>
              <w:t>Lowest rate</w:t>
            </w:r>
          </w:p>
        </w:tc>
        <w:tc>
          <w:tcPr>
            <w:tcW w:type="dxa" w:w="4176"/>
          </w:tcPr>
          <w:p>
            <w:pPr>
              <w:spacing w:after="40" w:before="40"/>
            </w:pPr>
            <w:r/>
            <w:r>
              <w:rPr>
                <w:b w:val="0"/>
                <w:sz w:val="18"/>
              </w:rPr>
              <w:t>All volume to one carrier.</w:t>
            </w:r>
          </w:p>
        </w:tc>
      </w:tr>
      <w:tr>
        <w:tc>
          <w:tcPr>
            <w:tcW w:type="dxa" w:w="2160"/>
            <w:shd w:val="clear" w:color="auto" w:fill="DCE6F1"/>
          </w:tcPr>
          <w:p>
            <w:pPr>
              <w:spacing w:after="40" w:before="40"/>
            </w:pPr>
            <w:r/>
            <w:r>
              <w:rPr>
                <w:b w:val="0"/>
                <w:sz w:val="18"/>
              </w:rPr>
              <w:t>Optimized</w:t>
            </w:r>
          </w:p>
        </w:tc>
        <w:tc>
          <w:tcPr>
            <w:tcW w:type="dxa" w:w="3168"/>
            <w:shd w:val="clear" w:color="auto" w:fill="DCE6F1"/>
          </w:tcPr>
          <w:p>
            <w:pPr>
              <w:spacing w:after="40" w:before="40"/>
            </w:pPr>
            <w:r/>
            <w:r>
              <w:rPr>
                <w:b w:val="0"/>
                <w:sz w:val="18"/>
              </w:rPr>
              <w:t>Blended cost+performance rank</w:t>
            </w:r>
          </w:p>
        </w:tc>
        <w:tc>
          <w:tcPr>
            <w:tcW w:type="dxa" w:w="4176"/>
            <w:shd w:val="clear" w:color="auto" w:fill="DCE6F1"/>
          </w:tcPr>
          <w:p>
            <w:pPr>
              <w:spacing w:after="40" w:before="40"/>
            </w:pPr>
            <w:r/>
            <w:r>
              <w:rPr>
                <w:b w:val="0"/>
                <w:sz w:val="18"/>
              </w:rPr>
              <w:t>Spread across carriers, capped by historical share x (1 + growth).</w:t>
            </w:r>
          </w:p>
        </w:tc>
      </w:tr>
    </w:tbl>
    <w:p/>
    <w:p>
      <w:pPr>
        <w:pStyle w:val="Heading2"/>
      </w:pPr>
      <w:r>
        <w:rPr>
          <w:color w:val="2E5C9E"/>
          <w:sz w:val="28"/>
        </w:rPr>
        <w:t>5.3 Allocation Pipeline Order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576"/>
            <w:shd w:val="clear" w:color="auto" w:fill="1F3764"/>
          </w:tcPr>
          <w:p>
            <w:pPr>
              <w:spacing w:after="40" w:before="40"/>
            </w:pPr>
            <w:r/>
            <w:r>
              <w:rPr>
                <w:b/>
                <w:color w:val="FFFFFF"/>
                <w:sz w:val="18"/>
              </w:rPr>
              <w:t>#</w:t>
            </w:r>
          </w:p>
        </w:tc>
        <w:tc>
          <w:tcPr>
            <w:tcW w:type="dxa" w:w="5184"/>
            <w:shd w:val="clear" w:color="auto" w:fill="1F3764"/>
          </w:tcPr>
          <w:p>
            <w:pPr>
              <w:spacing w:after="40" w:before="40"/>
            </w:pPr>
            <w:r/>
            <w:r>
              <w:rPr>
                <w:b/>
                <w:color w:val="FFFFFF"/>
                <w:sz w:val="18"/>
              </w:rPr>
              <w:t>Stage</w:t>
            </w:r>
          </w:p>
        </w:tc>
        <w:tc>
          <w:tcPr>
            <w:tcW w:type="dxa" w:w="3744"/>
            <w:shd w:val="clear" w:color="auto" w:fill="1F3764"/>
          </w:tcPr>
          <w:p>
            <w:pPr>
              <w:spacing w:after="40" w:before="40"/>
            </w:pPr>
            <w:r/>
            <w:r>
              <w:rPr>
                <w:b/>
                <w:color w:val="FFFFFF"/>
                <w:sz w:val="18"/>
              </w:rPr>
              <w:t>Pool effect</w:t>
            </w:r>
          </w:p>
        </w:tc>
      </w:tr>
      <w:tr>
        <w:tc>
          <w:tcPr>
            <w:tcW w:type="dxa" w:w="576"/>
          </w:tcPr>
          <w:p>
            <w:pPr>
              <w:spacing w:after="40" w:before="40"/>
            </w:pPr>
            <w:r/>
            <w:r>
              <w:rPr>
                <w:b w:val="0"/>
                <w:sz w:val="18"/>
              </w:rPr>
              <w:t>1</w:t>
            </w:r>
          </w:p>
        </w:tc>
        <w:tc>
          <w:tcPr>
            <w:tcW w:type="dxa" w:w="5184"/>
          </w:tcPr>
          <w:p>
            <w:pPr>
              <w:spacing w:after="40" w:before="40"/>
            </w:pPr>
            <w:r/>
            <w:r>
              <w:rPr>
                <w:b w:val="0"/>
                <w:sz w:val="18"/>
              </w:rPr>
              <w:t>Prebuilt / standing rules (PNW + port CSVs)</w:t>
            </w:r>
          </w:p>
        </w:tc>
        <w:tc>
          <w:tcPr>
            <w:tcW w:type="dxa" w:w="3744"/>
          </w:tcPr>
          <w:p>
            <w:pPr>
              <w:spacing w:after="40" w:before="40"/>
            </w:pPr>
            <w:r/>
            <w:r>
              <w:rPr>
                <w:b w:val="0"/>
                <w:sz w:val="18"/>
              </w:rPr>
              <w:t>Claim first, ahead of user priority.</w:t>
            </w:r>
          </w:p>
        </w:tc>
      </w:tr>
      <w:tr>
        <w:tc>
          <w:tcPr>
            <w:tcW w:type="dxa" w:w="576"/>
            <w:shd w:val="clear" w:color="auto" w:fill="DCE6F1"/>
          </w:tcPr>
          <w:p>
            <w:pPr>
              <w:spacing w:after="40" w:before="40"/>
            </w:pPr>
            <w:r/>
            <w:r>
              <w:rPr>
                <w:b w:val="0"/>
                <w:sz w:val="18"/>
              </w:rPr>
              <w:t>2</w:t>
            </w:r>
          </w:p>
        </w:tc>
        <w:tc>
          <w:tcPr>
            <w:tcW w:type="dxa" w:w="5184"/>
            <w:shd w:val="clear" w:color="auto" w:fill="DCE6F1"/>
          </w:tcPr>
          <w:p>
            <w:pPr>
              <w:spacing w:after="40" w:before="40"/>
            </w:pPr>
            <w:r/>
            <w:r>
              <w:rPr>
                <w:b w:val="0"/>
                <w:sz w:val="18"/>
              </w:rPr>
              <w:t>User / chatbot constraints (priority desc)</w:t>
            </w:r>
          </w:p>
        </w:tc>
        <w:tc>
          <w:tcPr>
            <w:tcW w:type="dxa" w:w="3744"/>
            <w:shd w:val="clear" w:color="auto" w:fill="DCE6F1"/>
          </w:tcPr>
          <w:p>
            <w:pPr>
              <w:spacing w:after="40" w:before="40"/>
            </w:pPr>
            <w:r/>
            <w:r>
              <w:rPr>
                <w:b w:val="0"/>
                <w:sz w:val="18"/>
              </w:rPr>
              <w:t>Split into constrained vs. unconstrained.</w:t>
            </w:r>
          </w:p>
        </w:tc>
      </w:tr>
      <w:tr>
        <w:tc>
          <w:tcPr>
            <w:tcW w:type="dxa" w:w="576"/>
          </w:tcPr>
          <w:p>
            <w:pPr>
              <w:spacing w:after="40" w:before="40"/>
            </w:pPr>
            <w:r/>
            <w:r>
              <w:rPr>
                <w:b w:val="0"/>
                <w:sz w:val="18"/>
              </w:rPr>
              <w:t>3</w:t>
            </w:r>
          </w:p>
        </w:tc>
        <w:tc>
          <w:tcPr>
            <w:tcW w:type="dxa" w:w="5184"/>
          </w:tcPr>
          <w:p>
            <w:pPr>
              <w:spacing w:after="40" w:before="40"/>
            </w:pPr>
            <w:r/>
            <w:r>
              <w:rPr>
                <w:b w:val="0"/>
                <w:sz w:val="18"/>
              </w:rPr>
              <w:t>Lead-time lock (within 3 days of ETA)</w:t>
            </w:r>
          </w:p>
        </w:tc>
        <w:tc>
          <w:tcPr>
            <w:tcW w:type="dxa" w:w="3744"/>
          </w:tcPr>
          <w:p>
            <w:pPr>
              <w:spacing w:after="40" w:before="40"/>
            </w:pPr>
            <w:r/>
            <w:r>
              <w:rPr>
                <w:b w:val="0"/>
                <w:sz w:val="18"/>
              </w:rPr>
              <w:t>Unconstrained -&gt; constrained.</w:t>
            </w:r>
          </w:p>
        </w:tc>
      </w:tr>
      <w:tr>
        <w:tc>
          <w:tcPr>
            <w:tcW w:type="dxa" w:w="576"/>
            <w:shd w:val="clear" w:color="auto" w:fill="DCE6F1"/>
          </w:tcPr>
          <w:p>
            <w:pPr>
              <w:spacing w:after="40" w:before="40"/>
            </w:pPr>
            <w:r/>
            <w:r>
              <w:rPr>
                <w:b w:val="0"/>
                <w:sz w:val="18"/>
              </w:rPr>
              <w:t>4</w:t>
            </w:r>
          </w:p>
        </w:tc>
        <w:tc>
          <w:tcPr>
            <w:tcW w:type="dxa" w:w="5184"/>
            <w:shd w:val="clear" w:color="auto" w:fill="DCE6F1"/>
          </w:tcPr>
          <w:p>
            <w:pPr>
              <w:spacing w:after="40" w:before="40"/>
            </w:pPr>
            <w:r/>
            <w:r>
              <w:rPr>
                <w:b w:val="0"/>
                <w:sz w:val="18"/>
              </w:rPr>
              <w:t>Peel-pile assignments</w:t>
            </w:r>
          </w:p>
        </w:tc>
        <w:tc>
          <w:tcPr>
            <w:tcW w:type="dxa" w:w="3744"/>
            <w:shd w:val="clear" w:color="auto" w:fill="DCE6F1"/>
          </w:tcPr>
          <w:p>
            <w:pPr>
              <w:spacing w:after="40" w:before="40"/>
            </w:pPr>
            <w:r/>
            <w:r>
              <w:rPr>
                <w:b w:val="0"/>
                <w:sz w:val="18"/>
              </w:rPr>
              <w:t>Claim remaining unclaimed containers; honor caps.</w:t>
            </w:r>
          </w:p>
        </w:tc>
      </w:tr>
      <w:tr>
        <w:tc>
          <w:tcPr>
            <w:tcW w:type="dxa" w:w="576"/>
          </w:tcPr>
          <w:p>
            <w:pPr>
              <w:spacing w:after="40" w:before="40"/>
            </w:pPr>
            <w:r/>
            <w:r>
              <w:rPr>
                <w:b w:val="0"/>
                <w:sz w:val="18"/>
              </w:rPr>
              <w:t>5</w:t>
            </w:r>
          </w:p>
        </w:tc>
        <w:tc>
          <w:tcPr>
            <w:tcW w:type="dxa" w:w="5184"/>
          </w:tcPr>
          <w:p>
            <w:pPr>
              <w:spacing w:after="40" w:before="40"/>
            </w:pPr>
            <w:r/>
            <w:r>
              <w:rPr>
                <w:b w:val="0"/>
                <w:sz w:val="18"/>
              </w:rPr>
              <w:t>PNW post-allocation safety passes</w:t>
            </w:r>
          </w:p>
        </w:tc>
        <w:tc>
          <w:tcPr>
            <w:tcW w:type="dxa" w:w="3744"/>
          </w:tcPr>
          <w:p>
            <w:pPr>
              <w:spacing w:after="40" w:before="40"/>
            </w:pPr>
            <w:r/>
            <w:r>
              <w:rPr>
                <w:b w:val="0"/>
                <w:sz w:val="18"/>
              </w:rPr>
              <w:t>Per-vessel cap + one-vessel-per-carrier, across both tables.</w:t>
            </w:r>
          </w:p>
        </w:tc>
      </w:tr>
      <w:tr>
        <w:tc>
          <w:tcPr>
            <w:tcW w:type="dxa" w:w="576"/>
            <w:shd w:val="clear" w:color="auto" w:fill="DCE6F1"/>
          </w:tcPr>
          <w:p>
            <w:pPr>
              <w:spacing w:after="40" w:before="40"/>
            </w:pPr>
            <w:r/>
            <w:r>
              <w:rPr>
                <w:b w:val="0"/>
                <w:sz w:val="18"/>
              </w:rPr>
              <w:t>6</w:t>
            </w:r>
          </w:p>
        </w:tc>
        <w:tc>
          <w:tcPr>
            <w:tcW w:type="dxa" w:w="5184"/>
            <w:shd w:val="clear" w:color="auto" w:fill="DCE6F1"/>
          </w:tcPr>
          <w:p>
            <w:pPr>
              <w:spacing w:after="40" w:before="40"/>
            </w:pPr>
            <w:r/>
            <w:r>
              <w:rPr>
                <w:b w:val="0"/>
                <w:sz w:val="18"/>
              </w:rPr>
              <w:t>Scenario optimization</w:t>
            </w:r>
          </w:p>
        </w:tc>
        <w:tc>
          <w:tcPr>
            <w:tcW w:type="dxa" w:w="3744"/>
            <w:shd w:val="clear" w:color="auto" w:fill="DCE6F1"/>
          </w:tcPr>
          <w:p>
            <w:pPr>
              <w:spacing w:after="40" w:before="40"/>
            </w:pPr>
            <w:r/>
            <w:r>
              <w:rPr>
                <w:b w:val="0"/>
                <w:sz w:val="18"/>
              </w:rPr>
              <w:t>Reallocate the unconstrained pool only.</w:t>
            </w:r>
          </w:p>
        </w:tc>
      </w:tr>
    </w:tbl>
    <w:p/>
    <w:p>
      <w:pPr>
        <w:pStyle w:val="Heading2"/>
      </w:pPr>
      <w:r>
        <w:rPr>
          <w:color w:val="2E5C9E"/>
          <w:sz w:val="28"/>
        </w:rPr>
        <w:t>5.4 Default Parameters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3456"/>
            <w:shd w:val="clear" w:color="auto" w:fill="1F3764"/>
          </w:tcPr>
          <w:p>
            <w:pPr>
              <w:spacing w:after="40" w:before="40"/>
            </w:pPr>
            <w:r/>
            <w:r>
              <w:rPr>
                <w:b/>
                <w:color w:val="FFFFFF"/>
                <w:sz w:val="18"/>
              </w:rPr>
              <w:t>Parameter</w:t>
            </w:r>
          </w:p>
        </w:tc>
        <w:tc>
          <w:tcPr>
            <w:tcW w:type="dxa" w:w="2016"/>
            <w:shd w:val="clear" w:color="auto" w:fill="1F3764"/>
          </w:tcPr>
          <w:p>
            <w:pPr>
              <w:spacing w:after="40" w:before="40"/>
            </w:pPr>
            <w:r/>
            <w:r>
              <w:rPr>
                <w:b/>
                <w:color w:val="FFFFFF"/>
                <w:sz w:val="18"/>
              </w:rPr>
              <w:t>Default</w:t>
            </w:r>
          </w:p>
        </w:tc>
        <w:tc>
          <w:tcPr>
            <w:tcW w:type="dxa" w:w="4032"/>
            <w:shd w:val="clear" w:color="auto" w:fill="1F3764"/>
          </w:tcPr>
          <w:p>
            <w:pPr>
              <w:spacing w:after="40" w:before="40"/>
            </w:pPr>
            <w:r/>
            <w:r>
              <w:rPr>
                <w:b/>
                <w:color w:val="FFFFFF"/>
                <w:sz w:val="18"/>
              </w:rPr>
              <w:t>Where</w:t>
            </w:r>
          </w:p>
        </w:tc>
      </w:tr>
      <w:tr>
        <w:tc>
          <w:tcPr>
            <w:tcW w:type="dxa" w:w="3456"/>
          </w:tcPr>
          <w:p>
            <w:pPr>
              <w:spacing w:after="40" w:before="40"/>
            </w:pPr>
            <w:r/>
            <w:r>
              <w:rPr>
                <w:b w:val="0"/>
                <w:sz w:val="18"/>
              </w:rPr>
              <w:t>Cost weight</w:t>
            </w:r>
          </w:p>
        </w:tc>
        <w:tc>
          <w:tcPr>
            <w:tcW w:type="dxa" w:w="2016"/>
          </w:tcPr>
          <w:p>
            <w:pPr>
              <w:spacing w:after="40" w:before="40"/>
            </w:pPr>
            <w:r/>
            <w:r>
              <w:rPr>
                <w:b w:val="0"/>
                <w:sz w:val="18"/>
              </w:rPr>
              <w:t>70%</w:t>
            </w:r>
          </w:p>
        </w:tc>
        <w:tc>
          <w:tcPr>
            <w:tcW w:type="dxa" w:w="4032"/>
          </w:tcPr>
          <w:p>
            <w:pPr>
              <w:spacing w:after="40" w:before="40"/>
            </w:pPr>
            <w:r/>
            <w:r>
              <w:rPr>
                <w:b w:val="0"/>
                <w:sz w:val="18"/>
              </w:rPr>
              <w:t>Optimized scenario score</w:t>
            </w:r>
          </w:p>
        </w:tc>
      </w:tr>
      <w:tr>
        <w:tc>
          <w:tcPr>
            <w:tcW w:type="dxa" w:w="3456"/>
            <w:shd w:val="clear" w:color="auto" w:fill="DCE6F1"/>
          </w:tcPr>
          <w:p>
            <w:pPr>
              <w:spacing w:after="40" w:before="40"/>
            </w:pPr>
            <w:r/>
            <w:r>
              <w:rPr>
                <w:b w:val="0"/>
                <w:sz w:val="18"/>
              </w:rPr>
              <w:t>Performance weight</w:t>
            </w:r>
          </w:p>
        </w:tc>
        <w:tc>
          <w:tcPr>
            <w:tcW w:type="dxa" w:w="2016"/>
            <w:shd w:val="clear" w:color="auto" w:fill="DCE6F1"/>
          </w:tcPr>
          <w:p>
            <w:pPr>
              <w:spacing w:after="40" w:before="40"/>
            </w:pPr>
            <w:r/>
            <w:r>
              <w:rPr>
                <w:b w:val="0"/>
                <w:sz w:val="18"/>
              </w:rPr>
              <w:t>30%</w:t>
            </w:r>
          </w:p>
        </w:tc>
        <w:tc>
          <w:tcPr>
            <w:tcW w:type="dxa" w:w="4032"/>
            <w:shd w:val="clear" w:color="auto" w:fill="DCE6F1"/>
          </w:tcPr>
          <w:p>
            <w:pPr>
              <w:spacing w:after="40" w:before="40"/>
            </w:pPr>
            <w:r/>
            <w:r>
              <w:rPr>
                <w:b w:val="0"/>
                <w:sz w:val="18"/>
              </w:rPr>
              <w:t>Optimized scenario score</w:t>
            </w:r>
          </w:p>
        </w:tc>
      </w:tr>
      <w:tr>
        <w:tc>
          <w:tcPr>
            <w:tcW w:type="dxa" w:w="3456"/>
          </w:tcPr>
          <w:p>
            <w:pPr>
              <w:spacing w:after="40" w:before="40"/>
            </w:pPr>
            <w:r/>
            <w:r>
              <w:rPr>
                <w:b w:val="0"/>
                <w:sz w:val="18"/>
              </w:rPr>
              <w:t>Max growth</w:t>
            </w:r>
          </w:p>
        </w:tc>
        <w:tc>
          <w:tcPr>
            <w:tcW w:type="dxa" w:w="2016"/>
          </w:tcPr>
          <w:p>
            <w:pPr>
              <w:spacing w:after="40" w:before="40"/>
            </w:pPr>
            <w:r/>
            <w:r>
              <w:rPr>
                <w:b w:val="0"/>
                <w:sz w:val="18"/>
              </w:rPr>
              <w:t>30%</w:t>
            </w:r>
          </w:p>
        </w:tc>
        <w:tc>
          <w:tcPr>
            <w:tcW w:type="dxa" w:w="4032"/>
          </w:tcPr>
          <w:p>
            <w:pPr>
              <w:spacing w:after="40" w:before="40"/>
            </w:pPr>
            <w:r/>
            <w:r>
              <w:rPr>
                <w:b w:val="0"/>
                <w:sz w:val="18"/>
              </w:rPr>
              <w:t>Optimized cascading cap</w:t>
            </w:r>
          </w:p>
        </w:tc>
      </w:tr>
      <w:tr>
        <w:tc>
          <w:tcPr>
            <w:tcW w:type="dxa" w:w="3456"/>
            <w:shd w:val="clear" w:color="auto" w:fill="DCE6F1"/>
          </w:tcPr>
          <w:p>
            <w:pPr>
              <w:spacing w:after="40" w:before="40"/>
            </w:pPr>
            <w:r/>
            <w:r>
              <w:rPr>
                <w:b w:val="0"/>
                <w:sz w:val="18"/>
              </w:rPr>
              <w:t>Historical window</w:t>
            </w:r>
          </w:p>
        </w:tc>
        <w:tc>
          <w:tcPr>
            <w:tcW w:type="dxa" w:w="2016"/>
            <w:shd w:val="clear" w:color="auto" w:fill="DCE6F1"/>
          </w:tcPr>
          <w:p>
            <w:pPr>
              <w:spacing w:after="40" w:before="40"/>
            </w:pPr>
            <w:r/>
            <w:r>
              <w:rPr>
                <w:b w:val="0"/>
                <w:sz w:val="18"/>
              </w:rPr>
              <w:t>5 weeks</w:t>
            </w:r>
          </w:p>
        </w:tc>
        <w:tc>
          <w:tcPr>
            <w:tcW w:type="dxa" w:w="4032"/>
            <w:shd w:val="clear" w:color="auto" w:fill="DCE6F1"/>
          </w:tcPr>
          <w:p>
            <w:pPr>
              <w:spacing w:after="40" w:before="40"/>
            </w:pPr>
            <w:r/>
            <w:r>
              <w:rPr>
                <w:b w:val="0"/>
                <w:sz w:val="18"/>
              </w:rPr>
              <w:t>Volume-share baseline</w:t>
            </w:r>
          </w:p>
        </w:tc>
      </w:tr>
      <w:tr>
        <w:tc>
          <w:tcPr>
            <w:tcW w:type="dxa" w:w="3456"/>
          </w:tcPr>
          <w:p>
            <w:pPr>
              <w:spacing w:after="40" w:before="40"/>
            </w:pPr>
            <w:r/>
            <w:r>
              <w:rPr>
                <w:b w:val="0"/>
                <w:sz w:val="18"/>
              </w:rPr>
              <w:t>Lead-time lock</w:t>
            </w:r>
          </w:p>
        </w:tc>
        <w:tc>
          <w:tcPr>
            <w:tcW w:type="dxa" w:w="2016"/>
          </w:tcPr>
          <w:p>
            <w:pPr>
              <w:spacing w:after="40" w:before="40"/>
            </w:pPr>
            <w:r/>
            <w:r>
              <w:rPr>
                <w:b w:val="0"/>
                <w:sz w:val="18"/>
              </w:rPr>
              <w:t>3 days</w:t>
            </w:r>
          </w:p>
        </w:tc>
        <w:tc>
          <w:tcPr>
            <w:tcW w:type="dxa" w:w="4032"/>
          </w:tcPr>
          <w:p>
            <w:pPr>
              <w:spacing w:after="40" w:before="40"/>
            </w:pPr>
            <w:r/>
            <w:r>
              <w:rPr>
                <w:b w:val="0"/>
                <w:sz w:val="18"/>
              </w:rPr>
              <w:t>Freeze before Ocean ETA</w:t>
            </w:r>
          </w:p>
        </w:tc>
      </w:tr>
      <w:tr>
        <w:tc>
          <w:tcPr>
            <w:tcW w:type="dxa" w:w="3456"/>
            <w:shd w:val="clear" w:color="auto" w:fill="DCE6F1"/>
          </w:tcPr>
          <w:p>
            <w:pPr>
              <w:spacing w:after="40" w:before="40"/>
            </w:pPr>
            <w:r/>
            <w:r>
              <w:rPr>
                <w:b w:val="0"/>
                <w:sz w:val="18"/>
              </w:rPr>
              <w:t>Per-vessel cap (PNW)</w:t>
            </w:r>
          </w:p>
        </w:tc>
        <w:tc>
          <w:tcPr>
            <w:tcW w:type="dxa" w:w="2016"/>
            <w:shd w:val="clear" w:color="auto" w:fill="DCE6F1"/>
          </w:tcPr>
          <w:p>
            <w:pPr>
              <w:spacing w:after="40" w:before="40"/>
            </w:pPr>
            <w:r/>
            <w:r>
              <w:rPr>
                <w:b w:val="0"/>
                <w:sz w:val="18"/>
              </w:rPr>
              <w:t>60</w:t>
            </w:r>
          </w:p>
        </w:tc>
        <w:tc>
          <w:tcPr>
            <w:tcW w:type="dxa" w:w="4032"/>
            <w:shd w:val="clear" w:color="auto" w:fill="DCE6F1"/>
          </w:tcPr>
          <w:p>
            <w:pPr>
              <w:spacing w:after="40" w:before="40"/>
            </w:pPr>
            <w:r/>
            <w:r>
              <w:rPr>
                <w:b w:val="0"/>
                <w:sz w:val="18"/>
              </w:rPr>
              <w:t>PNW Rule 2</w:t>
            </w:r>
          </w:p>
        </w:tc>
      </w:tr>
      <w:tr>
        <w:tc>
          <w:tcPr>
            <w:tcW w:type="dxa" w:w="3456"/>
          </w:tcPr>
          <w:p>
            <w:pPr>
              <w:spacing w:after="40" w:before="40"/>
            </w:pPr>
            <w:r/>
            <w:r>
              <w:rPr>
                <w:b w:val="0"/>
                <w:sz w:val="18"/>
              </w:rPr>
              <w:t>JB Hunt weekly (TIW)</w:t>
            </w:r>
          </w:p>
        </w:tc>
        <w:tc>
          <w:tcPr>
            <w:tcW w:type="dxa" w:w="2016"/>
          </w:tcPr>
          <w:p>
            <w:pPr>
              <w:spacing w:after="40" w:before="40"/>
            </w:pPr>
            <w:r/>
            <w:r>
              <w:rPr>
                <w:b w:val="0"/>
                <w:sz w:val="18"/>
              </w:rPr>
              <w:t>130</w:t>
            </w:r>
          </w:p>
        </w:tc>
        <w:tc>
          <w:tcPr>
            <w:tcW w:type="dxa" w:w="4032"/>
          </w:tcPr>
          <w:p>
            <w:pPr>
              <w:spacing w:after="40" w:before="40"/>
            </w:pPr>
            <w:r/>
            <w:r>
              <w:rPr>
                <w:b w:val="0"/>
                <w:sz w:val="18"/>
              </w:rPr>
              <w:t>PNW Rule 1 (Min = Max)</w:t>
            </w:r>
          </w:p>
        </w:tc>
      </w:tr>
      <w:tr>
        <w:tc>
          <w:tcPr>
            <w:tcW w:type="dxa" w:w="3456"/>
            <w:shd w:val="clear" w:color="auto" w:fill="DCE6F1"/>
          </w:tcPr>
          <w:p>
            <w:pPr>
              <w:spacing w:after="40" w:before="40"/>
            </w:pPr>
            <w:r/>
            <w:r>
              <w:rPr>
                <w:b w:val="0"/>
                <w:sz w:val="18"/>
              </w:rPr>
              <w:t>Peel-pile (OAK)</w:t>
            </w:r>
          </w:p>
        </w:tc>
        <w:tc>
          <w:tcPr>
            <w:tcW w:type="dxa" w:w="2016"/>
            <w:shd w:val="clear" w:color="auto" w:fill="DCE6F1"/>
          </w:tcPr>
          <w:p>
            <w:pPr>
              <w:spacing w:after="40" w:before="40"/>
            </w:pPr>
            <w:r/>
            <w:r>
              <w:rPr>
                <w:b w:val="0"/>
                <w:sz w:val="18"/>
              </w:rPr>
              <w:t>30</w:t>
            </w:r>
          </w:p>
        </w:tc>
        <w:tc>
          <w:tcPr>
            <w:tcW w:type="dxa" w:w="4032"/>
            <w:shd w:val="clear" w:color="auto" w:fill="DCE6F1"/>
          </w:tcPr>
          <w:p>
            <w:pPr>
              <w:spacing w:after="40" w:before="40"/>
            </w:pPr>
            <w:r/>
            <w:r>
              <w:rPr>
                <w:b w:val="0"/>
                <w:sz w:val="18"/>
              </w:rPr>
              <w:t>Qualifying threshold</w:t>
            </w:r>
          </w:p>
        </w:tc>
      </w:tr>
      <w:tr>
        <w:tc>
          <w:tcPr>
            <w:tcW w:type="dxa" w:w="3456"/>
          </w:tcPr>
          <w:p>
            <w:pPr>
              <w:spacing w:after="40" w:before="40"/>
            </w:pPr>
            <w:r/>
            <w:r>
              <w:rPr>
                <w:b w:val="0"/>
                <w:sz w:val="18"/>
              </w:rPr>
              <w:t>Peel-pile (PNW default)</w:t>
            </w:r>
          </w:p>
        </w:tc>
        <w:tc>
          <w:tcPr>
            <w:tcW w:type="dxa" w:w="2016"/>
          </w:tcPr>
          <w:p>
            <w:pPr>
              <w:spacing w:after="40" w:before="40"/>
            </w:pPr>
            <w:r/>
            <w:r>
              <w:rPr>
                <w:b w:val="0"/>
                <w:sz w:val="18"/>
              </w:rPr>
              <w:t>80</w:t>
            </w:r>
          </w:p>
        </w:tc>
        <w:tc>
          <w:tcPr>
            <w:tcW w:type="dxa" w:w="4032"/>
          </w:tcPr>
          <w:p>
            <w:pPr>
              <w:spacing w:after="40" w:before="40"/>
            </w:pPr>
            <w:r/>
            <w:r>
              <w:rPr>
                <w:b w:val="0"/>
                <w:sz w:val="18"/>
              </w:rPr>
              <w:t>Qualifying threshold</w:t>
            </w:r>
          </w:p>
        </w:tc>
      </w:tr>
    </w:tbl>
    <w:p/>
    <w:p/>
    <w:p>
      <w:pPr>
        <w:jc w:val="center"/>
      </w:pPr>
      <w:r>
        <w:rPr>
          <w:i/>
          <w:color w:val="555555"/>
          <w:sz w:val="18"/>
        </w:rPr>
        <w:t>Carrier Tender Optimization — Capabilities, Constraints &amp; Freight Allocation Reference. Internal use only. Generated from the codebase.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