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C64" w:rsidRDefault="00E41353">
      <w:pPr>
        <w:spacing w:before="920"/>
        <w:jc w:val="center"/>
        <w:rPr>
          <w:rFonts w:hint="eastAsia"/>
        </w:rPr>
      </w:pPr>
      <w:r>
        <w:rPr>
          <w:rFonts w:ascii="Aptos Display" w:hAnsi="Aptos Display"/>
          <w:b/>
          <w:color w:val="145C46"/>
          <w:sz w:val="68"/>
        </w:rPr>
        <w:t>AGRINOVA</w:t>
      </w:r>
    </w:p>
    <w:p w:rsidR="00AA0C64" w:rsidRDefault="00E41353">
      <w:pPr>
        <w:jc w:val="center"/>
        <w:rPr>
          <w:rFonts w:hint="eastAsia"/>
        </w:rPr>
      </w:pPr>
      <w:r>
        <w:rPr>
          <w:b/>
          <w:color w:val="32464B"/>
          <w:sz w:val="34"/>
        </w:rPr>
        <w:t>Rwanda Agricultural Intelligence Platform</w:t>
      </w:r>
    </w:p>
    <w:p w:rsidR="00AA0C64" w:rsidRDefault="00E41353">
      <w:pPr>
        <w:jc w:val="center"/>
        <w:rPr>
          <w:rFonts w:hint="eastAsia"/>
        </w:rPr>
      </w:pPr>
      <w:r>
        <w:rPr>
          <w:i/>
          <w:color w:val="266F58"/>
          <w:sz w:val="24"/>
        </w:rPr>
        <w:t>Turning Agricultural Data into Better Decisions</w:t>
      </w:r>
    </w:p>
    <w:p w:rsidR="00AA0C64" w:rsidRDefault="00AA0C64">
      <w:pPr>
        <w:rPr>
          <w:rFonts w:hint="eastAsia"/>
        </w:rPr>
      </w:pPr>
    </w:p>
    <w:tbl>
      <w:tblPr>
        <w:tblW w:w="0" w:type="auto"/>
        <w:jc w:val="center"/>
        <w:tblLayout w:type="fixed"/>
        <w:tblLook w:val="04A0" w:firstRow="1" w:lastRow="0" w:firstColumn="1" w:lastColumn="0" w:noHBand="0" w:noVBand="1"/>
      </w:tblPr>
      <w:tblGrid>
        <w:gridCol w:w="4968"/>
        <w:gridCol w:w="4968"/>
      </w:tblGrid>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Competition</w:t>
            </w:r>
          </w:p>
        </w:tc>
        <w:tc>
          <w:tcPr>
            <w:tcW w:w="4968" w:type="dxa"/>
            <w:shd w:val="clear" w:color="auto" w:fill="F0F6F3"/>
            <w:vAlign w:val="center"/>
          </w:tcPr>
          <w:p w:rsidR="00AA0C64" w:rsidRDefault="00E41353">
            <w:pPr>
              <w:spacing w:after="20"/>
              <w:rPr>
                <w:rFonts w:hint="eastAsia"/>
              </w:rPr>
            </w:pPr>
            <w:r>
              <w:rPr>
                <w:sz w:val="18"/>
              </w:rPr>
              <w:t>NISR Big Data Hackathon 2026</w:t>
            </w:r>
          </w:p>
        </w:tc>
      </w:tr>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Track</w:t>
            </w:r>
          </w:p>
        </w:tc>
        <w:tc>
          <w:tcPr>
            <w:tcW w:w="4968" w:type="dxa"/>
            <w:shd w:val="clear" w:color="auto" w:fill="F0F6F3"/>
            <w:vAlign w:val="center"/>
          </w:tcPr>
          <w:p w:rsidR="00AA0C64" w:rsidRDefault="00E41353">
            <w:pPr>
              <w:spacing w:after="20"/>
              <w:rPr>
                <w:rFonts w:hint="eastAsia"/>
              </w:rPr>
            </w:pPr>
            <w:r>
              <w:rPr>
                <w:sz w:val="18"/>
              </w:rPr>
              <w:t>Track 1 — Agricultural Productivity</w:t>
            </w:r>
          </w:p>
        </w:tc>
      </w:tr>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Team</w:t>
            </w:r>
          </w:p>
        </w:tc>
        <w:tc>
          <w:tcPr>
            <w:tcW w:w="4968" w:type="dxa"/>
            <w:shd w:val="clear" w:color="auto" w:fill="F0F6F3"/>
            <w:vAlign w:val="center"/>
          </w:tcPr>
          <w:p w:rsidR="00AA0C64" w:rsidRDefault="00E41353">
            <w:pPr>
              <w:spacing w:after="20"/>
              <w:rPr>
                <w:rFonts w:hint="eastAsia"/>
              </w:rPr>
            </w:pPr>
            <w:r>
              <w:rPr>
                <w:sz w:val="18"/>
              </w:rPr>
              <w:t>HAICO — Harvest Analytics, Innovation, Climate &amp; Opportunity</w:t>
            </w:r>
          </w:p>
        </w:tc>
      </w:tr>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Project type</w:t>
            </w:r>
          </w:p>
        </w:tc>
        <w:tc>
          <w:tcPr>
            <w:tcW w:w="4968" w:type="dxa"/>
            <w:shd w:val="clear" w:color="auto" w:fill="F0F6F3"/>
            <w:vAlign w:val="center"/>
          </w:tcPr>
          <w:p w:rsidR="00AA0C64" w:rsidRDefault="00E41353">
            <w:pPr>
              <w:spacing w:after="20"/>
              <w:rPr>
                <w:rFonts w:hint="eastAsia"/>
              </w:rPr>
            </w:pPr>
            <w:r>
              <w:rPr>
                <w:sz w:val="18"/>
              </w:rPr>
              <w:t>Data-driven web platform / decision-support prototype</w:t>
            </w:r>
          </w:p>
        </w:tc>
      </w:tr>
    </w:tbl>
    <w:p w:rsidR="00AA0C64" w:rsidRDefault="00AA0C64">
      <w:pPr>
        <w:rPr>
          <w:rFonts w:hint="eastAsia"/>
        </w:rPr>
      </w:pPr>
    </w:p>
    <w:p w:rsidR="00AA0C64" w:rsidRDefault="00E41353">
      <w:pPr>
        <w:jc w:val="center"/>
        <w:rPr>
          <w:rFonts w:hint="eastAsia"/>
        </w:rPr>
      </w:pPr>
      <w:r>
        <w:rPr>
          <w:color w:val="5F696E"/>
          <w:sz w:val="18"/>
        </w:rPr>
        <w:t>Prepared for project development and hackathon submission</w:t>
      </w:r>
    </w:p>
    <w:p w:rsidR="00AA0C64" w:rsidRDefault="00E41353">
      <w:pPr>
        <w:jc w:val="center"/>
        <w:rPr>
          <w:rFonts w:hint="eastAsia"/>
        </w:rPr>
      </w:pPr>
      <w:r>
        <w:rPr>
          <w:color w:val="5F696E"/>
          <w:sz w:val="18"/>
        </w:rPr>
        <w:t>Version 1.0  |  23 October 2026</w:t>
      </w:r>
    </w:p>
    <w:p w:rsidR="00AA0C64" w:rsidRDefault="00E41353">
      <w:pPr>
        <w:rPr>
          <w:rFonts w:hint="eastAsia"/>
        </w:rPr>
      </w:pPr>
      <w:r>
        <w:br w:type="page"/>
      </w:r>
    </w:p>
    <w:p w:rsidR="00AA0C64" w:rsidRDefault="00E41353">
      <w:pPr>
        <w:pStyle w:val="Heading1"/>
      </w:pPr>
      <w:r>
        <w:lastRenderedPageBreak/>
        <w:t>1. Executive Summary</w:t>
      </w:r>
    </w:p>
    <w:p w:rsidR="00AA0C64" w:rsidRDefault="00E41353">
      <w:pPr>
        <w:rPr>
          <w:rFonts w:hint="eastAsia"/>
        </w:rPr>
      </w:pPr>
      <w:r>
        <w:t>AgriNova is a proposed data-driven agricultural intelligence platform designed to turn official agricultural statistics into practical, location-specific insights for Rwanda. It will help users explore agricultural indicators by province, district, season, and crop, then compare patterns in cultivated area, production, yield, and selected farming practices. The platform is designed to support evidence-informed decisions by farmers’ support organisations, agricultural planners, researchers, and policymakers.</w:t>
      </w:r>
    </w:p>
    <w:p w:rsidR="00AA0C64" w:rsidRDefault="00E41353">
      <w:pPr>
        <w:pStyle w:val="Heading1"/>
      </w:pPr>
      <w:bookmarkStart w:id="0" w:name="_GoBack"/>
      <w:bookmarkEnd w:id="0"/>
      <w:r>
        <w:t>2. Problem Statement</w:t>
      </w:r>
    </w:p>
    <w:p w:rsidR="00AA0C64" w:rsidRDefault="00E41353">
      <w:pPr>
        <w:rPr>
          <w:rFonts w:hint="eastAsia"/>
        </w:rPr>
      </w:pPr>
      <w:r>
        <w:t>Agricultural statistics can be difficult to translate into timely, local decisions when information is spread across reports, tables, and datasets. Users may need to compare districts, seasons, and crops to identify where productivity is relatively high or low and where further investigation may be useful. AgriNova addresses this information-to-action gap by organising verified data into a single exploratory platform.</w:t>
      </w:r>
    </w:p>
    <w:p w:rsidR="00AA0C64" w:rsidRDefault="00E41353">
      <w:pPr>
        <w:pStyle w:val="Heading1"/>
      </w:pPr>
      <w:r>
        <w:t>3. Proposed Solution</w:t>
      </w:r>
    </w:p>
    <w:p w:rsidR="00AA0C64" w:rsidRDefault="00E41353">
      <w:pPr>
        <w:rPr>
          <w:rFonts w:hint="eastAsia"/>
        </w:rPr>
      </w:pPr>
      <w:r>
        <w:t>AgriNova will provide an interactive dashboard that allows users to filter official agricultural indicators and compare results across geographic areas, seasons, and crops. Its insight panel will summarise patterns visible in the selected data and flag questions that local experts or decision-makers may investigate.</w:t>
      </w:r>
    </w:p>
    <w:p w:rsidR="00AA0C64" w:rsidRDefault="00E41353">
      <w:pPr>
        <w:pStyle w:val="ListBullet"/>
        <w:spacing w:after="60"/>
        <w:rPr>
          <w:rFonts w:hint="eastAsia"/>
        </w:rPr>
      </w:pPr>
      <w:r>
        <w:t>National overview: headline indicators and broad comparisons.</w:t>
      </w:r>
    </w:p>
    <w:p w:rsidR="00AA0C64" w:rsidRDefault="00E41353">
      <w:pPr>
        <w:pStyle w:val="ListBullet"/>
        <w:spacing w:after="60"/>
        <w:rPr>
          <w:rFonts w:hint="eastAsia"/>
        </w:rPr>
      </w:pPr>
      <w:r>
        <w:t>Province and district explorer: compare agricultural outcomes across Rwanda’s five provinces and 30 districts, where the source data support those breakdowns.</w:t>
      </w:r>
    </w:p>
    <w:p w:rsidR="00AA0C64" w:rsidRDefault="00E41353">
      <w:pPr>
        <w:pStyle w:val="ListBullet"/>
        <w:spacing w:after="60"/>
        <w:rPr>
          <w:rFonts w:hint="eastAsia"/>
        </w:rPr>
      </w:pPr>
      <w:r>
        <w:t>Season and crop analysis: explore Season A, Season B, and Season C separately, with crop-level detail when available.</w:t>
      </w:r>
    </w:p>
    <w:p w:rsidR="00AA0C64" w:rsidRDefault="00E41353">
      <w:pPr>
        <w:pStyle w:val="ListBullet"/>
        <w:spacing w:after="60"/>
        <w:rPr>
          <w:rFonts w:hint="eastAsia"/>
        </w:rPr>
      </w:pPr>
      <w:r>
        <w:t>Productivity indicators: cultivated area, production, and yield; yield will be calculated only when the required source fields and units are consistent.</w:t>
      </w:r>
    </w:p>
    <w:p w:rsidR="00AA0C64" w:rsidRDefault="00E41353">
      <w:pPr>
        <w:pStyle w:val="ListBullet"/>
        <w:spacing w:after="60"/>
        <w:rPr>
          <w:rFonts w:hint="eastAsia"/>
        </w:rPr>
      </w:pPr>
      <w:r>
        <w:t>Practice indicators: selected measures such as fertiliser use or irrigation, if the relevant official dataset provides them.</w:t>
      </w:r>
    </w:p>
    <w:p w:rsidR="00AA0C64" w:rsidRDefault="00E41353">
      <w:pPr>
        <w:pStyle w:val="ListBullet"/>
        <w:spacing w:after="60"/>
        <w:rPr>
          <w:rFonts w:hint="eastAsia"/>
        </w:rPr>
      </w:pPr>
      <w:r>
        <w:t>AgriNova Insights: concise, data-supported observations and follow-up questions rather than unsupported causal claims.</w:t>
      </w:r>
    </w:p>
    <w:p w:rsidR="00AA0C64" w:rsidRDefault="00E41353">
      <w:pPr>
        <w:pStyle w:val="Heading1"/>
      </w:pPr>
      <w:r>
        <w:t>4. Objectives</w:t>
      </w:r>
    </w:p>
    <w:p w:rsidR="00AA0C64" w:rsidRDefault="00E41353">
      <w:pPr>
        <w:pStyle w:val="ListNumber"/>
        <w:spacing w:after="60"/>
        <w:rPr>
          <w:rFonts w:hint="eastAsia"/>
        </w:rPr>
      </w:pPr>
      <w:r>
        <w:t>Make official agricultural statistics easier to explore and interpret.</w:t>
      </w:r>
    </w:p>
    <w:p w:rsidR="00AA0C64" w:rsidRDefault="00E41353">
      <w:pPr>
        <w:pStyle w:val="ListNumber"/>
        <w:spacing w:after="60"/>
        <w:rPr>
          <w:rFonts w:hint="eastAsia"/>
        </w:rPr>
      </w:pPr>
      <w:r>
        <w:t>Enable district-, season-, and crop-level comparisons using verified data.</w:t>
      </w:r>
    </w:p>
    <w:p w:rsidR="00AA0C64" w:rsidRDefault="00E41353">
      <w:pPr>
        <w:pStyle w:val="ListNumber"/>
        <w:spacing w:after="60"/>
        <w:rPr>
          <w:rFonts w:hint="eastAsia"/>
        </w:rPr>
      </w:pPr>
      <w:r>
        <w:t>Highlight productivity patterns and areas that may merit further research or targeted support.</w:t>
      </w:r>
    </w:p>
    <w:p w:rsidR="00AA0C64" w:rsidRDefault="00E41353">
      <w:pPr>
        <w:pStyle w:val="ListNumber"/>
        <w:spacing w:after="60"/>
        <w:rPr>
          <w:rFonts w:hint="eastAsia"/>
        </w:rPr>
      </w:pPr>
      <w:r>
        <w:t>Demonstrate a usable web prototype with clear visualisations and documented methods.</w:t>
      </w:r>
    </w:p>
    <w:p w:rsidR="00AA0C64" w:rsidRDefault="00E41353">
      <w:pPr>
        <w:pStyle w:val="ListNumber"/>
        <w:spacing w:after="60"/>
        <w:rPr>
          <w:rFonts w:hint="eastAsia"/>
        </w:rPr>
      </w:pPr>
      <w:r>
        <w:t>Support evidence-based agricultural planning in line with Rwanda’s development priorities.</w:t>
      </w:r>
    </w:p>
    <w:p w:rsidR="00AA0C64" w:rsidRDefault="00E41353">
      <w:pPr>
        <w:pStyle w:val="Heading1"/>
      </w:pPr>
      <w:r>
        <w:t>5. Target Users and Expected Value</w:t>
      </w:r>
    </w:p>
    <w:tbl>
      <w:tblPr>
        <w:tblW w:w="0" w:type="auto"/>
        <w:jc w:val="center"/>
        <w:tblLook w:val="04A0" w:firstRow="1" w:lastRow="0" w:firstColumn="1" w:lastColumn="0" w:noHBand="0" w:noVBand="1"/>
      </w:tblPr>
      <w:tblGrid>
        <w:gridCol w:w="4968"/>
        <w:gridCol w:w="4968"/>
      </w:tblGrid>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Target user</w:t>
            </w:r>
          </w:p>
        </w:tc>
        <w:tc>
          <w:tcPr>
            <w:tcW w:w="4968" w:type="dxa"/>
            <w:shd w:val="clear" w:color="auto" w:fill="145C46"/>
            <w:vAlign w:val="center"/>
          </w:tcPr>
          <w:p w:rsidR="00AA0C64" w:rsidRDefault="00E41353">
            <w:pPr>
              <w:spacing w:after="20"/>
              <w:rPr>
                <w:rFonts w:hint="eastAsia"/>
              </w:rPr>
            </w:pPr>
            <w:r>
              <w:rPr>
                <w:b/>
                <w:color w:val="FFFFFF"/>
                <w:sz w:val="18"/>
              </w:rPr>
              <w:t>Potential value</w:t>
            </w:r>
          </w:p>
        </w:tc>
      </w:tr>
      <w:tr w:rsidR="00AA0C64">
        <w:trPr>
          <w:jc w:val="center"/>
        </w:trPr>
        <w:tc>
          <w:tcPr>
            <w:tcW w:w="4968" w:type="dxa"/>
            <w:vAlign w:val="center"/>
          </w:tcPr>
          <w:p w:rsidR="00AA0C64" w:rsidRDefault="00E41353">
            <w:pPr>
              <w:spacing w:after="20"/>
              <w:rPr>
                <w:rFonts w:hint="eastAsia"/>
              </w:rPr>
            </w:pPr>
            <w:r>
              <w:rPr>
                <w:b/>
                <w:sz w:val="18"/>
              </w:rPr>
              <w:t>Agricultural planners and policymakers</w:t>
            </w:r>
          </w:p>
        </w:tc>
        <w:tc>
          <w:tcPr>
            <w:tcW w:w="4968" w:type="dxa"/>
            <w:vAlign w:val="center"/>
          </w:tcPr>
          <w:p w:rsidR="00AA0C64" w:rsidRDefault="00E41353">
            <w:pPr>
              <w:spacing w:after="20"/>
              <w:rPr>
                <w:rFonts w:hint="eastAsia"/>
              </w:rPr>
            </w:pPr>
            <w:r>
              <w:rPr>
                <w:sz w:val="18"/>
              </w:rPr>
              <w:t>Compare locations and seasons to help prioritise further assessment and planning.</w:t>
            </w:r>
          </w:p>
        </w:tc>
      </w:tr>
      <w:tr w:rsidR="00AA0C64">
        <w:trPr>
          <w:jc w:val="center"/>
        </w:trPr>
        <w:tc>
          <w:tcPr>
            <w:tcW w:w="4968" w:type="dxa"/>
            <w:vAlign w:val="center"/>
          </w:tcPr>
          <w:p w:rsidR="00AA0C64" w:rsidRDefault="00E41353">
            <w:pPr>
              <w:spacing w:after="20"/>
              <w:rPr>
                <w:rFonts w:hint="eastAsia"/>
              </w:rPr>
            </w:pPr>
            <w:r>
              <w:rPr>
                <w:b/>
                <w:sz w:val="18"/>
              </w:rPr>
              <w:t>Agricultural extension and farmer-support organisations</w:t>
            </w:r>
          </w:p>
        </w:tc>
        <w:tc>
          <w:tcPr>
            <w:tcW w:w="4968" w:type="dxa"/>
            <w:vAlign w:val="center"/>
          </w:tcPr>
          <w:p w:rsidR="00AA0C64" w:rsidRDefault="00E41353">
            <w:pPr>
              <w:spacing w:after="20"/>
              <w:rPr>
                <w:rFonts w:hint="eastAsia"/>
              </w:rPr>
            </w:pPr>
            <w:r>
              <w:rPr>
                <w:sz w:val="18"/>
              </w:rPr>
              <w:t>Use local patterns to guide questions, outreach, and follow-up support.</w:t>
            </w:r>
          </w:p>
        </w:tc>
      </w:tr>
      <w:tr w:rsidR="00AA0C64">
        <w:trPr>
          <w:jc w:val="center"/>
        </w:trPr>
        <w:tc>
          <w:tcPr>
            <w:tcW w:w="4968" w:type="dxa"/>
            <w:vAlign w:val="center"/>
          </w:tcPr>
          <w:p w:rsidR="00AA0C64" w:rsidRDefault="00E41353">
            <w:pPr>
              <w:spacing w:after="20"/>
              <w:rPr>
                <w:rFonts w:hint="eastAsia"/>
              </w:rPr>
            </w:pPr>
            <w:r>
              <w:rPr>
                <w:b/>
                <w:sz w:val="18"/>
              </w:rPr>
              <w:t>Researchers and students</w:t>
            </w:r>
          </w:p>
        </w:tc>
        <w:tc>
          <w:tcPr>
            <w:tcW w:w="4968" w:type="dxa"/>
            <w:vAlign w:val="center"/>
          </w:tcPr>
          <w:p w:rsidR="00AA0C64" w:rsidRDefault="00E41353">
            <w:pPr>
              <w:spacing w:after="20"/>
              <w:rPr>
                <w:rFonts w:hint="eastAsia"/>
              </w:rPr>
            </w:pPr>
            <w:r>
              <w:rPr>
                <w:sz w:val="18"/>
              </w:rPr>
              <w:t>Explore agricultural indicators and develop evidence-based research questions.</w:t>
            </w:r>
          </w:p>
        </w:tc>
      </w:tr>
      <w:tr w:rsidR="00AA0C64">
        <w:trPr>
          <w:jc w:val="center"/>
        </w:trPr>
        <w:tc>
          <w:tcPr>
            <w:tcW w:w="4968" w:type="dxa"/>
            <w:vAlign w:val="center"/>
          </w:tcPr>
          <w:p w:rsidR="00AA0C64" w:rsidRDefault="00E41353">
            <w:pPr>
              <w:spacing w:after="20"/>
              <w:rPr>
                <w:rFonts w:hint="eastAsia"/>
              </w:rPr>
            </w:pPr>
            <w:r>
              <w:rPr>
                <w:b/>
                <w:sz w:val="18"/>
              </w:rPr>
              <w:t>Development partners and analysts</w:t>
            </w:r>
          </w:p>
        </w:tc>
        <w:tc>
          <w:tcPr>
            <w:tcW w:w="4968" w:type="dxa"/>
            <w:vAlign w:val="center"/>
          </w:tcPr>
          <w:p w:rsidR="00AA0C64" w:rsidRDefault="00E41353">
            <w:pPr>
              <w:spacing w:after="20"/>
              <w:rPr>
                <w:rFonts w:hint="eastAsia"/>
              </w:rPr>
            </w:pPr>
            <w:r>
              <w:rPr>
                <w:sz w:val="18"/>
              </w:rPr>
              <w:t xml:space="preserve">Review geographic and seasonal patterns using a consistent </w:t>
            </w:r>
            <w:r>
              <w:rPr>
                <w:sz w:val="18"/>
              </w:rPr>
              <w:lastRenderedPageBreak/>
              <w:t>interface.</w:t>
            </w:r>
          </w:p>
        </w:tc>
      </w:tr>
    </w:tbl>
    <w:p w:rsidR="00AA0C64" w:rsidRDefault="00E41353">
      <w:pPr>
        <w:pStyle w:val="Heading1"/>
      </w:pPr>
      <w:r>
        <w:lastRenderedPageBreak/>
        <w:t>6. Data Sources and Data Governance</w:t>
      </w:r>
    </w:p>
    <w:p w:rsidR="00AA0C64" w:rsidRDefault="00E41353">
      <w:pPr>
        <w:rPr>
          <w:rFonts w:hint="eastAsia"/>
        </w:rPr>
      </w:pPr>
      <w:r>
        <w:t>Primary source: National Institute of Statistics of Rwanda (NISR), especially the Seasonal Agricultural Survey (SAS) and relevant 2025 annual or seasonal reports and datasets. Additional public agricultural, food-security, soil, or climate data may be considered where they are relevant, documented, and compatible with the analysis.</w:t>
      </w:r>
    </w:p>
    <w:p w:rsidR="00AA0C64" w:rsidRDefault="00E41353">
      <w:pPr>
        <w:pStyle w:val="ListBullet"/>
        <w:spacing w:after="60"/>
        <w:rPr>
          <w:rFonts w:hint="eastAsia"/>
        </w:rPr>
      </w:pPr>
      <w:r>
        <w:t>Use the original source files and preserve source names, survey season, reference period, units, and geographic identifiers.</w:t>
      </w:r>
    </w:p>
    <w:p w:rsidR="00AA0C64" w:rsidRDefault="00E41353">
      <w:pPr>
        <w:pStyle w:val="ListBullet"/>
        <w:spacing w:after="60"/>
        <w:rPr>
          <w:rFonts w:hint="eastAsia"/>
        </w:rPr>
      </w:pPr>
      <w:r>
        <w:t>Check the dataset documentation, variable definitions, missing values, sample design, and level of statistical representativeness before analysis.</w:t>
      </w:r>
    </w:p>
    <w:p w:rsidR="00AA0C64" w:rsidRDefault="00E41353">
      <w:pPr>
        <w:pStyle w:val="ListBullet"/>
        <w:spacing w:after="60"/>
        <w:rPr>
          <w:rFonts w:hint="eastAsia"/>
        </w:rPr>
      </w:pPr>
      <w:r>
        <w:t>Do not assume every indicator is available for every district, crop, or season. Display only breakdowns supported by the source.</w:t>
      </w:r>
    </w:p>
    <w:p w:rsidR="00AA0C64" w:rsidRDefault="00E41353">
      <w:pPr>
        <w:pStyle w:val="ListBullet"/>
        <w:spacing w:after="60"/>
        <w:rPr>
          <w:rFonts w:hint="eastAsia"/>
        </w:rPr>
      </w:pPr>
      <w:r>
        <w:t>Do not publish confidential microdata or data restricted by the source provider. Follow NISR’s access and usage terms.</w:t>
      </w:r>
    </w:p>
    <w:p w:rsidR="00AA0C64" w:rsidRDefault="00E41353">
      <w:pPr>
        <w:pStyle w:val="ListBullet"/>
        <w:spacing w:after="60"/>
        <w:rPr>
          <w:rFonts w:hint="eastAsia"/>
        </w:rPr>
      </w:pPr>
      <w:r>
        <w:t>Clearly label any demonstration or synthetic records. Never present placeholder data as official NISR statistics.</w:t>
      </w:r>
    </w:p>
    <w:p w:rsidR="00AA0C64" w:rsidRDefault="00E41353">
      <w:pPr>
        <w:pStyle w:val="ListBullet"/>
        <w:spacing w:after="60"/>
        <w:rPr>
          <w:rFonts w:hint="eastAsia"/>
        </w:rPr>
      </w:pPr>
      <w:r>
        <w:t>Cite each dataset/report in the application and README, including the title, year, publisher, and direct URL.</w:t>
      </w:r>
    </w:p>
    <w:p w:rsidR="00AA0C64" w:rsidRDefault="00E41353">
      <w:pPr>
        <w:pStyle w:val="Heading1"/>
      </w:pPr>
      <w:r>
        <w:t>7. Analytical Methodology</w:t>
      </w:r>
    </w:p>
    <w:p w:rsidR="00AA0C64" w:rsidRDefault="00E41353" w:rsidP="003B287F">
      <w:pPr>
        <w:pStyle w:val="ListNumber"/>
        <w:numPr>
          <w:ilvl w:val="0"/>
          <w:numId w:val="11"/>
        </w:numPr>
        <w:spacing w:after="60"/>
        <w:rPr>
          <w:rFonts w:hint="eastAsia"/>
        </w:rPr>
      </w:pPr>
      <w:r>
        <w:t>Acquire: download the relevant official dataset and its metadata/documentation.</w:t>
      </w:r>
    </w:p>
    <w:p w:rsidR="00AA0C64" w:rsidRDefault="00E41353" w:rsidP="003B287F">
      <w:pPr>
        <w:pStyle w:val="ListNumber"/>
        <w:numPr>
          <w:ilvl w:val="0"/>
          <w:numId w:val="11"/>
        </w:numPr>
        <w:spacing w:after="60"/>
        <w:rPr>
          <w:rFonts w:hint="eastAsia"/>
        </w:rPr>
      </w:pPr>
      <w:r>
        <w:t>Inspect: identify geographic, season, crop, area, production, yield, and practice variables that are actually present.</w:t>
      </w:r>
    </w:p>
    <w:p w:rsidR="00AA0C64" w:rsidRDefault="00E41353" w:rsidP="003B287F">
      <w:pPr>
        <w:pStyle w:val="ListNumber"/>
        <w:numPr>
          <w:ilvl w:val="0"/>
          <w:numId w:val="11"/>
        </w:numPr>
        <w:spacing w:after="60"/>
        <w:rPr>
          <w:rFonts w:hint="eastAsia"/>
        </w:rPr>
      </w:pPr>
      <w:r>
        <w:t>Clean: standardise names and units; validate missing values, duplicates, inconsistent categories, and outliers without silently deleting valid observations.</w:t>
      </w:r>
    </w:p>
    <w:p w:rsidR="00AA0C64" w:rsidRDefault="00E41353" w:rsidP="003B287F">
      <w:pPr>
        <w:pStyle w:val="ListNumber"/>
        <w:numPr>
          <w:ilvl w:val="0"/>
          <w:numId w:val="11"/>
        </w:numPr>
        <w:spacing w:after="60"/>
        <w:rPr>
          <w:rFonts w:hint="eastAsia"/>
        </w:rPr>
      </w:pPr>
      <w:r>
        <w:t>Transform: create consistent province/district/season/crop fields where supported by source identifiers.</w:t>
      </w:r>
    </w:p>
    <w:p w:rsidR="00AA0C64" w:rsidRDefault="00E41353" w:rsidP="003B287F">
      <w:pPr>
        <w:pStyle w:val="ListNumber"/>
        <w:numPr>
          <w:ilvl w:val="0"/>
          <w:numId w:val="11"/>
        </w:numPr>
        <w:spacing w:after="60"/>
        <w:rPr>
          <w:rFonts w:hint="eastAsia"/>
        </w:rPr>
      </w:pPr>
      <w:r>
        <w:t>Calculate: compute derived measures such as yield only when the definition and units are appropriate; document the formula.</w:t>
      </w:r>
    </w:p>
    <w:p w:rsidR="00AA0C64" w:rsidRDefault="00E41353" w:rsidP="003B287F">
      <w:pPr>
        <w:pStyle w:val="ListNumber"/>
        <w:numPr>
          <w:ilvl w:val="0"/>
          <w:numId w:val="11"/>
        </w:numPr>
        <w:spacing w:after="60"/>
        <w:rPr>
          <w:rFonts w:hint="eastAsia"/>
        </w:rPr>
      </w:pPr>
      <w:r>
        <w:t>Analyse: compare observed values across selected locations, seasons, and crops; report sample coverage and limitations.</w:t>
      </w:r>
    </w:p>
    <w:p w:rsidR="00AA0C64" w:rsidRDefault="00E41353" w:rsidP="003B287F">
      <w:pPr>
        <w:pStyle w:val="ListNumber"/>
        <w:numPr>
          <w:ilvl w:val="0"/>
          <w:numId w:val="11"/>
        </w:numPr>
        <w:spacing w:after="60"/>
        <w:rPr>
          <w:rFonts w:hint="eastAsia"/>
        </w:rPr>
      </w:pPr>
      <w:r>
        <w:t>Visualise: use clear charts, summary metrics, filters, and tables with source notes.</w:t>
      </w:r>
    </w:p>
    <w:p w:rsidR="00AA0C64" w:rsidRDefault="00E41353" w:rsidP="003B287F">
      <w:pPr>
        <w:pStyle w:val="ListNumber"/>
        <w:numPr>
          <w:ilvl w:val="0"/>
          <w:numId w:val="11"/>
        </w:numPr>
        <w:spacing w:after="60"/>
        <w:rPr>
          <w:rFonts w:hint="eastAsia"/>
        </w:rPr>
      </w:pPr>
      <w:r>
        <w:t>Validate: cross-check key outputs against published NISR tables or official totals before release.</w:t>
      </w:r>
    </w:p>
    <w:p w:rsidR="00AA0C64" w:rsidRDefault="00E41353">
      <w:pPr>
        <w:pStyle w:val="Heading1"/>
      </w:pPr>
      <w:r>
        <w:t>8. Platform Design and User Journey</w:t>
      </w:r>
    </w:p>
    <w:p w:rsidR="00AA0C64" w:rsidRDefault="00E41353">
      <w:pPr>
        <w:rPr>
          <w:rFonts w:hint="eastAsia"/>
        </w:rPr>
      </w:pPr>
      <w:r>
        <w:t>The planned user journey is: DATA → INSIGHT → RECOMMENDATION FOR FURTHER ACTION → REVIEW.</w:t>
      </w:r>
    </w:p>
    <w:p w:rsidR="00AA0C64" w:rsidRDefault="00E41353">
      <w:pPr>
        <w:pStyle w:val="ListBullet"/>
        <w:spacing w:after="60"/>
        <w:rPr>
          <w:rFonts w:hint="eastAsia"/>
        </w:rPr>
      </w:pPr>
      <w:r>
        <w:t>National Overview — a concise view of selected national indicators.</w:t>
      </w:r>
    </w:p>
    <w:p w:rsidR="00AA0C64" w:rsidRDefault="00E41353">
      <w:pPr>
        <w:pStyle w:val="ListBullet"/>
        <w:spacing w:after="60"/>
        <w:rPr>
          <w:rFonts w:hint="eastAsia"/>
        </w:rPr>
      </w:pPr>
      <w:r>
        <w:t>Province Analysis — comparisons across provinces.</w:t>
      </w:r>
    </w:p>
    <w:p w:rsidR="00AA0C64" w:rsidRDefault="00E41353">
      <w:pPr>
        <w:pStyle w:val="ListBullet"/>
        <w:spacing w:after="60"/>
        <w:rPr>
          <w:rFonts w:hint="eastAsia"/>
        </w:rPr>
      </w:pPr>
      <w:r>
        <w:t>District Explorer — district-level comparisons with source coverage clearly shown.</w:t>
      </w:r>
    </w:p>
    <w:p w:rsidR="00AA0C64" w:rsidRDefault="00E41353">
      <w:pPr>
        <w:pStyle w:val="ListBullet"/>
        <w:spacing w:after="60"/>
        <w:rPr>
          <w:rFonts w:hint="eastAsia"/>
        </w:rPr>
      </w:pPr>
      <w:r>
        <w:t>Season &amp; Crop Analysis — filters for Season A/B/C and crop, where available.</w:t>
      </w:r>
    </w:p>
    <w:p w:rsidR="00AA0C64" w:rsidRDefault="00E41353">
      <w:pPr>
        <w:pStyle w:val="ListBullet"/>
        <w:spacing w:after="60"/>
        <w:rPr>
          <w:rFonts w:hint="eastAsia"/>
        </w:rPr>
      </w:pPr>
      <w:r>
        <w:t>AgriNova Insights — plain-English summaries of observed patterns and suggested follow-up questions.</w:t>
      </w:r>
    </w:p>
    <w:p w:rsidR="00AA0C64" w:rsidRDefault="00E41353">
      <w:pPr>
        <w:rPr>
          <w:rFonts w:hint="eastAsia"/>
        </w:rPr>
      </w:pPr>
      <w:r>
        <w:t>Recommended prototype stack: Python, Streamlit, pandas, and Plotly. The application can be version-controlled on GitHub and deployed using a compatible hosting service. The final public GitHub repository and deployed app URL must be inserted after they are created and tested.</w:t>
      </w:r>
    </w:p>
    <w:p w:rsidR="00AA0C64" w:rsidRDefault="00E41353">
      <w:pPr>
        <w:pStyle w:val="Heading1"/>
      </w:pPr>
      <w:r>
        <w:t>9. Innovation and Differentiation</w:t>
      </w:r>
    </w:p>
    <w:p w:rsidR="00AA0C64" w:rsidRDefault="00E41353">
      <w:pPr>
        <w:pStyle w:val="ListBullet"/>
        <w:spacing w:after="60"/>
        <w:rPr>
          <w:rFonts w:hint="eastAsia"/>
        </w:rPr>
      </w:pPr>
      <w:r>
        <w:t>Combines geographic, seasonal, and crop-level exploration in one practical interface.</w:t>
      </w:r>
    </w:p>
    <w:p w:rsidR="00AA0C64" w:rsidRDefault="00E41353">
      <w:pPr>
        <w:pStyle w:val="ListBullet"/>
        <w:spacing w:after="60"/>
        <w:rPr>
          <w:rFonts w:hint="eastAsia"/>
        </w:rPr>
      </w:pPr>
      <w:r>
        <w:lastRenderedPageBreak/>
        <w:t>Translates statistical tables into simple visual comparisons and readable insights.</w:t>
      </w:r>
    </w:p>
    <w:p w:rsidR="00AA0C64" w:rsidRDefault="00E41353">
      <w:pPr>
        <w:pStyle w:val="ListBullet"/>
        <w:spacing w:after="60"/>
        <w:rPr>
          <w:rFonts w:hint="eastAsia"/>
        </w:rPr>
      </w:pPr>
      <w:r>
        <w:t>Keeps official statistics and source citations central to the product.</w:t>
      </w:r>
    </w:p>
    <w:p w:rsidR="00AA0C64" w:rsidRDefault="00E41353">
      <w:pPr>
        <w:pStyle w:val="ListBullet"/>
        <w:spacing w:after="60"/>
        <w:rPr>
          <w:rFonts w:hint="eastAsia"/>
        </w:rPr>
      </w:pPr>
      <w:r>
        <w:t>Can later integrate soil and climate information to support richer investigations, subject to data availability and validation.</w:t>
      </w:r>
    </w:p>
    <w:p w:rsidR="00AA0C64" w:rsidRDefault="00E41353">
      <w:pPr>
        <w:pStyle w:val="ListBullet"/>
        <w:spacing w:after="60"/>
        <w:rPr>
          <w:rFonts w:hint="eastAsia"/>
        </w:rPr>
      </w:pPr>
      <w:r>
        <w:t>Provides a foundation for future alerts or predictive features, but prediction will be added only if suitable data and validation are available.</w:t>
      </w:r>
    </w:p>
    <w:p w:rsidR="00AA0C64" w:rsidRDefault="00E41353">
      <w:pPr>
        <w:pStyle w:val="Heading1"/>
      </w:pPr>
      <w:r>
        <w:t>10. Expected Impact and Measurement</w:t>
      </w:r>
    </w:p>
    <w:p w:rsidR="00AA0C64" w:rsidRDefault="00E41353">
      <w:pPr>
        <w:rPr>
          <w:rFonts w:hint="eastAsia"/>
        </w:rPr>
      </w:pPr>
      <w:r>
        <w:t>AgriNova’s initial impact is improved access to and interpretation of agricultural evidence—not a claim that the platform alone increases farm yields. Potential impact will be assessed through usability testing and evidence of correct data interpretation.</w:t>
      </w:r>
    </w:p>
    <w:tbl>
      <w:tblPr>
        <w:tblW w:w="0" w:type="auto"/>
        <w:jc w:val="center"/>
        <w:tblLook w:val="04A0" w:firstRow="1" w:lastRow="0" w:firstColumn="1" w:lastColumn="0" w:noHBand="0" w:noVBand="1"/>
      </w:tblPr>
      <w:tblGrid>
        <w:gridCol w:w="4968"/>
        <w:gridCol w:w="4968"/>
      </w:tblGrid>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Measure</w:t>
            </w:r>
          </w:p>
        </w:tc>
        <w:tc>
          <w:tcPr>
            <w:tcW w:w="4968" w:type="dxa"/>
            <w:shd w:val="clear" w:color="auto" w:fill="145C46"/>
            <w:vAlign w:val="center"/>
          </w:tcPr>
          <w:p w:rsidR="00AA0C64" w:rsidRDefault="00E41353">
            <w:pPr>
              <w:spacing w:after="20"/>
              <w:rPr>
                <w:rFonts w:hint="eastAsia"/>
              </w:rPr>
            </w:pPr>
            <w:r>
              <w:rPr>
                <w:b/>
                <w:color w:val="FFFFFF"/>
                <w:sz w:val="18"/>
              </w:rPr>
              <w:t>How it will be checked</w:t>
            </w:r>
          </w:p>
        </w:tc>
      </w:tr>
      <w:tr w:rsidR="00AA0C64">
        <w:trPr>
          <w:jc w:val="center"/>
        </w:trPr>
        <w:tc>
          <w:tcPr>
            <w:tcW w:w="4968" w:type="dxa"/>
            <w:vAlign w:val="center"/>
          </w:tcPr>
          <w:p w:rsidR="00AA0C64" w:rsidRDefault="00E41353">
            <w:pPr>
              <w:spacing w:after="20"/>
              <w:rPr>
                <w:rFonts w:hint="eastAsia"/>
              </w:rPr>
            </w:pPr>
            <w:r>
              <w:rPr>
                <w:b/>
                <w:sz w:val="18"/>
              </w:rPr>
              <w:t>Data accuracy</w:t>
            </w:r>
          </w:p>
        </w:tc>
        <w:tc>
          <w:tcPr>
            <w:tcW w:w="4968" w:type="dxa"/>
            <w:vAlign w:val="center"/>
          </w:tcPr>
          <w:p w:rsidR="00AA0C64" w:rsidRDefault="00E41353">
            <w:pPr>
              <w:spacing w:after="20"/>
              <w:rPr>
                <w:rFonts w:hint="eastAsia"/>
              </w:rPr>
            </w:pPr>
            <w:r>
              <w:rPr>
                <w:sz w:val="18"/>
              </w:rPr>
              <w:t>Compare selected dashboard figures with official NISR publications.</w:t>
            </w:r>
          </w:p>
        </w:tc>
      </w:tr>
      <w:tr w:rsidR="00AA0C64">
        <w:trPr>
          <w:jc w:val="center"/>
        </w:trPr>
        <w:tc>
          <w:tcPr>
            <w:tcW w:w="4968" w:type="dxa"/>
            <w:vAlign w:val="center"/>
          </w:tcPr>
          <w:p w:rsidR="00AA0C64" w:rsidRDefault="00E41353">
            <w:pPr>
              <w:spacing w:after="20"/>
              <w:rPr>
                <w:rFonts w:hint="eastAsia"/>
              </w:rPr>
            </w:pPr>
            <w:r>
              <w:rPr>
                <w:b/>
                <w:sz w:val="18"/>
              </w:rPr>
              <w:t>Coverage</w:t>
            </w:r>
          </w:p>
        </w:tc>
        <w:tc>
          <w:tcPr>
            <w:tcW w:w="4968" w:type="dxa"/>
            <w:vAlign w:val="center"/>
          </w:tcPr>
          <w:p w:rsidR="00AA0C64" w:rsidRDefault="00E41353">
            <w:pPr>
              <w:spacing w:after="20"/>
              <w:rPr>
                <w:rFonts w:hint="eastAsia"/>
              </w:rPr>
            </w:pPr>
            <w:r>
              <w:rPr>
                <w:sz w:val="18"/>
              </w:rPr>
              <w:t>Document the number of districts, seasons, crops, and indicators actually available.</w:t>
            </w:r>
          </w:p>
        </w:tc>
      </w:tr>
      <w:tr w:rsidR="00AA0C64">
        <w:trPr>
          <w:jc w:val="center"/>
        </w:trPr>
        <w:tc>
          <w:tcPr>
            <w:tcW w:w="4968" w:type="dxa"/>
            <w:vAlign w:val="center"/>
          </w:tcPr>
          <w:p w:rsidR="00AA0C64" w:rsidRDefault="00E41353">
            <w:pPr>
              <w:spacing w:after="20"/>
              <w:rPr>
                <w:rFonts w:hint="eastAsia"/>
              </w:rPr>
            </w:pPr>
            <w:r>
              <w:rPr>
                <w:b/>
                <w:sz w:val="18"/>
              </w:rPr>
              <w:t>Usability</w:t>
            </w:r>
          </w:p>
        </w:tc>
        <w:tc>
          <w:tcPr>
            <w:tcW w:w="4968" w:type="dxa"/>
            <w:vAlign w:val="center"/>
          </w:tcPr>
          <w:p w:rsidR="00AA0C64" w:rsidRDefault="00E41353">
            <w:pPr>
              <w:spacing w:after="20"/>
              <w:rPr>
                <w:rFonts w:hint="eastAsia"/>
              </w:rPr>
            </w:pPr>
            <w:r>
              <w:rPr>
                <w:sz w:val="18"/>
              </w:rPr>
              <w:t>Ask a small set of intended users to complete common comparison tasks.</w:t>
            </w:r>
          </w:p>
        </w:tc>
      </w:tr>
      <w:tr w:rsidR="00AA0C64">
        <w:trPr>
          <w:jc w:val="center"/>
        </w:trPr>
        <w:tc>
          <w:tcPr>
            <w:tcW w:w="4968" w:type="dxa"/>
            <w:vAlign w:val="center"/>
          </w:tcPr>
          <w:p w:rsidR="00AA0C64" w:rsidRDefault="00E41353">
            <w:pPr>
              <w:spacing w:after="20"/>
              <w:rPr>
                <w:rFonts w:hint="eastAsia"/>
              </w:rPr>
            </w:pPr>
            <w:r>
              <w:rPr>
                <w:b/>
                <w:sz w:val="18"/>
              </w:rPr>
              <w:t>Interpretability</w:t>
            </w:r>
          </w:p>
        </w:tc>
        <w:tc>
          <w:tcPr>
            <w:tcW w:w="4968" w:type="dxa"/>
            <w:vAlign w:val="center"/>
          </w:tcPr>
          <w:p w:rsidR="00AA0C64" w:rsidRDefault="00E41353">
            <w:pPr>
              <w:spacing w:after="20"/>
              <w:rPr>
                <w:rFonts w:hint="eastAsia"/>
              </w:rPr>
            </w:pPr>
            <w:r>
              <w:rPr>
                <w:sz w:val="18"/>
              </w:rPr>
              <w:t>Check whether users can explain what a chart shows and what it does not prove.</w:t>
            </w:r>
          </w:p>
        </w:tc>
      </w:tr>
      <w:tr w:rsidR="00AA0C64">
        <w:trPr>
          <w:jc w:val="center"/>
        </w:trPr>
        <w:tc>
          <w:tcPr>
            <w:tcW w:w="4968" w:type="dxa"/>
            <w:vAlign w:val="center"/>
          </w:tcPr>
          <w:p w:rsidR="00AA0C64" w:rsidRDefault="00E41353">
            <w:pPr>
              <w:spacing w:after="20"/>
              <w:rPr>
                <w:rFonts w:hint="eastAsia"/>
              </w:rPr>
            </w:pPr>
            <w:r>
              <w:rPr>
                <w:b/>
                <w:sz w:val="18"/>
              </w:rPr>
              <w:t>Practical usefulness</w:t>
            </w:r>
          </w:p>
        </w:tc>
        <w:tc>
          <w:tcPr>
            <w:tcW w:w="4968" w:type="dxa"/>
            <w:vAlign w:val="center"/>
          </w:tcPr>
          <w:p w:rsidR="00AA0C64" w:rsidRDefault="00E41353">
            <w:pPr>
              <w:spacing w:after="20"/>
              <w:rPr>
                <w:rFonts w:hint="eastAsia"/>
              </w:rPr>
            </w:pPr>
            <w:r>
              <w:rPr>
                <w:sz w:val="18"/>
              </w:rPr>
              <w:t>Collect feedback on whether the insights help users identify useful follow-up questions.</w:t>
            </w:r>
          </w:p>
        </w:tc>
      </w:tr>
    </w:tbl>
    <w:p w:rsidR="00AA0C64" w:rsidRDefault="00E41353">
      <w:pPr>
        <w:pStyle w:val="Heading1"/>
      </w:pPr>
      <w:r>
        <w:t>11. Limitations and Risk Management</w:t>
      </w:r>
    </w:p>
    <w:tbl>
      <w:tblPr>
        <w:tblW w:w="0" w:type="auto"/>
        <w:jc w:val="center"/>
        <w:tblLook w:val="04A0" w:firstRow="1" w:lastRow="0" w:firstColumn="1" w:lastColumn="0" w:noHBand="0" w:noVBand="1"/>
      </w:tblPr>
      <w:tblGrid>
        <w:gridCol w:w="4968"/>
        <w:gridCol w:w="4968"/>
      </w:tblGrid>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Risk</w:t>
            </w:r>
          </w:p>
        </w:tc>
        <w:tc>
          <w:tcPr>
            <w:tcW w:w="4968" w:type="dxa"/>
            <w:shd w:val="clear" w:color="auto" w:fill="145C46"/>
            <w:vAlign w:val="center"/>
          </w:tcPr>
          <w:p w:rsidR="00AA0C64" w:rsidRDefault="00E41353">
            <w:pPr>
              <w:spacing w:after="20"/>
              <w:rPr>
                <w:rFonts w:hint="eastAsia"/>
              </w:rPr>
            </w:pPr>
            <w:r>
              <w:rPr>
                <w:b/>
                <w:color w:val="FFFFFF"/>
                <w:sz w:val="18"/>
              </w:rPr>
              <w:t>Mitigation</w:t>
            </w:r>
          </w:p>
        </w:tc>
      </w:tr>
      <w:tr w:rsidR="00AA0C64">
        <w:trPr>
          <w:jc w:val="center"/>
        </w:trPr>
        <w:tc>
          <w:tcPr>
            <w:tcW w:w="4968" w:type="dxa"/>
            <w:vAlign w:val="center"/>
          </w:tcPr>
          <w:p w:rsidR="00AA0C64" w:rsidRDefault="00E41353">
            <w:pPr>
              <w:spacing w:after="20"/>
              <w:rPr>
                <w:rFonts w:hint="eastAsia"/>
              </w:rPr>
            </w:pPr>
            <w:r>
              <w:rPr>
                <w:b/>
                <w:sz w:val="18"/>
              </w:rPr>
              <w:t>Data gaps or incompatible breakdowns</w:t>
            </w:r>
          </w:p>
        </w:tc>
        <w:tc>
          <w:tcPr>
            <w:tcW w:w="4968" w:type="dxa"/>
            <w:vAlign w:val="center"/>
          </w:tcPr>
          <w:p w:rsidR="00AA0C64" w:rsidRDefault="00E41353">
            <w:pPr>
              <w:spacing w:after="20"/>
              <w:rPr>
                <w:rFonts w:hint="eastAsia"/>
              </w:rPr>
            </w:pPr>
            <w:r>
              <w:rPr>
                <w:sz w:val="18"/>
              </w:rPr>
              <w:t>Show the available coverage; do not invent missing district or crop values.</w:t>
            </w:r>
          </w:p>
        </w:tc>
      </w:tr>
      <w:tr w:rsidR="00AA0C64">
        <w:trPr>
          <w:jc w:val="center"/>
        </w:trPr>
        <w:tc>
          <w:tcPr>
            <w:tcW w:w="4968" w:type="dxa"/>
            <w:vAlign w:val="center"/>
          </w:tcPr>
          <w:p w:rsidR="00AA0C64" w:rsidRDefault="00E41353">
            <w:pPr>
              <w:spacing w:after="20"/>
              <w:rPr>
                <w:rFonts w:hint="eastAsia"/>
              </w:rPr>
            </w:pPr>
            <w:r>
              <w:rPr>
                <w:b/>
                <w:sz w:val="18"/>
              </w:rPr>
              <w:t>Misinterpretation of association as causation</w:t>
            </w:r>
          </w:p>
        </w:tc>
        <w:tc>
          <w:tcPr>
            <w:tcW w:w="4968" w:type="dxa"/>
            <w:vAlign w:val="center"/>
          </w:tcPr>
          <w:p w:rsidR="00AA0C64" w:rsidRDefault="00E41353">
            <w:pPr>
              <w:spacing w:after="20"/>
              <w:rPr>
                <w:rFonts w:hint="eastAsia"/>
              </w:rPr>
            </w:pPr>
            <w:r>
              <w:rPr>
                <w:sz w:val="18"/>
              </w:rPr>
              <w:t>Use careful wording and avoid causal claims without a suitable research design.</w:t>
            </w:r>
          </w:p>
        </w:tc>
      </w:tr>
      <w:tr w:rsidR="00AA0C64">
        <w:trPr>
          <w:jc w:val="center"/>
        </w:trPr>
        <w:tc>
          <w:tcPr>
            <w:tcW w:w="4968" w:type="dxa"/>
            <w:vAlign w:val="center"/>
          </w:tcPr>
          <w:p w:rsidR="00AA0C64" w:rsidRDefault="00E41353">
            <w:pPr>
              <w:spacing w:after="20"/>
              <w:rPr>
                <w:rFonts w:hint="eastAsia"/>
              </w:rPr>
            </w:pPr>
            <w:r>
              <w:rPr>
                <w:b/>
                <w:sz w:val="18"/>
              </w:rPr>
              <w:t>Missing values or unusual observations</w:t>
            </w:r>
          </w:p>
        </w:tc>
        <w:tc>
          <w:tcPr>
            <w:tcW w:w="4968" w:type="dxa"/>
            <w:vAlign w:val="center"/>
          </w:tcPr>
          <w:p w:rsidR="00AA0C64" w:rsidRDefault="00E41353">
            <w:pPr>
              <w:spacing w:after="20"/>
              <w:rPr>
                <w:rFonts w:hint="eastAsia"/>
              </w:rPr>
            </w:pPr>
            <w:r>
              <w:rPr>
                <w:sz w:val="18"/>
              </w:rPr>
              <w:t>Document cleaning rules and validate questionable values against source documentation.</w:t>
            </w:r>
          </w:p>
        </w:tc>
      </w:tr>
      <w:tr w:rsidR="00AA0C64">
        <w:trPr>
          <w:jc w:val="center"/>
        </w:trPr>
        <w:tc>
          <w:tcPr>
            <w:tcW w:w="4968" w:type="dxa"/>
            <w:vAlign w:val="center"/>
          </w:tcPr>
          <w:p w:rsidR="00AA0C64" w:rsidRDefault="00E41353">
            <w:pPr>
              <w:spacing w:after="20"/>
              <w:rPr>
                <w:rFonts w:hint="eastAsia"/>
              </w:rPr>
            </w:pPr>
            <w:r>
              <w:rPr>
                <w:b/>
                <w:sz w:val="18"/>
              </w:rPr>
              <w:t>Synthetic prototype data</w:t>
            </w:r>
          </w:p>
        </w:tc>
        <w:tc>
          <w:tcPr>
            <w:tcW w:w="4968" w:type="dxa"/>
            <w:vAlign w:val="center"/>
          </w:tcPr>
          <w:p w:rsidR="00AA0C64" w:rsidRDefault="00E41353">
            <w:pPr>
              <w:spacing w:after="20"/>
              <w:rPr>
                <w:rFonts w:hint="eastAsia"/>
              </w:rPr>
            </w:pPr>
            <w:r>
              <w:rPr>
                <w:sz w:val="18"/>
              </w:rPr>
              <w:t>Keep it clearly labelled as demonstration data and replace it before final evaluation.</w:t>
            </w:r>
          </w:p>
        </w:tc>
      </w:tr>
      <w:tr w:rsidR="00AA0C64">
        <w:trPr>
          <w:jc w:val="center"/>
        </w:trPr>
        <w:tc>
          <w:tcPr>
            <w:tcW w:w="4968" w:type="dxa"/>
            <w:vAlign w:val="center"/>
          </w:tcPr>
          <w:p w:rsidR="00AA0C64" w:rsidRDefault="00E41353">
            <w:pPr>
              <w:spacing w:after="20"/>
              <w:rPr>
                <w:rFonts w:hint="eastAsia"/>
              </w:rPr>
            </w:pPr>
            <w:r>
              <w:rPr>
                <w:b/>
                <w:sz w:val="18"/>
              </w:rPr>
              <w:t>Overpromising predictions</w:t>
            </w:r>
          </w:p>
        </w:tc>
        <w:tc>
          <w:tcPr>
            <w:tcW w:w="4968" w:type="dxa"/>
            <w:vAlign w:val="center"/>
          </w:tcPr>
          <w:p w:rsidR="00AA0C64" w:rsidRDefault="00E41353">
            <w:pPr>
              <w:spacing w:after="20"/>
              <w:rPr>
                <w:rFonts w:hint="eastAsia"/>
              </w:rPr>
            </w:pPr>
            <w:r>
              <w:rPr>
                <w:sz w:val="18"/>
              </w:rPr>
              <w:t>Describe predictive features as future work unless a model has been trained and validated.</w:t>
            </w:r>
          </w:p>
        </w:tc>
      </w:tr>
      <w:tr w:rsidR="00AA0C64">
        <w:trPr>
          <w:jc w:val="center"/>
        </w:trPr>
        <w:tc>
          <w:tcPr>
            <w:tcW w:w="4968" w:type="dxa"/>
            <w:vAlign w:val="center"/>
          </w:tcPr>
          <w:p w:rsidR="00AA0C64" w:rsidRDefault="00E41353">
            <w:pPr>
              <w:spacing w:after="20"/>
              <w:rPr>
                <w:rFonts w:hint="eastAsia"/>
              </w:rPr>
            </w:pPr>
            <w:r>
              <w:rPr>
                <w:b/>
                <w:sz w:val="18"/>
              </w:rPr>
              <w:t>Data access or licensing restrictions</w:t>
            </w:r>
          </w:p>
        </w:tc>
        <w:tc>
          <w:tcPr>
            <w:tcW w:w="4968" w:type="dxa"/>
            <w:vAlign w:val="center"/>
          </w:tcPr>
          <w:p w:rsidR="00AA0C64" w:rsidRDefault="00E41353">
            <w:pPr>
              <w:spacing w:after="20"/>
              <w:rPr>
                <w:rFonts w:hint="eastAsia"/>
              </w:rPr>
            </w:pPr>
            <w:r>
              <w:rPr>
                <w:sz w:val="18"/>
              </w:rPr>
              <w:t>Use permitted data and cite the official source and terms.</w:t>
            </w:r>
          </w:p>
        </w:tc>
      </w:tr>
    </w:tbl>
    <w:p w:rsidR="00AA0C64" w:rsidRDefault="00E41353">
      <w:pPr>
        <w:pStyle w:val="Heading1"/>
      </w:pPr>
      <w:r>
        <w:t>12. Development Plan</w:t>
      </w:r>
    </w:p>
    <w:p w:rsidR="00AA0C64" w:rsidRDefault="00E41353">
      <w:pPr>
        <w:spacing w:after="80"/>
        <w:rPr>
          <w:rFonts w:hint="eastAsia"/>
        </w:rPr>
      </w:pPr>
      <w:r>
        <w:rPr>
          <w:b/>
        </w:rPr>
        <w:t xml:space="preserve">Step 1 — Source verification: </w:t>
      </w:r>
      <w:r>
        <w:t>Obtain the official SAS 2025 reports/data and confirm permitted access, variable definitions, and geographic coverage.</w:t>
      </w:r>
    </w:p>
    <w:p w:rsidR="00AA0C64" w:rsidRDefault="00E41353">
      <w:pPr>
        <w:spacing w:after="80"/>
        <w:rPr>
          <w:rFonts w:hint="eastAsia"/>
        </w:rPr>
      </w:pPr>
      <w:r>
        <w:rPr>
          <w:b/>
        </w:rPr>
        <w:t xml:space="preserve">Step 2 — Data preparation: </w:t>
      </w:r>
      <w:r>
        <w:t>Clean and validate data; create a documented analysis-ready dataset.</w:t>
      </w:r>
    </w:p>
    <w:p w:rsidR="00AA0C64" w:rsidRDefault="00E41353">
      <w:pPr>
        <w:spacing w:after="80"/>
        <w:rPr>
          <w:rFonts w:hint="eastAsia"/>
        </w:rPr>
      </w:pPr>
      <w:r>
        <w:rPr>
          <w:b/>
        </w:rPr>
        <w:t xml:space="preserve">Step 3 — Dashboard: </w:t>
      </w:r>
      <w:r>
        <w:t>Build filters, summary metrics, charts, tables, and source notes.</w:t>
      </w:r>
    </w:p>
    <w:p w:rsidR="00AA0C64" w:rsidRDefault="00E41353">
      <w:pPr>
        <w:spacing w:after="80"/>
        <w:rPr>
          <w:rFonts w:hint="eastAsia"/>
        </w:rPr>
      </w:pPr>
      <w:r>
        <w:rPr>
          <w:b/>
        </w:rPr>
        <w:t xml:space="preserve">Step 4 — Quality assurance: </w:t>
      </w:r>
      <w:r>
        <w:t>Cross-check figures, test filters, and ensure the app handles missing data transparently.</w:t>
      </w:r>
    </w:p>
    <w:p w:rsidR="00AA0C64" w:rsidRDefault="00E41353">
      <w:pPr>
        <w:spacing w:after="80"/>
        <w:rPr>
          <w:rFonts w:hint="eastAsia"/>
        </w:rPr>
      </w:pPr>
      <w:r>
        <w:rPr>
          <w:b/>
        </w:rPr>
        <w:t xml:space="preserve">Step 5 — Documentation and deployment: </w:t>
      </w:r>
      <w:r>
        <w:t>Publish code and README on GitHub, deploy the app, and test the public link.</w:t>
      </w:r>
    </w:p>
    <w:p w:rsidR="00AA0C64" w:rsidRDefault="00E41353">
      <w:pPr>
        <w:spacing w:after="80"/>
        <w:rPr>
          <w:rFonts w:hint="eastAsia"/>
        </w:rPr>
      </w:pPr>
      <w:r>
        <w:rPr>
          <w:b/>
        </w:rPr>
        <w:t xml:space="preserve">Step 6 — Demonstration: </w:t>
      </w:r>
      <w:r>
        <w:t>Present a real-data use case, explain the method, limitations, and practical value.</w:t>
      </w:r>
    </w:p>
    <w:p w:rsidR="00AA0C64" w:rsidRDefault="00E41353">
      <w:pPr>
        <w:pStyle w:val="Heading1"/>
      </w:pPr>
      <w:r>
        <w:lastRenderedPageBreak/>
        <w:t xml:space="preserve">13. NISR </w:t>
      </w:r>
      <w:proofErr w:type="spellStart"/>
      <w:r>
        <w:t>Hackathon</w:t>
      </w:r>
      <w:proofErr w:type="spellEnd"/>
      <w:r>
        <w:t xml:space="preserve"> Alignment</w:t>
      </w:r>
    </w:p>
    <w:p w:rsidR="00AA0C64" w:rsidRDefault="007C777D">
      <w:pPr>
        <w:rPr>
          <w:rFonts w:hint="eastAsia"/>
        </w:rPr>
      </w:pPr>
      <w:r>
        <w:t xml:space="preserve"> </w:t>
      </w:r>
      <w:r w:rsidR="00371B9F">
        <w:t xml:space="preserve"> </w:t>
      </w:r>
      <w:r w:rsidR="0010430A">
        <w:t xml:space="preserve"> </w:t>
      </w:r>
      <w:r w:rsidR="00F50D58">
        <w:t xml:space="preserve"> </w:t>
      </w:r>
      <w:r w:rsidR="00E41353">
        <w:t xml:space="preserve">AgriNova’s primary contribution is a decision-support dashboard built around official agricultural statistics. Its future development </w:t>
      </w:r>
      <w:r w:rsidR="00C64EF8">
        <w:t>it will explore soil or</w:t>
      </w:r>
      <w:r w:rsidR="00E52F1A">
        <w:t xml:space="preserve"> climate indicators</w:t>
      </w:r>
      <w:r w:rsidR="00E41353">
        <w:t>.</w:t>
      </w:r>
    </w:p>
    <w:p w:rsidR="00AA0C64" w:rsidRDefault="00E41353">
      <w:pPr>
        <w:pStyle w:val="Heading1"/>
      </w:pPr>
      <w:r>
        <w:t>14. Team and Submission Information</w:t>
      </w:r>
    </w:p>
    <w:tbl>
      <w:tblPr>
        <w:tblW w:w="0" w:type="auto"/>
        <w:jc w:val="center"/>
        <w:tblLook w:val="04A0" w:firstRow="1" w:lastRow="0" w:firstColumn="1" w:lastColumn="0" w:noHBand="0" w:noVBand="1"/>
      </w:tblPr>
      <w:tblGrid>
        <w:gridCol w:w="4056"/>
        <w:gridCol w:w="6096"/>
      </w:tblGrid>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Team name</w:t>
            </w:r>
          </w:p>
        </w:tc>
        <w:tc>
          <w:tcPr>
            <w:tcW w:w="4968" w:type="dxa"/>
            <w:shd w:val="clear" w:color="auto" w:fill="F0F6F3"/>
            <w:vAlign w:val="center"/>
          </w:tcPr>
          <w:p w:rsidR="00AA0C64" w:rsidRDefault="00E41353">
            <w:pPr>
              <w:spacing w:after="20"/>
              <w:rPr>
                <w:rFonts w:hint="eastAsia"/>
              </w:rPr>
            </w:pPr>
            <w:r>
              <w:rPr>
                <w:sz w:val="18"/>
              </w:rPr>
              <w:t>HAICO — Harvest Analytics, Innovation, Climate &amp; Opportunity</w:t>
            </w:r>
          </w:p>
        </w:tc>
      </w:tr>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Project name</w:t>
            </w:r>
          </w:p>
        </w:tc>
        <w:tc>
          <w:tcPr>
            <w:tcW w:w="4968" w:type="dxa"/>
            <w:shd w:val="clear" w:color="auto" w:fill="F0F6F3"/>
            <w:vAlign w:val="center"/>
          </w:tcPr>
          <w:p w:rsidR="00AA0C64" w:rsidRDefault="00E41353">
            <w:pPr>
              <w:spacing w:after="20"/>
              <w:rPr>
                <w:rFonts w:hint="eastAsia"/>
                <w:sz w:val="18"/>
              </w:rPr>
            </w:pPr>
            <w:proofErr w:type="spellStart"/>
            <w:r>
              <w:rPr>
                <w:sz w:val="18"/>
              </w:rPr>
              <w:t>AgriNova</w:t>
            </w:r>
            <w:proofErr w:type="spellEnd"/>
          </w:p>
          <w:p w:rsidR="00103CF5" w:rsidRDefault="00103CF5">
            <w:pPr>
              <w:spacing w:after="20"/>
              <w:rPr>
                <w:rFonts w:hint="eastAsia"/>
              </w:rPr>
            </w:pPr>
          </w:p>
        </w:tc>
      </w:tr>
      <w:tr w:rsidR="00AA0C64">
        <w:trPr>
          <w:jc w:val="center"/>
        </w:trPr>
        <w:tc>
          <w:tcPr>
            <w:tcW w:w="4968" w:type="dxa"/>
            <w:shd w:val="clear" w:color="auto" w:fill="145C46"/>
            <w:vAlign w:val="center"/>
          </w:tcPr>
          <w:p w:rsidR="00817CE3" w:rsidRPr="00817CE3" w:rsidRDefault="00E41353">
            <w:pPr>
              <w:spacing w:after="20"/>
              <w:rPr>
                <w:rFonts w:hint="eastAsia"/>
                <w:b/>
                <w:color w:val="FFFFFF"/>
                <w:sz w:val="18"/>
              </w:rPr>
            </w:pPr>
            <w:r>
              <w:rPr>
                <w:b/>
                <w:color w:val="FFFFFF"/>
                <w:sz w:val="18"/>
              </w:rPr>
              <w:t>Team member 1</w:t>
            </w:r>
          </w:p>
        </w:tc>
        <w:tc>
          <w:tcPr>
            <w:tcW w:w="4968" w:type="dxa"/>
            <w:shd w:val="clear" w:color="auto" w:fill="F0F6F3"/>
            <w:vAlign w:val="center"/>
          </w:tcPr>
          <w:p w:rsidR="00AA0C64" w:rsidRDefault="003B287F">
            <w:pPr>
              <w:spacing w:after="20"/>
              <w:rPr>
                <w:rFonts w:hint="eastAsia"/>
              </w:rPr>
            </w:pPr>
            <w:proofErr w:type="spellStart"/>
            <w:r>
              <w:rPr>
                <w:sz w:val="18"/>
              </w:rPr>
              <w:t>Aheza</w:t>
            </w:r>
            <w:proofErr w:type="spellEnd"/>
            <w:r>
              <w:rPr>
                <w:sz w:val="18"/>
              </w:rPr>
              <w:t xml:space="preserve"> </w:t>
            </w:r>
            <w:proofErr w:type="spellStart"/>
            <w:r>
              <w:rPr>
                <w:sz w:val="18"/>
              </w:rPr>
              <w:t>Aime</w:t>
            </w:r>
            <w:proofErr w:type="spellEnd"/>
            <w:r>
              <w:rPr>
                <w:sz w:val="18"/>
              </w:rPr>
              <w:t xml:space="preserve"> Constant</w:t>
            </w:r>
          </w:p>
        </w:tc>
      </w:tr>
      <w:tr w:rsidR="00AA0C64">
        <w:trPr>
          <w:jc w:val="center"/>
        </w:trPr>
        <w:tc>
          <w:tcPr>
            <w:tcW w:w="4968" w:type="dxa"/>
            <w:shd w:val="clear" w:color="auto" w:fill="145C46"/>
            <w:vAlign w:val="center"/>
          </w:tcPr>
          <w:p w:rsidR="00AA0C64" w:rsidRDefault="00E41353">
            <w:pPr>
              <w:spacing w:after="20"/>
              <w:rPr>
                <w:rFonts w:hint="eastAsia"/>
              </w:rPr>
            </w:pPr>
            <w:r>
              <w:rPr>
                <w:b/>
                <w:color w:val="FFFFFF"/>
                <w:sz w:val="18"/>
              </w:rPr>
              <w:t>Team member 2</w:t>
            </w:r>
          </w:p>
        </w:tc>
        <w:tc>
          <w:tcPr>
            <w:tcW w:w="4968" w:type="dxa"/>
            <w:shd w:val="clear" w:color="auto" w:fill="F0F6F3"/>
            <w:vAlign w:val="center"/>
          </w:tcPr>
          <w:p w:rsidR="00AA0C64" w:rsidRDefault="003B287F">
            <w:pPr>
              <w:spacing w:after="20"/>
              <w:rPr>
                <w:rFonts w:hint="eastAsia"/>
                <w:sz w:val="18"/>
              </w:rPr>
            </w:pPr>
            <w:r>
              <w:rPr>
                <w:sz w:val="18"/>
              </w:rPr>
              <w:t>University of Rwanda in Economy</w:t>
            </w:r>
          </w:p>
          <w:p w:rsidR="003B287F" w:rsidRDefault="00103CF5">
            <w:pPr>
              <w:spacing w:after="20"/>
              <w:rPr>
                <w:rFonts w:hint="eastAsia"/>
                <w:sz w:val="18"/>
              </w:rPr>
            </w:pPr>
            <w:r>
              <w:rPr>
                <w:rFonts w:hint="eastAsia"/>
                <w:sz w:val="18"/>
              </w:rPr>
              <w:t>C</w:t>
            </w:r>
            <w:r>
              <w:rPr>
                <w:sz w:val="18"/>
              </w:rPr>
              <w:t xml:space="preserve">ontact; </w:t>
            </w:r>
            <w:r w:rsidR="00817CE3">
              <w:rPr>
                <w:sz w:val="18"/>
              </w:rPr>
              <w:t>0796018390</w:t>
            </w:r>
          </w:p>
          <w:p w:rsidR="00817CE3" w:rsidRDefault="00103CF5">
            <w:pPr>
              <w:spacing w:after="20"/>
              <w:rPr>
                <w:rFonts w:hint="eastAsia"/>
                <w:sz w:val="18"/>
              </w:rPr>
            </w:pPr>
            <w:r>
              <w:rPr>
                <w:rFonts w:hint="eastAsia"/>
                <w:sz w:val="18"/>
              </w:rPr>
              <w:t>E</w:t>
            </w:r>
            <w:r>
              <w:rPr>
                <w:sz w:val="18"/>
              </w:rPr>
              <w:t>mail; ahezaaime@gmail.com</w:t>
            </w:r>
          </w:p>
          <w:p w:rsidR="00817CE3" w:rsidRDefault="00817CE3">
            <w:pPr>
              <w:spacing w:after="20"/>
              <w:rPr>
                <w:rFonts w:hint="eastAsia"/>
                <w:sz w:val="18"/>
              </w:rPr>
            </w:pPr>
          </w:p>
          <w:p w:rsidR="00817CE3" w:rsidRDefault="00E52F1A">
            <w:pPr>
              <w:spacing w:after="20"/>
              <w:rPr>
                <w:rFonts w:hint="eastAsia"/>
                <w:sz w:val="18"/>
              </w:rPr>
            </w:pPr>
            <w:r>
              <w:rPr>
                <w:rFonts w:hint="eastAsia"/>
                <w:noProof/>
                <w:sz w:val="18"/>
              </w:rPr>
              <w:drawing>
                <wp:inline distT="0" distB="0" distL="0" distR="0">
                  <wp:extent cx="3727938" cy="1610751"/>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23-WA0012.jpg"/>
                          <pic:cNvPicPr/>
                        </pic:nvPicPr>
                        <pic:blipFill>
                          <a:blip r:embed="rId9">
                            <a:extLst>
                              <a:ext uri="{28A0092B-C50C-407E-A947-70E740481C1C}">
                                <a14:useLocalDpi xmlns:a14="http://schemas.microsoft.com/office/drawing/2010/main" val="0"/>
                              </a:ext>
                            </a:extLst>
                          </a:blip>
                          <a:stretch>
                            <a:fillRect/>
                          </a:stretch>
                        </pic:blipFill>
                        <pic:spPr>
                          <a:xfrm>
                            <a:off x="0" y="0"/>
                            <a:ext cx="3727938" cy="1610751"/>
                          </a:xfrm>
                          <a:prstGeom prst="rect">
                            <a:avLst/>
                          </a:prstGeom>
                        </pic:spPr>
                      </pic:pic>
                    </a:graphicData>
                  </a:graphic>
                </wp:inline>
              </w:drawing>
            </w:r>
          </w:p>
          <w:p w:rsidR="00817CE3" w:rsidRDefault="00817CE3">
            <w:pPr>
              <w:spacing w:after="20"/>
              <w:rPr>
                <w:rFonts w:hint="eastAsia"/>
                <w:sz w:val="18"/>
              </w:rPr>
            </w:pPr>
          </w:p>
          <w:p w:rsidR="003B287F" w:rsidRDefault="003B287F">
            <w:pPr>
              <w:spacing w:after="20"/>
              <w:rPr>
                <w:rFonts w:hint="eastAsia"/>
                <w:sz w:val="18"/>
              </w:rPr>
            </w:pPr>
            <w:proofErr w:type="spellStart"/>
            <w:r>
              <w:rPr>
                <w:sz w:val="18"/>
              </w:rPr>
              <w:t>Abdiel</w:t>
            </w:r>
            <w:proofErr w:type="spellEnd"/>
            <w:r w:rsidR="00817CE3">
              <w:rPr>
                <w:sz w:val="18"/>
              </w:rPr>
              <w:t xml:space="preserve"> </w:t>
            </w:r>
            <w:proofErr w:type="spellStart"/>
            <w:r w:rsidR="00817CE3">
              <w:rPr>
                <w:sz w:val="18"/>
              </w:rPr>
              <w:t>Niyoyabikoze</w:t>
            </w:r>
            <w:proofErr w:type="spellEnd"/>
          </w:p>
          <w:p w:rsidR="003B287F" w:rsidRDefault="00817CE3">
            <w:pPr>
              <w:spacing w:after="20"/>
              <w:rPr>
                <w:rFonts w:hint="eastAsia"/>
                <w:sz w:val="18"/>
              </w:rPr>
            </w:pPr>
            <w:r>
              <w:rPr>
                <w:sz w:val="18"/>
              </w:rPr>
              <w:t xml:space="preserve">University of Ines </w:t>
            </w:r>
            <w:proofErr w:type="spellStart"/>
            <w:r>
              <w:rPr>
                <w:sz w:val="18"/>
              </w:rPr>
              <w:t>Ruhengeri</w:t>
            </w:r>
            <w:proofErr w:type="spellEnd"/>
            <w:r>
              <w:rPr>
                <w:sz w:val="18"/>
              </w:rPr>
              <w:t xml:space="preserve"> </w:t>
            </w:r>
          </w:p>
          <w:p w:rsidR="003B287F" w:rsidRDefault="00817CE3">
            <w:pPr>
              <w:spacing w:after="20"/>
              <w:rPr>
                <w:rFonts w:hint="eastAsia"/>
                <w:sz w:val="18"/>
              </w:rPr>
            </w:pPr>
            <w:r>
              <w:rPr>
                <w:sz w:val="18"/>
              </w:rPr>
              <w:t>Biomedical laboratory Science</w:t>
            </w:r>
          </w:p>
          <w:p w:rsidR="003B287F" w:rsidRDefault="00817CE3">
            <w:pPr>
              <w:spacing w:after="20"/>
              <w:rPr>
                <w:rFonts w:hint="eastAsia"/>
              </w:rPr>
            </w:pPr>
            <w:r>
              <w:rPr>
                <w:rFonts w:hint="eastAsia"/>
              </w:rPr>
              <w:t>C</w:t>
            </w:r>
            <w:r>
              <w:t>ontact; 0793202947</w:t>
            </w:r>
          </w:p>
          <w:p w:rsidR="00817CE3" w:rsidRDefault="00817CE3">
            <w:pPr>
              <w:spacing w:after="20"/>
              <w:rPr>
                <w:rFonts w:hint="eastAsia"/>
              </w:rPr>
            </w:pPr>
            <w:r>
              <w:rPr>
                <w:rFonts w:hint="eastAsia"/>
              </w:rPr>
              <w:t>E</w:t>
            </w:r>
            <w:r>
              <w:t>mail; abdielni100@gmail.com</w:t>
            </w:r>
          </w:p>
        </w:tc>
      </w:tr>
      <w:tr w:rsidR="00AA0C64">
        <w:trPr>
          <w:jc w:val="center"/>
        </w:trPr>
        <w:tc>
          <w:tcPr>
            <w:tcW w:w="4968" w:type="dxa"/>
            <w:shd w:val="clear" w:color="auto" w:fill="145C46"/>
            <w:vAlign w:val="center"/>
          </w:tcPr>
          <w:p w:rsidR="00AA0C64" w:rsidRDefault="00AA0C64">
            <w:pPr>
              <w:spacing w:after="20"/>
              <w:rPr>
                <w:rFonts w:hint="eastAsia"/>
              </w:rPr>
            </w:pPr>
          </w:p>
        </w:tc>
        <w:tc>
          <w:tcPr>
            <w:tcW w:w="4968" w:type="dxa"/>
            <w:shd w:val="clear" w:color="auto" w:fill="F0F6F3"/>
            <w:vAlign w:val="center"/>
          </w:tcPr>
          <w:p w:rsidR="00AA0C64" w:rsidRDefault="00AA0C64">
            <w:pPr>
              <w:spacing w:after="20"/>
              <w:rPr>
                <w:rFonts w:hint="eastAsia"/>
              </w:rPr>
            </w:pPr>
          </w:p>
        </w:tc>
      </w:tr>
      <w:tr w:rsidR="00AA0C64">
        <w:trPr>
          <w:jc w:val="center"/>
        </w:trPr>
        <w:tc>
          <w:tcPr>
            <w:tcW w:w="4968" w:type="dxa"/>
            <w:shd w:val="clear" w:color="auto" w:fill="145C46"/>
            <w:vAlign w:val="center"/>
          </w:tcPr>
          <w:p w:rsidR="00AA0C64" w:rsidRDefault="00AA0C64">
            <w:pPr>
              <w:spacing w:after="20"/>
              <w:rPr>
                <w:rFonts w:hint="eastAsia"/>
              </w:rPr>
            </w:pPr>
          </w:p>
        </w:tc>
        <w:tc>
          <w:tcPr>
            <w:tcW w:w="4968" w:type="dxa"/>
            <w:shd w:val="clear" w:color="auto" w:fill="F0F6F3"/>
            <w:vAlign w:val="center"/>
          </w:tcPr>
          <w:p w:rsidR="00AA0C64" w:rsidRDefault="00817CE3">
            <w:pPr>
              <w:spacing w:after="20"/>
              <w:rPr>
                <w:rFonts w:hint="eastAsia"/>
              </w:rPr>
            </w:pPr>
            <w:r>
              <w:rPr>
                <w:noProof/>
              </w:rPr>
              <w:drawing>
                <wp:inline distT="0" distB="0" distL="0" distR="0">
                  <wp:extent cx="3566160" cy="1188720"/>
                  <wp:effectExtent l="0" t="0" r="0" b="0"/>
                  <wp:docPr id="1" name="Picture 1" descr="C:\Users\pc\Desktop\abd\project\DocScanner Sep 25, 2026 10-04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abd\project\DocScanner Sep 25, 2026 10-04 AM.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6231" cy="1188744"/>
                          </a:xfrm>
                          <a:prstGeom prst="rect">
                            <a:avLst/>
                          </a:prstGeom>
                          <a:noFill/>
                          <a:ln>
                            <a:noFill/>
                          </a:ln>
                        </pic:spPr>
                      </pic:pic>
                    </a:graphicData>
                  </a:graphic>
                </wp:inline>
              </w:drawing>
            </w:r>
          </w:p>
        </w:tc>
      </w:tr>
      <w:tr w:rsidR="00AA0C64">
        <w:trPr>
          <w:jc w:val="center"/>
        </w:trPr>
        <w:tc>
          <w:tcPr>
            <w:tcW w:w="4968" w:type="dxa"/>
            <w:shd w:val="clear" w:color="auto" w:fill="145C46"/>
            <w:vAlign w:val="center"/>
          </w:tcPr>
          <w:p w:rsidR="00AA0C64" w:rsidRDefault="00AA0C64">
            <w:pPr>
              <w:spacing w:after="20"/>
              <w:rPr>
                <w:rFonts w:hint="eastAsia"/>
              </w:rPr>
            </w:pPr>
          </w:p>
        </w:tc>
        <w:tc>
          <w:tcPr>
            <w:tcW w:w="4968" w:type="dxa"/>
            <w:shd w:val="clear" w:color="auto" w:fill="F0F6F3"/>
            <w:vAlign w:val="center"/>
          </w:tcPr>
          <w:p w:rsidR="00AA0C64" w:rsidRDefault="00AA0C64">
            <w:pPr>
              <w:spacing w:after="20"/>
              <w:rPr>
                <w:rFonts w:hint="eastAsia"/>
              </w:rPr>
            </w:pPr>
          </w:p>
        </w:tc>
      </w:tr>
    </w:tbl>
    <w:p w:rsidR="00AA0C64" w:rsidRDefault="00AA0C64">
      <w:pPr>
        <w:rPr>
          <w:rFonts w:hint="eastAsia"/>
        </w:rPr>
      </w:pPr>
    </w:p>
    <w:p w:rsidR="00AA0C64" w:rsidRDefault="00E41353">
      <w:pPr>
        <w:pStyle w:val="Heading1"/>
      </w:pPr>
      <w:r>
        <w:t>16. References</w:t>
      </w:r>
    </w:p>
    <w:p w:rsidR="00AA0C64" w:rsidRDefault="00E41353">
      <w:pPr>
        <w:pStyle w:val="ListNumber"/>
        <w:rPr>
          <w:rFonts w:hint="eastAsia"/>
        </w:rPr>
      </w:pPr>
      <w:r>
        <w:t>National Institute of Statistics of Rwanda (NISR). 2026 Big Data Hackathon Competition — official announcement. https://alpha.statistics.gov.rw/about/hackathon/2026-hackathon-competition</w:t>
      </w:r>
    </w:p>
    <w:p w:rsidR="00AA0C64" w:rsidRDefault="00E41353">
      <w:pPr>
        <w:pStyle w:val="ListNumber"/>
        <w:rPr>
          <w:rFonts w:hint="eastAsia"/>
        </w:rPr>
      </w:pPr>
      <w:r>
        <w:t>National Institute of Statistics of Rwanda (NISR). Seasonal Agricultural Survey (SAS) publications and datasets. Use the exact report/dataset title, year, and URL for every source actually used in the implementation.</w:t>
      </w:r>
    </w:p>
    <w:p w:rsidR="00AA0C64" w:rsidRDefault="00AA0C64" w:rsidP="00AF3EB2">
      <w:pPr>
        <w:pStyle w:val="Heading1"/>
      </w:pPr>
    </w:p>
    <w:sectPr w:rsidR="00AA0C64"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7DF" w:rsidRDefault="004937DF">
      <w:pPr>
        <w:spacing w:after="0" w:line="240" w:lineRule="auto"/>
        <w:rPr>
          <w:rFonts w:hint="eastAsia"/>
        </w:rPr>
      </w:pPr>
      <w:r>
        <w:separator/>
      </w:r>
    </w:p>
  </w:endnote>
  <w:endnote w:type="continuationSeparator" w:id="0">
    <w:p w:rsidR="004937DF" w:rsidRDefault="004937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C64" w:rsidRDefault="00E41353">
    <w:pPr>
      <w:pStyle w:val="Footer"/>
      <w:jc w:val="center"/>
      <w:rPr>
        <w:rFonts w:hint="eastAsia"/>
      </w:rPr>
    </w:pPr>
    <w:r>
      <w:rPr>
        <w:color w:val="647378"/>
        <w:sz w:val="16"/>
      </w:rPr>
      <w:t>AgriNova • NISR Big Data Hackathon 2026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7DF" w:rsidRDefault="004937DF">
      <w:pPr>
        <w:spacing w:after="0" w:line="240" w:lineRule="auto"/>
        <w:rPr>
          <w:rFonts w:hint="eastAsia"/>
        </w:rPr>
      </w:pPr>
      <w:r>
        <w:separator/>
      </w:r>
    </w:p>
  </w:footnote>
  <w:footnote w:type="continuationSeparator" w:id="0">
    <w:p w:rsidR="004937DF" w:rsidRDefault="004937DF">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C64" w:rsidRDefault="00E41353">
    <w:pPr>
      <w:pStyle w:val="Header"/>
      <w:jc w:val="right"/>
      <w:rPr>
        <w:rFonts w:hint="eastAsia"/>
      </w:rPr>
    </w:pPr>
    <w:r>
      <w:rPr>
        <w:color w:val="647378"/>
        <w:sz w:val="16"/>
      </w:rPr>
      <w:t>TEAM HAICO  |  AGRINOVA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B0031D6"/>
    <w:multiLevelType w:val="hybridMultilevel"/>
    <w:tmpl w:val="46EC2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7792798"/>
    <w:multiLevelType w:val="hybridMultilevel"/>
    <w:tmpl w:val="54F25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3CF5"/>
    <w:rsid w:val="0010430A"/>
    <w:rsid w:val="0015074B"/>
    <w:rsid w:val="00233EEE"/>
    <w:rsid w:val="0029639D"/>
    <w:rsid w:val="00326F90"/>
    <w:rsid w:val="00371B9F"/>
    <w:rsid w:val="003B287F"/>
    <w:rsid w:val="00482D27"/>
    <w:rsid w:val="004937DF"/>
    <w:rsid w:val="007C777D"/>
    <w:rsid w:val="00817CE3"/>
    <w:rsid w:val="00AA0C64"/>
    <w:rsid w:val="00AA1D8D"/>
    <w:rsid w:val="00AF3EB2"/>
    <w:rsid w:val="00B47730"/>
    <w:rsid w:val="00C64EF8"/>
    <w:rsid w:val="00CB0664"/>
    <w:rsid w:val="00E41353"/>
    <w:rsid w:val="00E52F1A"/>
    <w:rsid w:val="00F027D7"/>
    <w:rsid w:val="00F50D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C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6F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6F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5C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17C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CE3"/>
    <w:rPr>
      <w:rFonts w:ascii="Tahoma" w:hAnsi="Tahoma" w:cs="Tahoma"/>
      <w:color w:val="2D374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C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6F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6F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5C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17C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CE3"/>
    <w:rPr>
      <w:rFonts w:ascii="Tahoma" w:hAnsi="Tahoma" w:cs="Tahoma"/>
      <w:color w:val="2D374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696B7-E9EE-4FDE-B90F-08F8B306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7</cp:revision>
  <dcterms:created xsi:type="dcterms:W3CDTF">2013-12-23T23:15:00Z</dcterms:created>
  <dcterms:modified xsi:type="dcterms:W3CDTF">2026-10-28T13:28:00Z</dcterms:modified>
  <cp:category/>
</cp:coreProperties>
</file>