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rFonts w:ascii="Georgia" w:cs="Georgia" w:eastAsia="Georgia" w:hAnsi="Georgia"/>
          <w:b/>
          <w:bCs/>
          <w:color w:val="9C7A3C"/>
          <w:sz w:val="44"/>
          <w:szCs w:val="44"/>
        </w:rPr>
        <w:t xml:space="preserve">BOUTIQUE TAILLEUR MARK 109</w:t>
      </w:r>
    </w:p>
    <w:p>
      <w:pPr>
        <w:spacing w:after="100" w:before="200"/>
      </w:pPr>
      <w:r>
        <w:rPr>
          <w:rFonts w:ascii="Georgia" w:cs="Georgia" w:eastAsia="Georgia" w:hAnsi="Georgia"/>
          <w:b/>
          <w:bCs/>
          <w:color w:val="1E1E1E"/>
          <w:sz w:val="30"/>
          <w:szCs w:val="30"/>
        </w:rPr>
        <w:t xml:space="preserve">Proposition stratégique de positionnement et de croissance</w:t>
      </w:r>
    </w:p>
    <w:p>
      <w:pPr>
        <w:spacing w:after="800"/>
      </w:pPr>
      <w:r>
        <w:rPr>
          <w:rFonts w:ascii="Georgia" w:cs="Georgia" w:eastAsia="Georgia" w:hAnsi="Georgia"/>
          <w:i/>
          <w:iCs/>
          <w:color w:val="595959"/>
          <w:sz w:val="24"/>
          <w:szCs w:val="24"/>
        </w:rPr>
        <w:t xml:space="preserve">Vers un atelier privé de haute couture, sur rendez-vous</w:t>
      </w:r>
    </w:p>
    <w:p>
      <w:pPr>
        <w:spacing w:after="3200"/>
      </w:pPr>
      <w:r>
        <w:rPr>
          <w:color w:val="595959"/>
          <w:sz w:val="20"/>
          <w:szCs w:val="20"/>
        </w:rPr>
        <w:t xml:space="preserve">15 août 2026</w:t>
      </w:r>
    </w:p>
    <w:p>
      <w:r>
        <w:br w:type="page"/>
      </w:r>
    </w:p>
    <w:p>
      <w:pPr>
        <w:pStyle w:val="Heading1"/>
        <w:pBdr>
          <w:bottom w:val="single" w:color="9C7A3C" w:sz="6" w:space="4"/>
        </w:pBdr>
        <w:spacing w:after="240" w:before="480"/>
      </w:pPr>
      <w:r>
        <w:rPr>
          <w:rFonts w:ascii="Georgia" w:cs="Georgia" w:eastAsia="Georgia" w:hAnsi="Georgia"/>
          <w:b/>
          <w:bCs/>
          <w:color w:val="1E1E1E"/>
          <w:sz w:val="30"/>
          <w:szCs w:val="30"/>
        </w:rPr>
        <w:t xml:space="preserve">1. Sommaire exécutif</w:t>
      </w:r>
    </w:p>
    <w:p>
      <w:pPr>
        <w:spacing w:after="200" w:line="300"/>
      </w:pPr>
      <w:r>
        <w:rPr>
          <w:rFonts w:ascii="Calibri" w:cs="Calibri" w:eastAsia="Calibri" w:hAnsi="Calibri"/>
          <w:i w:val="false"/>
          <w:iCs w:val="false"/>
          <w:color w:val="1E1E1E"/>
          <w:sz w:val="22"/>
          <w:szCs w:val="22"/>
        </w:rPr>
        <w:t xml:space="preserve">Boutique Tailleur Mark 109 possède ce qui prend le plus de temps à construire dans ce métier : plus de 30 ans d'expertise, une clientèle qui compte de grands noms de la mode, et une double maîtrise rare — la haute couture sur-mesure et les retouches de tissus délicats (soie, suède, cuir). Ce sont des actifs qu'une jeune maison ne peut pas simplement acheter.</w:t>
      </w:r>
    </w:p>
    <w:p>
      <w:pPr>
        <w:spacing w:after="200" w:line="300"/>
      </w:pPr>
      <w:r>
        <w:rPr>
          <w:rFonts w:ascii="Calibri" w:cs="Calibri" w:eastAsia="Calibri" w:hAnsi="Calibri"/>
          <w:i w:val="false"/>
          <w:iCs w:val="false"/>
          <w:color w:val="1E1E1E"/>
          <w:sz w:val="22"/>
          <w:szCs w:val="22"/>
        </w:rPr>
        <w:t xml:space="preserve">Aujourd'hui, cette valeur n'est pas encore pleinement communiquée. Le site actuel se présente comme une boutique de quartier plutôt que comme l'atelier exclusif qu'il est réellement. Cette proposition présente une voie de repositionnement : transformer Mark 109 en un atelier privé, accessible sur rendez-vous, où le savoir-faire existant est mis en scène à la hauteur de sa valeur réelle.</w:t>
      </w:r>
    </w:p>
    <w:p>
      <w:pPr>
        <w:spacing w:after="200" w:line="300"/>
      </w:pPr>
      <w:r>
        <w:rPr>
          <w:rFonts w:ascii="Calibri" w:cs="Calibri" w:eastAsia="Calibri" w:hAnsi="Calibri"/>
          <w:i w:val="false"/>
          <w:iCs w:val="false"/>
          <w:color w:val="1E1E1E"/>
          <w:sz w:val="22"/>
          <w:szCs w:val="22"/>
        </w:rPr>
        <w:t xml:space="preserve">Le document couvre : un état des lieux, une comparaison avec des ateliers de référence à Montréal, les quatre piliers du repositionnement proposé, et un plan d'action concret sur 12 mois.</w:t>
      </w:r>
    </w:p>
    <w:p>
      <w:pPr>
        <w:pStyle w:val="Heading1"/>
        <w:pBdr>
          <w:bottom w:val="single" w:color="9C7A3C" w:sz="6" w:space="4"/>
        </w:pBdr>
        <w:spacing w:after="240" w:before="480"/>
      </w:pPr>
      <w:r>
        <w:rPr>
          <w:rFonts w:ascii="Georgia" w:cs="Georgia" w:eastAsia="Georgia" w:hAnsi="Georgia"/>
          <w:b/>
          <w:bCs/>
          <w:color w:val="1E1E1E"/>
          <w:sz w:val="30"/>
          <w:szCs w:val="30"/>
        </w:rPr>
        <w:t xml:space="preserve">2. Constat — où en est l'atelier aujourd'hui</w:t>
      </w:r>
    </w:p>
    <w:p>
      <w:pPr>
        <w:pStyle w:val="Heading2"/>
        <w:spacing w:after="160" w:before="320"/>
      </w:pPr>
      <w:r>
        <w:rPr>
          <w:rFonts w:ascii="Georgia" w:cs="Georgia" w:eastAsia="Georgia" w:hAnsi="Georgia"/>
          <w:b/>
          <w:bCs/>
          <w:color w:val="9C7A3C"/>
          <w:sz w:val="24"/>
          <w:szCs w:val="24"/>
        </w:rPr>
        <w:t xml:space="preserve">Les forces déjà en place</w:t>
      </w:r>
    </w:p>
    <w:p>
      <w:pPr>
        <w:pStyle w:val="ListParagraph"/>
        <w:numPr>
          <w:ilvl w:val="0"/>
          <w:numId w:val="1"/>
        </w:numPr>
        <w:spacing w:after="120" w:line="280"/>
      </w:pPr>
      <w:r>
        <w:rPr>
          <w:rFonts w:ascii="Calibri" w:cs="Calibri" w:eastAsia="Calibri" w:hAnsi="Calibri"/>
          <w:color w:val="1E1E1E"/>
          <w:sz w:val="22"/>
          <w:szCs w:val="22"/>
        </w:rPr>
        <w:t xml:space="preserve">Plus de 30 ans d'expertise en couture et en altération.</w:t>
      </w:r>
    </w:p>
    <w:p>
      <w:pPr>
        <w:pStyle w:val="ListParagraph"/>
        <w:numPr>
          <w:ilvl w:val="0"/>
          <w:numId w:val="1"/>
        </w:numPr>
        <w:spacing w:after="120" w:line="280"/>
      </w:pPr>
      <w:r>
        <w:rPr>
          <w:rFonts w:ascii="Calibri" w:cs="Calibri" w:eastAsia="Calibri" w:hAnsi="Calibri"/>
          <w:color w:val="1E1E1E"/>
          <w:sz w:val="22"/>
          <w:szCs w:val="22"/>
        </w:rPr>
        <w:t xml:space="preserve">Clientèle établie incluant des noms reconnus du monde de la mode.</w:t>
      </w:r>
    </w:p>
    <w:p>
      <w:pPr>
        <w:pStyle w:val="ListParagraph"/>
        <w:numPr>
          <w:ilvl w:val="0"/>
          <w:numId w:val="1"/>
        </w:numPr>
        <w:spacing w:after="120" w:line="280"/>
      </w:pPr>
      <w:r>
        <w:rPr>
          <w:rFonts w:ascii="Calibri" w:cs="Calibri" w:eastAsia="Calibri" w:hAnsi="Calibri"/>
          <w:color w:val="1E1E1E"/>
          <w:sz w:val="22"/>
          <w:szCs w:val="22"/>
        </w:rPr>
        <w:t xml:space="preserve">Spécialisation rare sur les tissus délicats : suède, cuir, soie.</w:t>
      </w:r>
    </w:p>
    <w:p>
      <w:pPr>
        <w:pStyle w:val="ListParagraph"/>
        <w:numPr>
          <w:ilvl w:val="0"/>
          <w:numId w:val="1"/>
        </w:numPr>
        <w:spacing w:after="120" w:line="280"/>
      </w:pPr>
      <w:r>
        <w:rPr>
          <w:rFonts w:ascii="Calibri" w:cs="Calibri" w:eastAsia="Calibri" w:hAnsi="Calibri"/>
          <w:color w:val="1E1E1E"/>
          <w:sz w:val="22"/>
          <w:szCs w:val="22"/>
        </w:rPr>
        <w:t xml:space="preserve">Offre à trois volets déjà existante : sur-mesure, altérations fines, boutique de prêt-à-porter haut de gamme.</w:t>
      </w:r>
    </w:p>
    <w:p>
      <w:pPr>
        <w:pStyle w:val="ListParagraph"/>
        <w:numPr>
          <w:ilvl w:val="0"/>
          <w:numId w:val="1"/>
        </w:numPr>
        <w:spacing w:after="120" w:line="280"/>
      </w:pPr>
      <w:r>
        <w:rPr>
          <w:rFonts w:ascii="Calibri" w:cs="Calibri" w:eastAsia="Calibri" w:hAnsi="Calibri"/>
          <w:color w:val="1E1E1E"/>
          <w:sz w:val="22"/>
          <w:szCs w:val="22"/>
        </w:rPr>
        <w:t xml:space="preserve">Situation à Boucherville, sur la Rive-Sud, avec peu de concurrence directe positionnée en haut de gamme.</w:t>
      </w:r>
    </w:p>
    <w:p>
      <w:pPr>
        <w:pStyle w:val="Heading2"/>
        <w:spacing w:after="160" w:before="320"/>
      </w:pPr>
      <w:r>
        <w:rPr>
          <w:rFonts w:ascii="Georgia" w:cs="Georgia" w:eastAsia="Georgia" w:hAnsi="Georgia"/>
          <w:b/>
          <w:bCs/>
          <w:color w:val="9C7A3C"/>
          <w:sz w:val="24"/>
          <w:szCs w:val="24"/>
        </w:rPr>
        <w:t xml:space="preserve">Ce qui freine la perception de valeur</w:t>
      </w:r>
    </w:p>
    <w:p>
      <w:pPr>
        <w:pStyle w:val="ListParagraph"/>
        <w:numPr>
          <w:ilvl w:val="0"/>
          <w:numId w:val="1"/>
        </w:numPr>
        <w:spacing w:after="120" w:line="280"/>
      </w:pPr>
      <w:r>
        <w:rPr>
          <w:rFonts w:ascii="Calibri" w:cs="Calibri" w:eastAsia="Calibri" w:hAnsi="Calibri"/>
          <w:color w:val="1E1E1E"/>
          <w:sz w:val="22"/>
          <w:szCs w:val="22"/>
        </w:rPr>
        <w:t xml:space="preserve">Le site actuel fonctionne comme un dépliant générique : formulaire de contact standard, aucun système de rendez-vous.</w:t>
      </w:r>
    </w:p>
    <w:p>
      <w:pPr>
        <w:pStyle w:val="ListParagraph"/>
        <w:numPr>
          <w:ilvl w:val="0"/>
          <w:numId w:val="1"/>
        </w:numPr>
        <w:spacing w:after="120" w:line="280"/>
      </w:pPr>
      <w:r>
        <w:rPr>
          <w:rFonts w:ascii="Calibri" w:cs="Calibri" w:eastAsia="Calibri" w:hAnsi="Calibri"/>
          <w:color w:val="1E1E1E"/>
          <w:sz w:val="22"/>
          <w:szCs w:val="22"/>
        </w:rPr>
        <w:t xml:space="preserve">Aucun signal d'exclusivité — rien n'indique "sur rendez-vous uniquement" ou une expérience de consultation privée.</w:t>
      </w:r>
    </w:p>
    <w:p>
      <w:pPr>
        <w:pStyle w:val="ListParagraph"/>
        <w:numPr>
          <w:ilvl w:val="0"/>
          <w:numId w:val="1"/>
        </w:numPr>
        <w:spacing w:after="120" w:line="280"/>
      </w:pPr>
      <w:r>
        <w:rPr>
          <w:rFonts w:ascii="Calibri" w:cs="Calibri" w:eastAsia="Calibri" w:hAnsi="Calibri"/>
          <w:color w:val="1E1E1E"/>
          <w:sz w:val="22"/>
          <w:szCs w:val="22"/>
        </w:rPr>
        <w:t xml:space="preserve">Absence de repères de prix ou de paliers, ce qui empêche le client de se situer avant même de contacter l'atelier.</w:t>
      </w:r>
    </w:p>
    <w:p>
      <w:pPr>
        <w:pStyle w:val="ListParagraph"/>
        <w:numPr>
          <w:ilvl w:val="0"/>
          <w:numId w:val="1"/>
        </w:numPr>
        <w:spacing w:after="120" w:line="280"/>
      </w:pPr>
      <w:r>
        <w:rPr>
          <w:rFonts w:ascii="Calibri" w:cs="Calibri" w:eastAsia="Calibri" w:hAnsi="Calibri"/>
          <w:color w:val="1E1E1E"/>
          <w:sz w:val="22"/>
          <w:szCs w:val="22"/>
        </w:rPr>
        <w:t xml:space="preserve">Présence numérique limitée à Facebook, alors que la clientèle mode haut de gamme se trouve avant tout sur Instagram.</w:t>
      </w:r>
    </w:p>
    <w:p>
      <w:pPr>
        <w:pStyle w:val="ListParagraph"/>
        <w:numPr>
          <w:ilvl w:val="0"/>
          <w:numId w:val="1"/>
        </w:numPr>
        <w:spacing w:after="120" w:line="280"/>
      </w:pPr>
      <w:r>
        <w:rPr>
          <w:rFonts w:ascii="Calibri" w:cs="Calibri" w:eastAsia="Calibri" w:hAnsi="Calibri"/>
          <w:color w:val="1E1E1E"/>
          <w:sz w:val="22"/>
          <w:szCs w:val="22"/>
        </w:rPr>
        <w:t xml:space="preserve">La clientèle prestigieuse mentionnée n'est jamais mise en récit — aucun témoignage, aucune preuve sociale visible.</w:t>
      </w:r>
    </w:p>
    <w:p>
      <w:pPr>
        <w:pStyle w:val="Heading1"/>
        <w:pBdr>
          <w:bottom w:val="single" w:color="9C7A3C" w:sz="6" w:space="4"/>
        </w:pBdr>
        <w:spacing w:after="240" w:before="480"/>
      </w:pPr>
      <w:r>
        <w:rPr>
          <w:rFonts w:ascii="Georgia" w:cs="Georgia" w:eastAsia="Georgia" w:hAnsi="Georgia"/>
          <w:b/>
          <w:bCs/>
          <w:color w:val="1E1E1E"/>
          <w:sz w:val="30"/>
          <w:szCs w:val="30"/>
        </w:rPr>
        <w:t xml:space="preserve">3. Analyse comparative — comment se positionnent les ateliers de ce segment à Montréal</w:t>
      </w:r>
    </w:p>
    <w:p>
      <w:pPr>
        <w:spacing w:after="200" w:line="300"/>
      </w:pPr>
      <w:r>
        <w:rPr>
          <w:rFonts w:ascii="Calibri" w:cs="Calibri" w:eastAsia="Calibri" w:hAnsi="Calibri"/>
          <w:i w:val="false"/>
          <w:iCs w:val="false"/>
          <w:color w:val="1E1E1E"/>
          <w:sz w:val="22"/>
          <w:szCs w:val="22"/>
        </w:rPr>
        <w:t xml:space="preserve">Trois maisons de référence dans la région ont été observées pour cette proposition : Maison Cloakroom (rue de la Montagne), Tailleur Prestige (centre-ville) et Sartorialto, un atelier de sur-mesure fonctionnant exclusivement sur rendez-vous. Le tableau ci-dessous résume leurs pratiques par rapport à la situation actuelle de Mark 109.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900"/>
      </w:tblGrid>
      <w:tr>
        <w:tc>
          <w:tcPr>
            <w:tcW w:type="dxa" w:w="2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Critère</w:t>
            </w:r>
          </w:p>
        </w:tc>
        <w:tc>
          <w:tcPr>
            <w:tcW w:type="dxa" w:w="19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Mark 109 (actuel)</w:t>
            </w:r>
          </w:p>
        </w:tc>
        <w:tc>
          <w:tcPr>
            <w:tcW w:type="dxa" w:w="19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Maison Cloakroom</w:t>
            </w:r>
          </w:p>
        </w:tc>
        <w:tc>
          <w:tcPr>
            <w:tcW w:type="dxa" w:w="19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Tailleur Prestige</w:t>
            </w:r>
          </w:p>
        </w:tc>
        <w:tc>
          <w:tcPr>
            <w:tcW w:type="dxa" w:w="19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Sartorialto</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Prise de contact</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Formulaire générique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Réservation en ligne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"Réserver ma consultation"</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Sur rendez-vous uniquement</w:t>
            </w:r>
          </w:p>
        </w:tc>
      </w:tr>
      <w:tr>
        <w:tc>
          <w:tcPr>
            <w:tcW w:type="dxa" w:w="20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Paliers de prix visibles</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Aucun</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3 paliers dès $1 695</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Non affiché, sur devis</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Non affiché</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Présence Instagram</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Absente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Active, forte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Active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Discrète</w:t>
            </w:r>
          </w:p>
        </w:tc>
      </w:tr>
      <w:tr>
        <w:tc>
          <w:tcPr>
            <w:tcW w:type="dxa" w:w="20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Preuve sociale</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Non exploitée</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Contenu visuel riche</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Note Google 4,8/5 affichée</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Réputation de bouche-à-oreille</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Structure de l'offre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3 services listés</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3 lignes de produit claires</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3 services + processus détaillé</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Atelier unique, positionnement premium</w:t>
            </w:r>
          </w:p>
        </w:tc>
      </w:tr>
    </w:tbl>
    <w:p>
      <w:pPr>
        <w:spacing w:before="240"/>
      </w:pPr>
    </w:p>
    <w:p>
      <w:pPr>
        <w:spacing w:after="200" w:line="300"/>
      </w:pPr>
      <w:r>
        <w:rPr>
          <w:rFonts w:ascii="Calibri" w:cs="Calibri" w:eastAsia="Calibri" w:hAnsi="Calibri"/>
          <w:i w:val="false"/>
          <w:iCs w:val="false"/>
          <w:color w:val="1E1E1E"/>
          <w:sz w:val="22"/>
          <w:szCs w:val="22"/>
        </w:rPr>
        <w:t xml:space="preserve">Le constat est clair : aucune de ces maisons ne vend "au comptoir". Toutes filtrent leur clientèle à travers une prise de rendez-vous ou une consultation, toutes affichent au moins un repère de prix ou de palier, et toutes misent sur Instagram comme vitrine visuelle principale. C'est exactement la direction que confirme la théorie de départ de ce projet.</w:t>
      </w:r>
    </w:p>
    <w:p>
      <w:pPr>
        <w:pStyle w:val="Heading1"/>
        <w:pBdr>
          <w:bottom w:val="single" w:color="9C7A3C" w:sz="6" w:space="4"/>
        </w:pBdr>
        <w:spacing w:after="240" w:before="480"/>
      </w:pPr>
      <w:r>
        <w:rPr>
          <w:rFonts w:ascii="Georgia" w:cs="Georgia" w:eastAsia="Georgia" w:hAnsi="Georgia"/>
          <w:b/>
          <w:bCs/>
          <w:color w:val="1E1E1E"/>
          <w:sz w:val="30"/>
          <w:szCs w:val="30"/>
        </w:rPr>
        <w:t xml:space="preserve">4. La vision — l'Atelier Privé Mark 109</w:t>
      </w:r>
    </w:p>
    <w:p>
      <w:pPr>
        <w:spacing w:after="200" w:line="300"/>
      </w:pPr>
      <w:r>
        <w:rPr>
          <w:rFonts w:ascii="Calibri" w:cs="Calibri" w:eastAsia="Calibri" w:hAnsi="Calibri"/>
          <w:i w:val="false"/>
          <w:iCs w:val="false"/>
          <w:color w:val="1E1E1E"/>
          <w:sz w:val="22"/>
          <w:szCs w:val="22"/>
        </w:rPr>
        <w:t xml:space="preserve">Le repositionnement proposé ne change pas le métier : il change le cadre. Le même savoir-faire — sur-mesure, retouches fines, conseils de style — est présenté non plus comme un service de quartier, mais comme une expérience privée, réservée à une clientèle qui recherche précision, discrétion et exclusivité.</w:t>
      </w:r>
    </w:p>
    <w:p>
      <w:pPr>
        <w:spacing w:after="200" w:line="300"/>
      </w:pPr>
      <w:r>
        <w:rPr>
          <w:rFonts w:ascii="Calibri" w:cs="Calibri" w:eastAsia="Calibri" w:hAnsi="Calibri"/>
          <w:i w:val="false"/>
          <w:iCs w:val="false"/>
          <w:color w:val="1E1E1E"/>
          <w:sz w:val="22"/>
          <w:szCs w:val="22"/>
        </w:rPr>
        <w:t xml:space="preserve">Concrètement, cela veut dire : remplacer "boutique ouverte à tous" par "atelier sur rendez-vous" ; remplacer le formulaire de contact générique par une prise de rendez-vous structurée ; et raconter, avec la permission des clients concernés, l'histoire de la clientèle mode déjà servie par l'atelier.</w:t>
      </w:r>
    </w:p>
    <w:p>
      <w:pPr>
        <w:pStyle w:val="Heading1"/>
        <w:pBdr>
          <w:bottom w:val="single" w:color="9C7A3C" w:sz="6" w:space="4"/>
        </w:pBdr>
        <w:spacing w:after="240" w:before="480"/>
      </w:pPr>
      <w:r>
        <w:rPr>
          <w:rFonts w:ascii="Georgia" w:cs="Georgia" w:eastAsia="Georgia" w:hAnsi="Georgia"/>
          <w:b/>
          <w:bCs/>
          <w:color w:val="1E1E1E"/>
          <w:sz w:val="30"/>
          <w:szCs w:val="30"/>
        </w:rPr>
        <w:t xml:space="preserve">5. Les quatre piliers du repositionnement</w:t>
      </w:r>
    </w:p>
    <w:p>
      <w:pPr>
        <w:pStyle w:val="Heading2"/>
        <w:spacing w:after="160" w:before="320"/>
      </w:pPr>
      <w:r>
        <w:rPr>
          <w:rFonts w:ascii="Georgia" w:cs="Georgia" w:eastAsia="Georgia" w:hAnsi="Georgia"/>
          <w:b/>
          <w:bCs/>
          <w:color w:val="9C7A3C"/>
          <w:sz w:val="24"/>
          <w:szCs w:val="24"/>
        </w:rPr>
        <w:t xml:space="preserve">5.1 Le modèle de rendez-vous privés</w:t>
      </w:r>
    </w:p>
    <w:p>
      <w:pPr>
        <w:spacing w:after="200" w:line="300"/>
      </w:pPr>
      <w:r>
        <w:rPr>
          <w:rFonts w:ascii="Calibri" w:cs="Calibri" w:eastAsia="Calibri" w:hAnsi="Calibri"/>
          <w:i w:val="false"/>
          <w:iCs w:val="false"/>
          <w:color w:val="1E1E1E"/>
          <w:sz w:val="22"/>
          <w:szCs w:val="22"/>
        </w:rPr>
        <w:t xml:space="preserve">Chaque interaction commence par une consultation, jamais par une vente directe. L'agenda devient un outil de positionnement : un client qui doit prendre rendez-vous perçoit d'emblée un niveau de service plus élevé qu'un client qui entre simplement dans une boutique.</w:t>
      </w:r>
    </w:p>
    <w:p>
      <w:pPr>
        <w:pStyle w:val="Heading2"/>
        <w:spacing w:after="160" w:before="320"/>
      </w:pPr>
      <w:r>
        <w:rPr>
          <w:rFonts w:ascii="Georgia" w:cs="Georgia" w:eastAsia="Georgia" w:hAnsi="Georgia"/>
          <w:b/>
          <w:bCs/>
          <w:color w:val="9C7A3C"/>
          <w:sz w:val="24"/>
          <w:szCs w:val="24"/>
        </w:rPr>
        <w:t xml:space="preserve">5.2 La segmentation de l'offre</w:t>
      </w:r>
    </w:p>
    <w:p>
      <w:pPr>
        <w:spacing w:after="200" w:line="300"/>
      </w:pPr>
      <w:r>
        <w:rPr>
          <w:rFonts w:ascii="Calibri" w:cs="Calibri" w:eastAsia="Calibri" w:hAnsi="Calibri"/>
          <w:i w:val="false"/>
          <w:iCs w:val="false"/>
          <w:color w:val="1E1E1E"/>
          <w:sz w:val="22"/>
          <w:szCs w:val="22"/>
        </w:rPr>
        <w:t xml:space="preserve">Les trois services existants gagnent à être présentés comme trois lignes distinctes, chacune avec sa propre promesse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c>
          <w:tcPr>
            <w:tcW w:type="dxa" w:w="26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Ligne de service</w:t>
            </w:r>
          </w:p>
        </w:tc>
        <w:tc>
          <w:tcPr>
            <w:tcW w:type="dxa" w:w="42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Positionnement</w:t>
            </w:r>
          </w:p>
        </w:tc>
        <w:tc>
          <w:tcPr>
            <w:tcW w:type="dxa" w:w="28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Client cible</w:t>
            </w:r>
          </w:p>
        </w:tc>
      </w:tr>
      <w:tr>
        <w:tc>
          <w:tcPr>
            <w:tcW w:type="dxa" w:w="2600"/>
            <w:tcMar>
              <w:top w:type="dxa" w:w="100"/>
              <w:left w:type="dxa" w:w="120"/>
              <w:bottom w:type="dxa" w:w="100"/>
              <w:right w:type="dxa" w:w="120"/>
            </w:tcMar>
          </w:tcPr>
          <w:p>
            <w:r>
              <w:rPr>
                <w:rFonts w:ascii="Calibri" w:cs="Calibri" w:eastAsia="Calibri" w:hAnsi="Calibri"/>
                <w:b/>
                <w:bCs/>
                <w:color w:val="1E1E1E"/>
                <w:sz w:val="20"/>
                <w:szCs w:val="20"/>
              </w:rPr>
              <w:t xml:space="preserve">Sur-mesure haute couture</w:t>
            </w:r>
          </w:p>
        </w:tc>
        <w:tc>
          <w:tcPr>
            <w:tcW w:type="dxa" w:w="4200"/>
            <w:tcMar>
              <w:top w:type="dxa" w:w="100"/>
              <w:left w:type="dxa" w:w="120"/>
              <w:bottom w:type="dxa" w:w="100"/>
              <w:right w:type="dxa" w:w="120"/>
            </w:tcMar>
          </w:tcPr>
          <w:p>
            <w:r>
              <w:rPr>
                <w:rFonts w:ascii="Calibri" w:cs="Calibri" w:eastAsia="Calibri" w:hAnsi="Calibri"/>
                <w:b w:val="false"/>
                <w:bCs w:val="false"/>
                <w:color w:val="1E1E1E"/>
                <w:sz w:val="20"/>
                <w:szCs w:val="20"/>
              </w:rPr>
              <w:t xml:space="preserve">Création complète, de la sélection du tissu à la dernière retouche — l'expérience signature de l'atelier</w:t>
            </w:r>
          </w:p>
        </w:tc>
        <w:tc>
          <w:tcPr>
            <w:tcW w:type="dxa" w:w="2800"/>
            <w:tcMar>
              <w:top w:type="dxa" w:w="100"/>
              <w:left w:type="dxa" w:w="120"/>
              <w:bottom w:type="dxa" w:w="100"/>
              <w:right w:type="dxa" w:w="120"/>
            </w:tcMar>
          </w:tcPr>
          <w:p>
            <w:r>
              <w:rPr>
                <w:rFonts w:ascii="Calibri" w:cs="Calibri" w:eastAsia="Calibri" w:hAnsi="Calibri"/>
                <w:b w:val="false"/>
                <w:bCs w:val="false"/>
                <w:color w:val="1E1E1E"/>
                <w:sz w:val="20"/>
                <w:szCs w:val="20"/>
              </w:rPr>
              <w:t xml:space="preserve">Clientèle exigeante, occasions marquantes, garde-robe professionnelle</w:t>
            </w:r>
          </w:p>
        </w:tc>
      </w:tr>
      <w:tr>
        <w:tc>
          <w:tcPr>
            <w:tcW w:type="dxa" w:w="26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Retouches de pièces fines</w:t>
            </w:r>
          </w:p>
        </w:tc>
        <w:tc>
          <w:tcPr>
            <w:tcW w:type="dxa" w:w="42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Expertise réservée aux tissus délicats (soie, suède, cuir) et aux pièces de créateurs</w:t>
            </w:r>
          </w:p>
        </w:tc>
        <w:tc>
          <w:tcPr>
            <w:tcW w:type="dxa" w:w="28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Propriétaires de vêtements de luxe déjà acquis ailleurs</w:t>
            </w:r>
          </w:p>
        </w:tc>
      </w:tr>
      <w:tr>
        <w:tc>
          <w:tcPr>
            <w:tcW w:type="dxa" w:w="2600"/>
            <w:tcMar>
              <w:top w:type="dxa" w:w="100"/>
              <w:left w:type="dxa" w:w="120"/>
              <w:bottom w:type="dxa" w:w="100"/>
              <w:right w:type="dxa" w:w="120"/>
            </w:tcMar>
          </w:tcPr>
          <w:p>
            <w:r>
              <w:rPr>
                <w:rFonts w:ascii="Calibri" w:cs="Calibri" w:eastAsia="Calibri" w:hAnsi="Calibri"/>
                <w:b/>
                <w:bCs/>
                <w:color w:val="1E1E1E"/>
                <w:sz w:val="20"/>
                <w:szCs w:val="20"/>
              </w:rPr>
              <w:t xml:space="preserve">Boutique curatée</w:t>
            </w:r>
          </w:p>
        </w:tc>
        <w:tc>
          <w:tcPr>
            <w:tcW w:type="dxa" w:w="4200"/>
            <w:tcMar>
              <w:top w:type="dxa" w:w="100"/>
              <w:left w:type="dxa" w:w="120"/>
              <w:bottom w:type="dxa" w:w="100"/>
              <w:right w:type="dxa" w:w="120"/>
            </w:tcMar>
          </w:tcPr>
          <w:p>
            <w:r>
              <w:rPr>
                <w:rFonts w:ascii="Calibri" w:cs="Calibri" w:eastAsia="Calibri" w:hAnsi="Calibri"/>
                <w:b w:val="false"/>
                <w:bCs w:val="false"/>
                <w:color w:val="1E1E1E"/>
                <w:sz w:val="20"/>
                <w:szCs w:val="20"/>
              </w:rPr>
              <w:t xml:space="preserve">Sélection restreinte de prêt-à-porter haut de gamme, ajustée sur place</w:t>
            </w:r>
          </w:p>
        </w:tc>
        <w:tc>
          <w:tcPr>
            <w:tcW w:type="dxa" w:w="2800"/>
            <w:tcMar>
              <w:top w:type="dxa" w:w="100"/>
              <w:left w:type="dxa" w:w="120"/>
              <w:bottom w:type="dxa" w:w="100"/>
              <w:right w:type="dxa" w:w="120"/>
            </w:tcMar>
          </w:tcPr>
          <w:p>
            <w:r>
              <w:rPr>
                <w:rFonts w:ascii="Calibri" w:cs="Calibri" w:eastAsia="Calibri" w:hAnsi="Calibri"/>
                <w:b w:val="false"/>
                <w:bCs w:val="false"/>
                <w:color w:val="1E1E1E"/>
                <w:sz w:val="20"/>
                <w:szCs w:val="20"/>
              </w:rPr>
              <w:t xml:space="preserve">Clientèle qui découvre l'atelier via un achat, puis devient cliente du sur-mesure</w:t>
            </w:r>
          </w:p>
        </w:tc>
      </w:tr>
    </w:tbl>
    <w:p>
      <w:pPr>
        <w:spacing w:before="240"/>
      </w:pPr>
    </w:p>
    <w:p>
      <w:pPr>
        <w:pStyle w:val="Heading2"/>
        <w:spacing w:after="160" w:before="320"/>
      </w:pPr>
      <w:r>
        <w:rPr>
          <w:rFonts w:ascii="Georgia" w:cs="Georgia" w:eastAsia="Georgia" w:hAnsi="Georgia"/>
          <w:b/>
          <w:bCs/>
          <w:color w:val="9C7A3C"/>
          <w:sz w:val="24"/>
          <w:szCs w:val="24"/>
        </w:rPr>
        <w:t xml:space="preserve">5.3 Les paliers de prix comme signal de qualité</w:t>
      </w:r>
    </w:p>
    <w:p>
      <w:pPr>
        <w:spacing w:after="200" w:line="300"/>
      </w:pPr>
      <w:r>
        <w:rPr>
          <w:rFonts w:ascii="Calibri" w:cs="Calibri" w:eastAsia="Calibri" w:hAnsi="Calibri"/>
          <w:i w:val="false"/>
          <w:iCs w:val="false"/>
          <w:color w:val="1E1E1E"/>
          <w:sz w:val="22"/>
          <w:szCs w:val="22"/>
        </w:rPr>
        <w:t xml:space="preserve">Il ne s'agit pas d'afficher une liste de prix rigide, mais de donner des repères — "à partir de" — qui permettent au client de se situer et qui renforcent, plutôt qu'ils ne diminuent, la perception d'exclusivité.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c>
          <w:tcPr>
            <w:tcW w:type="dxa" w:w="24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Palier</w:t>
            </w:r>
          </w:p>
        </w:tc>
        <w:tc>
          <w:tcPr>
            <w:tcW w:type="dxa" w:w="42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Exemple</w:t>
            </w:r>
          </w:p>
        </w:tc>
        <w:tc>
          <w:tcPr>
            <w:tcW w:type="dxa" w:w="3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Signal envoyé</w:t>
            </w:r>
          </w:p>
        </w:tc>
      </w:tr>
      <w:tr>
        <w:tc>
          <w:tcPr>
            <w:tcW w:type="dxa" w:w="2400"/>
            <w:tcMar>
              <w:top w:type="dxa" w:w="100"/>
              <w:left w:type="dxa" w:w="120"/>
              <w:bottom w:type="dxa" w:w="100"/>
              <w:right w:type="dxa" w:w="120"/>
            </w:tcMar>
          </w:tcPr>
          <w:p>
            <w:r>
              <w:rPr>
                <w:rFonts w:ascii="Calibri" w:cs="Calibri" w:eastAsia="Calibri" w:hAnsi="Calibri"/>
                <w:b/>
                <w:bCs/>
                <w:color w:val="1E1E1E"/>
                <w:sz w:val="20"/>
                <w:szCs w:val="20"/>
              </w:rPr>
              <w:t xml:space="preserve">Essentiel</w:t>
            </w:r>
          </w:p>
        </w:tc>
        <w:tc>
          <w:tcPr>
            <w:tcW w:type="dxa" w:w="4200"/>
            <w:tcMar>
              <w:top w:type="dxa" w:w="100"/>
              <w:left w:type="dxa" w:w="120"/>
              <w:bottom w:type="dxa" w:w="100"/>
              <w:right w:type="dxa" w:w="120"/>
            </w:tcMar>
          </w:tcPr>
          <w:p>
            <w:r>
              <w:rPr>
                <w:rFonts w:ascii="Calibri" w:cs="Calibri" w:eastAsia="Calibri" w:hAnsi="Calibri"/>
                <w:b w:val="false"/>
                <w:bCs w:val="false"/>
                <w:color w:val="1E1E1E"/>
                <w:sz w:val="20"/>
                <w:szCs w:val="20"/>
              </w:rPr>
              <w:t xml:space="preserve">Retouche standard (ourlet, ajustement simple)</w:t>
            </w:r>
          </w:p>
        </w:tc>
        <w:tc>
          <w:tcPr>
            <w:tcW w:type="dxa" w:w="3000"/>
            <w:tcMar>
              <w:top w:type="dxa" w:w="100"/>
              <w:left w:type="dxa" w:w="120"/>
              <w:bottom w:type="dxa" w:w="100"/>
              <w:right w:type="dxa" w:w="120"/>
            </w:tcMar>
          </w:tcPr>
          <w:p>
            <w:r>
              <w:rPr>
                <w:rFonts w:ascii="Calibri" w:cs="Calibri" w:eastAsia="Calibri" w:hAnsi="Calibri"/>
                <w:b w:val="false"/>
                <w:bCs w:val="false"/>
                <w:color w:val="1E1E1E"/>
                <w:sz w:val="20"/>
                <w:szCs w:val="20"/>
              </w:rPr>
              <w:t xml:space="preserve">Accessible, mais toujours encadré par une consultation</w:t>
            </w:r>
          </w:p>
        </w:tc>
      </w:tr>
      <w:tr>
        <w:tc>
          <w:tcPr>
            <w:tcW w:type="dxa" w:w="24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Signature</w:t>
            </w:r>
          </w:p>
        </w:tc>
        <w:tc>
          <w:tcPr>
            <w:tcW w:type="dxa" w:w="42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Retouche de pièce de créateur ou tissu délicat</w:t>
            </w:r>
          </w:p>
        </w:tc>
        <w:tc>
          <w:tcPr>
            <w:tcW w:type="dxa" w:w="30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Expertise spécialisée, tarif à la hauteur du savoir-faire</w:t>
            </w:r>
          </w:p>
        </w:tc>
      </w:tr>
      <w:tr>
        <w:tc>
          <w:tcPr>
            <w:tcW w:type="dxa" w:w="2400"/>
            <w:tcMar>
              <w:top w:type="dxa" w:w="100"/>
              <w:left w:type="dxa" w:w="120"/>
              <w:bottom w:type="dxa" w:w="100"/>
              <w:right w:type="dxa" w:w="120"/>
            </w:tcMar>
          </w:tcPr>
          <w:p>
            <w:r>
              <w:rPr>
                <w:rFonts w:ascii="Calibri" w:cs="Calibri" w:eastAsia="Calibri" w:hAnsi="Calibri"/>
                <w:b/>
                <w:bCs/>
                <w:color w:val="1E1E1E"/>
                <w:sz w:val="20"/>
                <w:szCs w:val="20"/>
              </w:rPr>
              <w:t xml:space="preserve">Sur-mesure intégral</w:t>
            </w:r>
          </w:p>
        </w:tc>
        <w:tc>
          <w:tcPr>
            <w:tcW w:type="dxa" w:w="4200"/>
            <w:tcMar>
              <w:top w:type="dxa" w:w="100"/>
              <w:left w:type="dxa" w:w="120"/>
              <w:bottom w:type="dxa" w:w="100"/>
              <w:right w:type="dxa" w:w="120"/>
            </w:tcMar>
          </w:tcPr>
          <w:p>
            <w:r>
              <w:rPr>
                <w:rFonts w:ascii="Calibri" w:cs="Calibri" w:eastAsia="Calibri" w:hAnsi="Calibri"/>
                <w:b w:val="false"/>
                <w:bCs w:val="false"/>
                <w:color w:val="1E1E1E"/>
                <w:sz w:val="20"/>
                <w:szCs w:val="20"/>
              </w:rPr>
              <w:t xml:space="preserve">Création complète, du choix du tissu à la livraison</w:t>
            </w:r>
          </w:p>
        </w:tc>
        <w:tc>
          <w:tcPr>
            <w:tcW w:type="dxa" w:w="3000"/>
            <w:tcMar>
              <w:top w:type="dxa" w:w="100"/>
              <w:left w:type="dxa" w:w="120"/>
              <w:bottom w:type="dxa" w:w="100"/>
              <w:right w:type="dxa" w:w="120"/>
            </w:tcMar>
          </w:tcPr>
          <w:p>
            <w:r>
              <w:rPr>
                <w:rFonts w:ascii="Calibri" w:cs="Calibri" w:eastAsia="Calibri" w:hAnsi="Calibri"/>
                <w:b w:val="false"/>
                <w:bCs w:val="false"/>
                <w:color w:val="1E1E1E"/>
                <w:sz w:val="20"/>
                <w:szCs w:val="20"/>
              </w:rPr>
              <w:t xml:space="preserve">Investissement, expérience complète, exclusivité</w:t>
            </w:r>
          </w:p>
        </w:tc>
      </w:tr>
    </w:tbl>
    <w:p>
      <w:pPr>
        <w:spacing w:before="240"/>
      </w:pPr>
    </w:p>
    <w:p>
      <w:pPr>
        <w:pStyle w:val="Heading2"/>
        <w:spacing w:after="160" w:before="320"/>
      </w:pPr>
      <w:r>
        <w:rPr>
          <w:rFonts w:ascii="Georgia" w:cs="Georgia" w:eastAsia="Georgia" w:hAnsi="Georgia"/>
          <w:b/>
          <w:bCs/>
          <w:color w:val="9C7A3C"/>
          <w:sz w:val="24"/>
          <w:szCs w:val="24"/>
        </w:rPr>
        <w:t xml:space="preserve">5.4 La présence numérique repensée</w:t>
      </w:r>
    </w:p>
    <w:p>
      <w:pPr>
        <w:pStyle w:val="ListParagraph"/>
        <w:numPr>
          <w:ilvl w:val="0"/>
          <w:numId w:val="1"/>
        </w:numPr>
        <w:spacing w:after="120" w:line="280"/>
      </w:pPr>
      <w:r>
        <w:rPr>
          <w:rFonts w:ascii="Calibri" w:cs="Calibri" w:eastAsia="Calibri" w:hAnsi="Calibri"/>
          <w:color w:val="1E1E1E"/>
          <w:sz w:val="22"/>
          <w:szCs w:val="22"/>
        </w:rPr>
        <w:t xml:space="preserve">Site web : remplacer le formulaire générique par un système de réservation de consultation.</w:t>
      </w:r>
    </w:p>
    <w:p>
      <w:pPr>
        <w:pStyle w:val="ListParagraph"/>
        <w:numPr>
          <w:ilvl w:val="0"/>
          <w:numId w:val="1"/>
        </w:numPr>
        <w:spacing w:after="120" w:line="280"/>
      </w:pPr>
      <w:r>
        <w:rPr>
          <w:rFonts w:ascii="Calibri" w:cs="Calibri" w:eastAsia="Calibri" w:hAnsi="Calibri"/>
          <w:color w:val="1E1E1E"/>
          <w:sz w:val="22"/>
          <w:szCs w:val="22"/>
        </w:rPr>
        <w:t xml:space="preserve">Instagram : ouverture d'un compte dédié, avec du contenu sur les coulisses de l'atelier, les tissus, les créations, les avant/après de retouches.</w:t>
      </w:r>
    </w:p>
    <w:p>
      <w:pPr>
        <w:pStyle w:val="ListParagraph"/>
        <w:numPr>
          <w:ilvl w:val="0"/>
          <w:numId w:val="1"/>
        </w:numPr>
        <w:spacing w:after="120" w:line="280"/>
      </w:pPr>
      <w:r>
        <w:rPr>
          <w:rFonts w:ascii="Calibri" w:cs="Calibri" w:eastAsia="Calibri" w:hAnsi="Calibri"/>
          <w:color w:val="1E1E1E"/>
          <w:sz w:val="22"/>
          <w:szCs w:val="22"/>
        </w:rPr>
        <w:t xml:space="preserve">Témoignages : demander à quelques clients notables la permission de partager leur expérience, même de façon discrète.</w:t>
      </w:r>
    </w:p>
    <w:p>
      <w:pPr>
        <w:pStyle w:val="ListParagraph"/>
        <w:numPr>
          <w:ilvl w:val="0"/>
          <w:numId w:val="1"/>
        </w:numPr>
        <w:spacing w:after="120" w:line="280"/>
      </w:pPr>
      <w:r>
        <w:rPr>
          <w:rFonts w:ascii="Calibri" w:cs="Calibri" w:eastAsia="Calibri" w:hAnsi="Calibri"/>
          <w:color w:val="1E1E1E"/>
          <w:sz w:val="22"/>
          <w:szCs w:val="22"/>
        </w:rPr>
        <w:t xml:space="preserve">Preuve sociale : mettre en avant la note Google si elle est forte, comme le fait Tailleur Prestige.</w:t>
      </w:r>
    </w:p>
    <w:p>
      <w:pPr>
        <w:pStyle w:val="Heading1"/>
        <w:pBdr>
          <w:bottom w:val="single" w:color="9C7A3C" w:sz="6" w:space="4"/>
        </w:pBdr>
        <w:spacing w:after="240" w:before="480"/>
      </w:pPr>
      <w:r>
        <w:rPr>
          <w:rFonts w:ascii="Georgia" w:cs="Georgia" w:eastAsia="Georgia" w:hAnsi="Georgia"/>
          <w:b/>
          <w:bCs/>
          <w:color w:val="1E1E1E"/>
          <w:sz w:val="30"/>
          <w:szCs w:val="30"/>
        </w:rPr>
        <w:t xml:space="preserve">6. La transition d'affaires — de boutique de quartier à atelier privé, sans rupture</w:t>
      </w:r>
    </w:p>
    <w:p>
      <w:pPr>
        <w:spacing w:after="200" w:line="300"/>
      </w:pPr>
      <w:r>
        <w:rPr>
          <w:rFonts w:ascii="Calibri" w:cs="Calibri" w:eastAsia="Calibri" w:hAnsi="Calibri"/>
          <w:i w:val="false"/>
          <w:iCs w:val="false"/>
          <w:color w:val="1E1E1E"/>
          <w:sz w:val="22"/>
          <w:szCs w:val="22"/>
        </w:rPr>
        <w:t xml:space="preserve">Mark 109 vit aujourd'hui d'un modèle de volume : la porte est ouverte, chacun peut entrer, chaque pièce est facturée à l'acte. Le repositionnement proposé introduit un modèle de marge et de perception : peu de clients, beaucoup d'attention, un prix à la hauteur. Ces deux modèles ne sont pas en concurrence — mais présentés comme un interrupteur qu'on coupe du jour au lendemain, ils génèrent une vraie prise de risque : perdre le revenu immédiat avant que la clientèle exclusive n'existe encore.</w:t>
      </w:r>
    </w:p>
    <w:p>
      <w:pPr>
        <w:spacing w:after="200" w:line="300"/>
      </w:pPr>
      <w:r>
        <w:rPr>
          <w:rFonts w:ascii="Calibri" w:cs="Calibri" w:eastAsia="Calibri" w:hAnsi="Calibri"/>
          <w:i w:val="false"/>
          <w:iCs w:val="false"/>
          <w:color w:val="1E1E1E"/>
          <w:sz w:val="22"/>
          <w:szCs w:val="22"/>
        </w:rPr>
        <w:t xml:space="preserve">La solution n'est pas de choisir entre les deux, mais de séparer l'atelier en deux couches qui, en réalité, existent déjà dans la structure de prix proposée. La couche de volume — retouches courantes, altérations — continue exactement comme aujourd'hui : porte ouverte, sans rendez-vous, revenu constant. C'est le palier « Essentiel ». La couche exclusive — conseil de style, création complète, « Sur-mesure intégral » — devient sur rendez-vous, deux jours par semaine. Cette rareté n'est pas fabriquée : elle correspond au temps réel que le sastre peut consacrer à ce niveau de service, le reste de la semaine étant occupé par les clients existants.</w:t>
      </w:r>
    </w:p>
    <w:p>
      <w:pPr>
        <w:spacing w:after="200" w:line="300"/>
      </w:pPr>
      <w:r>
        <w:rPr>
          <w:rFonts w:ascii="Calibri" w:cs="Calibri" w:eastAsia="Calibri" w:hAnsi="Calibri"/>
          <w:i w:val="false"/>
          <w:iCs w:val="false"/>
          <w:color w:val="1E1E1E"/>
          <w:sz w:val="22"/>
          <w:szCs w:val="22"/>
        </w:rPr>
        <w:t xml:space="preserve">Le tableau ci-dessous propose un séquençage en trois phases, pour que la transition soit ressentie comme une évolution progressive plutôt qu'une rupture — même si la transformation, une fois complétée, est en réalité profonde.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800"/>
        <w:gridCol w:w="1800"/>
      </w:tblGrid>
      <w:tr>
        <w:tc>
          <w:tcPr>
            <w:tcW w:type="dxa" w:w="2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3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Ce qui change</w:t>
            </w:r>
          </w:p>
        </w:tc>
        <w:tc>
          <w:tcPr>
            <w:tcW w:type="dxa" w:w="28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Ce qui ne change pas</w:t>
            </w:r>
          </w:p>
        </w:tc>
        <w:tc>
          <w:tcPr>
            <w:tcW w:type="dxa" w:w="18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Signal de passage</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1. Fondation
(Mois 1)</w:t>
            </w:r>
          </w:p>
        </w:tc>
        <w:tc>
          <w:tcPr>
            <w:tcW w:type="dxa" w:w="3000"/>
            <w:tcMar>
              <w:top w:type="dxa" w:w="100"/>
              <w:left w:type="dxa" w:w="120"/>
              <w:bottom w:type="dxa" w:w="100"/>
              <w:right w:type="dxa" w:w="120"/>
            </w:tcMar>
          </w:tcPr>
          <w:p>
            <w:r>
              <w:rPr>
                <w:rFonts w:ascii="Calibri" w:cs="Calibri" w:eastAsia="Calibri" w:hAnsi="Calibri"/>
                <w:b w:val="false"/>
                <w:bCs w:val="false"/>
                <w:color w:val="1E1E1E"/>
                <w:sz w:val="20"/>
                <w:szCs w:val="20"/>
              </w:rPr>
              <w:t xml:space="preserve">Lancement discret du site et de l'identité « Atelier Privé » ; annonce ciblée aux meilleurs clients existants.</w:t>
            </w:r>
          </w:p>
        </w:tc>
        <w:tc>
          <w:tcPr>
            <w:tcW w:type="dxa" w:w="2800"/>
            <w:tcMar>
              <w:top w:type="dxa" w:w="100"/>
              <w:left w:type="dxa" w:w="120"/>
              <w:bottom w:type="dxa" w:w="100"/>
              <w:right w:type="dxa" w:w="120"/>
            </w:tcMar>
          </w:tcPr>
          <w:p>
            <w:r>
              <w:rPr>
                <w:rFonts w:ascii="Calibri" w:cs="Calibri" w:eastAsia="Calibri" w:hAnsi="Calibri"/>
                <w:b w:val="false"/>
                <w:bCs w:val="false"/>
                <w:color w:val="1E1E1E"/>
                <w:sz w:val="20"/>
                <w:szCs w:val="20"/>
              </w:rPr>
              <w:t xml:space="preserve">Aucune modification du service au comptoir — les altérations continuent normalement, sans interruption.</w:t>
            </w:r>
          </w:p>
        </w:tc>
        <w:tc>
          <w:tcPr>
            <w:tcW w:type="dxa" w:w="1800"/>
            <w:tcMar>
              <w:top w:type="dxa" w:w="100"/>
              <w:left w:type="dxa" w:w="120"/>
              <w:bottom w:type="dxa" w:w="100"/>
              <w:right w:type="dxa" w:w="120"/>
            </w:tcMar>
          </w:tcPr>
          <w:p>
            <w:r>
              <w:rPr>
                <w:rFonts w:ascii="Calibri" w:cs="Calibri" w:eastAsia="Calibri" w:hAnsi="Calibri"/>
                <w:b w:val="false"/>
                <w:bCs w:val="false"/>
                <w:color w:val="1E1E1E"/>
                <w:sz w:val="20"/>
                <w:szCs w:val="20"/>
              </w:rPr>
              <w:t xml:space="preserve">Site en ligne ; premiers rendez-vous test pris.</w:t>
            </w:r>
          </w:p>
        </w:tc>
      </w:tr>
      <w:tr>
        <w:tc>
          <w:tcPr>
            <w:tcW w:type="dxa" w:w="20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2. Lancement mesuré
(Mois 2-4)</w:t>
            </w:r>
          </w:p>
        </w:tc>
        <w:tc>
          <w:tcPr>
            <w:tcW w:type="dxa" w:w="30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Ouverture réelle des deux jours de rendez-vous privés (mardi et vendredi) ; premières séances de style complet.</w:t>
            </w:r>
          </w:p>
        </w:tc>
        <w:tc>
          <w:tcPr>
            <w:tcW w:type="dxa" w:w="28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Le reste de la semaine reste dédié aux clients d'altération, exactement comme avant.</w:t>
            </w:r>
          </w:p>
        </w:tc>
        <w:tc>
          <w:tcPr>
            <w:tcW w:type="dxa" w:w="18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Taux d'occupation des rendez-vous ≥ 50 % ; retours clients positifs.</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3. Affirmation publique
(Mois 5-8 et +)</w:t>
            </w:r>
          </w:p>
        </w:tc>
        <w:tc>
          <w:tcPr>
            <w:tcW w:type="dxa" w:w="3000"/>
            <w:tcMar>
              <w:top w:type="dxa" w:w="100"/>
              <w:left w:type="dxa" w:w="120"/>
              <w:bottom w:type="dxa" w:w="100"/>
              <w:right w:type="dxa" w:w="120"/>
            </w:tcMar>
          </w:tcPr>
          <w:p>
            <w:r>
              <w:rPr>
                <w:rFonts w:ascii="Calibri" w:cs="Calibri" w:eastAsia="Calibri" w:hAnsi="Calibri"/>
                <w:b w:val="false"/>
                <w:bCs w:val="false"/>
                <w:color w:val="1E1E1E"/>
                <w:sz w:val="20"/>
                <w:szCs w:val="20"/>
              </w:rPr>
              <w:t xml:space="preserve">L'identité publique (site, réseaux, vitrine) bascule vers le positionnement « atelier privé » en priorité.</w:t>
            </w:r>
          </w:p>
        </w:tc>
        <w:tc>
          <w:tcPr>
            <w:tcW w:type="dxa" w:w="2800"/>
            <w:tcMar>
              <w:top w:type="dxa" w:w="100"/>
              <w:left w:type="dxa" w:w="120"/>
              <w:bottom w:type="dxa" w:w="100"/>
              <w:right w:type="dxa" w:w="120"/>
            </w:tcMar>
          </w:tcPr>
          <w:p>
            <w:r>
              <w:rPr>
                <w:rFonts w:ascii="Calibri" w:cs="Calibri" w:eastAsia="Calibri" w:hAnsi="Calibri"/>
                <w:b w:val="false"/>
                <w:bCs w:val="false"/>
                <w:color w:val="1E1E1E"/>
                <w:sz w:val="20"/>
                <w:szCs w:val="20"/>
              </w:rPr>
              <w:t xml:space="preserve">Les altérations restent un service actif, mais discret, tant que le revenu de remplacement n'est pas confirmé.</w:t>
            </w:r>
          </w:p>
        </w:tc>
        <w:tc>
          <w:tcPr>
            <w:tcW w:type="dxa" w:w="1800"/>
            <w:tcMar>
              <w:top w:type="dxa" w:w="100"/>
              <w:left w:type="dxa" w:w="120"/>
              <w:bottom w:type="dxa" w:w="100"/>
              <w:right w:type="dxa" w:w="120"/>
            </w:tcMar>
          </w:tcPr>
          <w:p>
            <w:r>
              <w:rPr>
                <w:rFonts w:ascii="Calibri" w:cs="Calibri" w:eastAsia="Calibri" w:hAnsi="Calibri"/>
                <w:b w:val="false"/>
                <w:bCs w:val="false"/>
                <w:color w:val="1E1E1E"/>
                <w:sz w:val="20"/>
                <w:szCs w:val="20"/>
              </w:rPr>
              <w:t xml:space="preserve">Revenu du volet exclusif ≥ revenu de remplacement nécessaire.</w:t>
            </w:r>
          </w:p>
        </w:tc>
      </w:tr>
    </w:tbl>
    <w:p>
      <w:pPr>
        <w:spacing w:before="240"/>
      </w:pPr>
    </w:p>
    <w:p>
      <w:pPr>
        <w:spacing w:after="200" w:line="300"/>
      </w:pPr>
      <w:r>
        <w:rPr>
          <w:rFonts w:ascii="Calibri" w:cs="Calibri" w:eastAsia="Calibri" w:hAnsi="Calibri"/>
          <w:i/>
          <w:iCs/>
          <w:color w:val="1E1E1E"/>
          <w:sz w:val="22"/>
          <w:szCs w:val="22"/>
        </w:rPr>
        <w:t xml:space="preserve">Ce séquençage reprend le même principe que la refonte visuelle du site : une transition légère en surface, mais qui construit, phase après phase, une transformation réelle du positionnement de l'atelier.</w:t>
      </w:r>
    </w:p>
    <w:p>
      <w:pPr>
        <w:pStyle w:val="Heading1"/>
        <w:pBdr>
          <w:bottom w:val="single" w:color="9C7A3C" w:sz="6" w:space="4"/>
        </w:pBdr>
        <w:spacing w:after="240" w:before="480"/>
      </w:pPr>
      <w:r>
        <w:rPr>
          <w:rFonts w:ascii="Georgia" w:cs="Georgia" w:eastAsia="Georgia" w:hAnsi="Georgia"/>
          <w:b/>
          <w:bCs/>
          <w:color w:val="1E1E1E"/>
          <w:sz w:val="30"/>
          <w:szCs w:val="30"/>
        </w:rPr>
        <w:t xml:space="preserve">7. Plan d'action — 12 mois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600"/>
        <w:gridCol w:w="2000"/>
      </w:tblGrid>
      <w:tr>
        <w:tc>
          <w:tcPr>
            <w:tcW w:type="dxa" w:w="17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13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Période</w:t>
            </w:r>
          </w:p>
        </w:tc>
        <w:tc>
          <w:tcPr>
            <w:tcW w:type="dxa" w:w="46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Actions clés</w:t>
            </w:r>
          </w:p>
        </w:tc>
        <w:tc>
          <w:tcPr>
            <w:tcW w:type="dxa" w:w="2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Indicateurs</w:t>
            </w:r>
          </w:p>
        </w:tc>
      </w:tr>
      <w:tr>
        <w:tc>
          <w:tcPr>
            <w:tcW w:type="dxa" w:w="1700"/>
            <w:tcMar>
              <w:top w:type="dxa" w:w="100"/>
              <w:left w:type="dxa" w:w="120"/>
              <w:bottom w:type="dxa" w:w="100"/>
              <w:right w:type="dxa" w:w="120"/>
            </w:tcMar>
          </w:tcPr>
          <w:p>
            <w:r>
              <w:rPr>
                <w:rFonts w:ascii="Calibri" w:cs="Calibri" w:eastAsia="Calibri" w:hAnsi="Calibri"/>
                <w:b/>
                <w:bCs/>
                <w:color w:val="1E1E1E"/>
                <w:sz w:val="20"/>
                <w:szCs w:val="20"/>
              </w:rPr>
              <w:t xml:space="preserve">1. Fondations</w:t>
            </w:r>
          </w:p>
        </w:tc>
        <w:tc>
          <w:tcPr>
            <w:tcW w:type="dxa" w:w="1300"/>
            <w:tcMar>
              <w:top w:type="dxa" w:w="100"/>
              <w:left w:type="dxa" w:w="120"/>
              <w:bottom w:type="dxa" w:w="100"/>
              <w:right w:type="dxa" w:w="120"/>
            </w:tcMar>
          </w:tcPr>
          <w:p>
            <w:r>
              <w:rPr>
                <w:rFonts w:ascii="Calibri" w:cs="Calibri" w:eastAsia="Calibri" w:hAnsi="Calibri"/>
                <w:b w:val="false"/>
                <w:bCs w:val="false"/>
                <w:color w:val="1E1E1E"/>
                <w:sz w:val="20"/>
                <w:szCs w:val="20"/>
              </w:rPr>
              <w:t xml:space="preserve">Mois 1-2</w:t>
            </w:r>
          </w:p>
        </w:tc>
        <w:tc>
          <w:tcPr>
            <w:tcW w:type="dxa" w:w="4600"/>
            <w:tcMar>
              <w:top w:type="dxa" w:w="100"/>
              <w:left w:type="dxa" w:w="120"/>
              <w:bottom w:type="dxa" w:w="100"/>
              <w:right w:type="dxa" w:w="120"/>
            </w:tcMar>
          </w:tcPr>
          <w:p>
            <w:r>
              <w:rPr>
                <w:rFonts w:ascii="Calibri" w:cs="Calibri" w:eastAsia="Calibri" w:hAnsi="Calibri"/>
                <w:b w:val="false"/>
                <w:bCs w:val="false"/>
                <w:color w:val="1E1E1E"/>
                <w:sz w:val="20"/>
                <w:szCs w:val="20"/>
              </w:rPr>
              <w:t xml:space="preserve">Nouveau site avec système de réservation ; ouverture d'Instagram ; refonte des textes autour du positionnement "atelier privé"</w:t>
            </w:r>
          </w:p>
        </w:tc>
        <w:tc>
          <w:tcPr>
            <w:tcW w:type="dxa" w:w="2000"/>
            <w:tcMar>
              <w:top w:type="dxa" w:w="100"/>
              <w:left w:type="dxa" w:w="120"/>
              <w:bottom w:type="dxa" w:w="100"/>
              <w:right w:type="dxa" w:w="120"/>
            </w:tcMar>
          </w:tcPr>
          <w:p>
            <w:r>
              <w:rPr>
                <w:rFonts w:ascii="Calibri" w:cs="Calibri" w:eastAsia="Calibri" w:hAnsi="Calibri"/>
                <w:b w:val="false"/>
                <w:bCs w:val="false"/>
                <w:color w:val="1E1E1E"/>
                <w:sz w:val="20"/>
                <w:szCs w:val="20"/>
              </w:rPr>
              <w:t xml:space="preserve">Site en ligne ; 1er post publié</w:t>
            </w:r>
          </w:p>
        </w:tc>
      </w:tr>
      <w:tr>
        <w:tc>
          <w:tcPr>
            <w:tcW w:type="dxa" w:w="17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2. Lancement</w:t>
            </w:r>
          </w:p>
        </w:tc>
        <w:tc>
          <w:tcPr>
            <w:tcW w:type="dxa" w:w="13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Mois 3-4</w:t>
            </w:r>
          </w:p>
        </w:tc>
        <w:tc>
          <w:tcPr>
            <w:tcW w:type="dxa" w:w="46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Annonce du repositionnement à la clientèle existante ; séance photo des pièces et de l'atelier ; premiers témoignages sollicités</w:t>
            </w:r>
          </w:p>
        </w:tc>
        <w:tc>
          <w:tcPr>
            <w:tcW w:type="dxa" w:w="20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10-15 rendez-vous confirmés via le site</w:t>
            </w:r>
          </w:p>
        </w:tc>
      </w:tr>
      <w:tr>
        <w:tc>
          <w:tcPr>
            <w:tcW w:type="dxa" w:w="1700"/>
            <w:tcMar>
              <w:top w:type="dxa" w:w="100"/>
              <w:left w:type="dxa" w:w="120"/>
              <w:bottom w:type="dxa" w:w="100"/>
              <w:right w:type="dxa" w:w="120"/>
            </w:tcMar>
          </w:tcPr>
          <w:p>
            <w:r>
              <w:rPr>
                <w:rFonts w:ascii="Calibri" w:cs="Calibri" w:eastAsia="Calibri" w:hAnsi="Calibri"/>
                <w:b/>
                <w:bCs/>
                <w:color w:val="1E1E1E"/>
                <w:sz w:val="20"/>
                <w:szCs w:val="20"/>
              </w:rPr>
              <w:t xml:space="preserve">3. Construction</w:t>
            </w:r>
          </w:p>
        </w:tc>
        <w:tc>
          <w:tcPr>
            <w:tcW w:type="dxa" w:w="1300"/>
            <w:tcMar>
              <w:top w:type="dxa" w:w="100"/>
              <w:left w:type="dxa" w:w="120"/>
              <w:bottom w:type="dxa" w:w="100"/>
              <w:right w:type="dxa" w:w="120"/>
            </w:tcMar>
          </w:tcPr>
          <w:p>
            <w:r>
              <w:rPr>
                <w:rFonts w:ascii="Calibri" w:cs="Calibri" w:eastAsia="Calibri" w:hAnsi="Calibri"/>
                <w:b w:val="false"/>
                <w:bCs w:val="false"/>
                <w:color w:val="1E1E1E"/>
                <w:sz w:val="20"/>
                <w:szCs w:val="20"/>
              </w:rPr>
              <w:t xml:space="preserve">Mois 5-8</w:t>
            </w:r>
          </w:p>
        </w:tc>
        <w:tc>
          <w:tcPr>
            <w:tcW w:type="dxa" w:w="4600"/>
            <w:tcMar>
              <w:top w:type="dxa" w:w="100"/>
              <w:left w:type="dxa" w:w="120"/>
              <w:bottom w:type="dxa" w:w="100"/>
              <w:right w:type="dxa" w:w="120"/>
            </w:tcMar>
          </w:tcPr>
          <w:p>
            <w:r>
              <w:rPr>
                <w:rFonts w:ascii="Calibri" w:cs="Calibri" w:eastAsia="Calibri" w:hAnsi="Calibri"/>
                <w:b w:val="false"/>
                <w:bCs w:val="false"/>
                <w:color w:val="1E1E1E"/>
                <w:sz w:val="20"/>
                <w:szCs w:val="20"/>
              </w:rPr>
              <w:t xml:space="preserve">Rythme de contenu régulier (coulisses, tissus, avant/après) ; collaboration avec 1-2 clients notables (avec permission) ; suivi de la note Google</w:t>
            </w:r>
          </w:p>
        </w:tc>
        <w:tc>
          <w:tcPr>
            <w:tcW w:type="dxa" w:w="2000"/>
            <w:tcMar>
              <w:top w:type="dxa" w:w="100"/>
              <w:left w:type="dxa" w:w="120"/>
              <w:bottom w:type="dxa" w:w="100"/>
              <w:right w:type="dxa" w:w="120"/>
            </w:tcMar>
          </w:tcPr>
          <w:p>
            <w:r>
              <w:rPr>
                <w:rFonts w:ascii="Calibri" w:cs="Calibri" w:eastAsia="Calibri" w:hAnsi="Calibri"/>
                <w:b w:val="false"/>
                <w:bCs w:val="false"/>
                <w:color w:val="1E1E1E"/>
                <w:sz w:val="20"/>
                <w:szCs w:val="20"/>
              </w:rPr>
              <w:t xml:space="preserve">Croissance des abonnés engagés ; note Google visible et maintenue</w:t>
            </w:r>
          </w:p>
        </w:tc>
      </w:tr>
      <w:tr>
        <w:tc>
          <w:tcPr>
            <w:tcW w:type="dxa" w:w="17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4. Consolidation</w:t>
            </w:r>
          </w:p>
        </w:tc>
        <w:tc>
          <w:tcPr>
            <w:tcW w:type="dxa" w:w="13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Mois 9-12</w:t>
            </w:r>
          </w:p>
        </w:tc>
        <w:tc>
          <w:tcPr>
            <w:tcW w:type="dxa" w:w="46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Programme de fidélité discret pour clientèle régulière ; bilan des données (ticket moyen, taux de retour) ; ajustement des paliers de prix si besoin</w:t>
            </w:r>
          </w:p>
        </w:tc>
        <w:tc>
          <w:tcPr>
            <w:tcW w:type="dxa" w:w="20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Ticket moyen en hausse ; taux de rétention mesuré</w:t>
            </w:r>
          </w:p>
        </w:tc>
      </w:tr>
    </w:tbl>
    <w:p>
      <w:pPr>
        <w:spacing w:before="240"/>
      </w:pPr>
    </w:p>
    <w:p>
      <w:pPr>
        <w:pStyle w:val="Heading1"/>
        <w:pBdr>
          <w:bottom w:val="single" w:color="9C7A3C" w:sz="6" w:space="4"/>
        </w:pBdr>
        <w:spacing w:after="240" w:before="480"/>
      </w:pPr>
      <w:r>
        <w:rPr>
          <w:rFonts w:ascii="Georgia" w:cs="Georgia" w:eastAsia="Georgia" w:hAnsi="Georgia"/>
          <w:b/>
          <w:bCs/>
          <w:color w:val="1E1E1E"/>
          <w:sz w:val="30"/>
          <w:szCs w:val="30"/>
        </w:rPr>
        <w:t xml:space="preserve">8. Un contexte de marché — la demande existe-t-elle réellement?</w:t>
      </w:r>
    </w:p>
    <w:p>
      <w:pPr>
        <w:spacing w:after="200" w:line="300"/>
      </w:pPr>
      <w:r>
        <w:rPr>
          <w:rFonts w:ascii="Calibri" w:cs="Calibri" w:eastAsia="Calibri" w:hAnsi="Calibri"/>
          <w:i w:val="false"/>
          <w:iCs w:val="false"/>
          <w:color w:val="1E1E1E"/>
          <w:sz w:val="22"/>
          <w:szCs w:val="22"/>
        </w:rPr>
        <w:t xml:space="preserve">Avant de recommander d'aller plus loin, il était important de vérifier honnêtement si ce genre de service trouve preneur dans la région — plutôt que de simplement le supposer. Voici ce que cette vérification a révélé.</w:t>
      </w:r>
    </w:p>
    <w:p>
      <w:pPr>
        <w:pStyle w:val="Heading2"/>
        <w:spacing w:after="160" w:before="320"/>
      </w:pPr>
      <w:r>
        <w:rPr>
          <w:rFonts w:ascii="Georgia" w:cs="Georgia" w:eastAsia="Georgia" w:hAnsi="Georgia"/>
          <w:b/>
          <w:bCs/>
          <w:color w:val="9C7A3C"/>
          <w:sz w:val="24"/>
          <w:szCs w:val="24"/>
        </w:rPr>
        <w:t xml:space="preserve">Les gens ne cherchent pas "tailleur sur mesure" sur Google — et ce n'est pas mauvais signe</w:t>
      </w:r>
    </w:p>
    <w:p>
      <w:pPr>
        <w:spacing w:after="200" w:line="300"/>
      </w:pPr>
      <w:r>
        <w:rPr>
          <w:rFonts w:ascii="Calibri" w:cs="Calibri" w:eastAsia="Calibri" w:hAnsi="Calibri"/>
          <w:i w:val="false"/>
          <w:iCs w:val="false"/>
          <w:color w:val="1E1E1E"/>
          <w:sz w:val="22"/>
          <w:szCs w:val="22"/>
        </w:rPr>
        <w:t xml:space="preserve">La première vérification a porté sur les recherches Google dans la région : très peu de gens tapent directement des termes comme "tailleur sur mesure" dans un moteur de recherche. À première vue, cela pourrait inquiéter. En réalité, c'est cohérent avec la nature même de ce métier : un service de ce niveau se choisit par réputation, recommandation et bouche-à-oreille, rarement par une recherche générique en ligne. Ce constat confirme d'ailleurs la pertinence du modèle proposé, fondé sur la confiance et la relation plutôt que sur le trafic web.</w:t>
      </w:r>
    </w:p>
    <w:p>
      <w:pPr>
        <w:pStyle w:val="Heading2"/>
        <w:spacing w:after="160" w:before="320"/>
      </w:pPr>
      <w:r>
        <w:rPr>
          <w:rFonts w:ascii="Georgia" w:cs="Georgia" w:eastAsia="Georgia" w:hAnsi="Georgia"/>
          <w:b/>
          <w:bCs/>
          <w:color w:val="9C7A3C"/>
          <w:sz w:val="24"/>
          <w:szCs w:val="24"/>
        </w:rPr>
        <w:t xml:space="preserve">Mark 109 occupe déjà une position forte à Boucherville</w:t>
      </w:r>
    </w:p>
    <w:p>
      <w:pPr>
        <w:spacing w:after="200" w:line="300"/>
      </w:pPr>
      <w:r>
        <w:rPr>
          <w:rFonts w:ascii="Calibri" w:cs="Calibri" w:eastAsia="Calibri" w:hAnsi="Calibri"/>
          <w:i w:val="false"/>
          <w:iCs w:val="false"/>
          <w:color w:val="1E1E1E"/>
          <w:sz w:val="22"/>
          <w:szCs w:val="22"/>
        </w:rPr>
        <w:t xml:space="preserve">La fiche Google de l'atelier affiche une note de 4,7 étoiles sur 62 avis, avec plus de dix ans de présence. Pour une recherche précise de "tailleur sur mesure" à Boucherville, l'atelier est essentiellement seul sur ce terrain, sans concurrent direct visible. C'est une position rare et avantageuse : la réputation est déjà bâtie, sans qu'un concurrent local vienne la disputer.</w:t>
      </w:r>
    </w:p>
    <w:p>
      <w:pPr>
        <w:pStyle w:val="Heading2"/>
        <w:spacing w:after="160" w:before="320"/>
      </w:pPr>
      <w:r>
        <w:rPr>
          <w:rFonts w:ascii="Georgia" w:cs="Georgia" w:eastAsia="Georgia" w:hAnsi="Georgia"/>
          <w:b/>
          <w:bCs/>
          <w:color w:val="9C7A3C"/>
          <w:sz w:val="24"/>
          <w:szCs w:val="24"/>
        </w:rPr>
        <w:t xml:space="preserve">À l'échelle de Montréal, le modèle proposé est déjà rentable pour d'autres</w:t>
      </w:r>
    </w:p>
    <w:p>
      <w:pPr>
        <w:spacing w:after="200" w:line="300"/>
      </w:pPr>
      <w:r>
        <w:rPr>
          <w:rFonts w:ascii="Calibri" w:cs="Calibri" w:eastAsia="Calibri" w:hAnsi="Calibri"/>
          <w:i w:val="false"/>
          <w:iCs w:val="false"/>
          <w:color w:val="1E1E1E"/>
          <w:sz w:val="22"/>
          <w:szCs w:val="22"/>
        </w:rPr>
        <w:t xml:space="preserve">En élargissant la recherche à l'ensemble de Montréal, l'image change : on trouve une dizaine d'ateliers de couture sur mesure bien établis et très bien notés, plusieurs avec des centaines, voire plus d'un millier d'avis (Suitsupply : 1500 avis ; JACO UOMO : 1100 avis ; SUITABLEE : 1000 avis). Plus révélateur encore, plusieurs de ces ateliers paient de la publicité Google pour inviter les clients à « réserver leur essayage » — la preuve que le modèle de rendez-vous privé fonctionne déjà ailleurs, et qu'il est jugé assez rentable pour qu'on investisse de l'argent à l'attirer.</w:t>
      </w:r>
    </w:p>
    <w:p>
      <w:pPr>
        <w:pStyle w:val="Heading2"/>
        <w:spacing w:after="160" w:before="320"/>
      </w:pPr>
      <w:r>
        <w:rPr>
          <w:rFonts w:ascii="Georgia" w:cs="Georgia" w:eastAsia="Georgia" w:hAnsi="Georgia"/>
          <w:b/>
          <w:bCs/>
          <w:color w:val="9C7A3C"/>
          <w:sz w:val="24"/>
          <w:szCs w:val="24"/>
        </w:rPr>
        <w:t xml:space="preserve">Une tendance de fond favorable</w:t>
      </w:r>
    </w:p>
    <w:p>
      <w:pPr>
        <w:spacing w:after="200" w:line="300"/>
      </w:pPr>
      <w:r>
        <w:rPr>
          <w:rFonts w:ascii="Calibri" w:cs="Calibri" w:eastAsia="Calibri" w:hAnsi="Calibri"/>
          <w:i w:val="false"/>
          <w:iCs w:val="false"/>
          <w:color w:val="1E1E1E"/>
          <w:sz w:val="22"/>
          <w:szCs w:val="22"/>
        </w:rPr>
        <w:t xml:space="preserve">Plus largement, le marché du vêtement sur mesure est en croissance constante depuis plusieurs années, porté par une clientèle qui recherche de plus en plus des produits personnalisés et exclusifs plutôt que du prêt-à-porter standard.</w:t>
      </w:r>
    </w:p>
    <w:p>
      <w:pPr>
        <w:pStyle w:val="Heading2"/>
        <w:spacing w:after="160" w:before="320"/>
      </w:pPr>
      <w:r>
        <w:rPr>
          <w:rFonts w:ascii="Georgia" w:cs="Georgia" w:eastAsia="Georgia" w:hAnsi="Georgia"/>
          <w:b/>
          <w:bCs/>
          <w:color w:val="9C7A3C"/>
          <w:sz w:val="24"/>
          <w:szCs w:val="24"/>
        </w:rPr>
        <w:t xml:space="preserve">Ce que cela confirme — et ce qu'il reste à vérifier</w:t>
      </w:r>
    </w:p>
    <w:p>
      <w:pPr>
        <w:spacing w:after="200" w:line="300"/>
      </w:pPr>
      <w:r>
        <w:rPr>
          <w:rFonts w:ascii="Calibri" w:cs="Calibri" w:eastAsia="Calibri" w:hAnsi="Calibri"/>
          <w:i w:val="false"/>
          <w:iCs w:val="false"/>
          <w:color w:val="1E1E1E"/>
          <w:sz w:val="22"/>
          <w:szCs w:val="22"/>
        </w:rPr>
        <w:t xml:space="preserve">Ces éléments confirment que la demande existe pour ce type de service, et qu'elle est déjà rentable pour d'autres ateliers comparables. Ce qu'ils ne peuvent pas confirmer, c'est si les clients actuels de Mark 109, précisément, sont prêts à adopter ce nouveau format et à payer les tarifs proposés. Cette réponse-là ne peut venir que d'un dialogue direct avec eux — d'où l'importance de la première étape recommandée ci-dessous.</w:t>
      </w:r>
    </w:p>
    <w:p>
      <w:pPr>
        <w:pStyle w:val="Heading1"/>
        <w:pBdr>
          <w:bottom w:val="single" w:color="9C7A3C" w:sz="6" w:space="4"/>
        </w:pBdr>
        <w:spacing w:after="240" w:before="480"/>
      </w:pPr>
      <w:r>
        <w:rPr>
          <w:rFonts w:ascii="Georgia" w:cs="Georgia" w:eastAsia="Georgia" w:hAnsi="Georgia"/>
          <w:b/>
          <w:bCs/>
          <w:color w:val="1E1E1E"/>
          <w:sz w:val="30"/>
          <w:szCs w:val="30"/>
        </w:rPr>
        <w:t xml:space="preserve">9. Prochaines étapes</w:t>
      </w:r>
    </w:p>
    <w:p>
      <w:pPr>
        <w:spacing w:after="200" w:line="300"/>
      </w:pPr>
      <w:r>
        <w:rPr>
          <w:rFonts w:ascii="Calibri" w:cs="Calibri" w:eastAsia="Calibri" w:hAnsi="Calibri"/>
          <w:i w:val="false"/>
          <w:iCs w:val="false"/>
          <w:color w:val="1E1E1E"/>
          <w:sz w:val="22"/>
          <w:szCs w:val="22"/>
        </w:rPr>
        <w:t xml:space="preserve">La recommandation immédiate est une rencontre de 45 à 60 minutes pour valider la vision de repositionnement, prioriser les actions des 90 premiers jours (site, réservation, Instagram), et convenir d'un calendrier de mise en œuvre réaliste avec l'atelier.</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2026-09-01T20:00:52.669Z</dcterms:created>
  <dcterms:modified xsi:type="dcterms:W3CDTF">2026-09-01T20:00:52.674Z</dcterms:modified>
</cp:coreProperties>
</file>

<file path=docProps/custom.xml><?xml version="1.0" encoding="utf-8"?>
<Properties xmlns="http://schemas.openxmlformats.org/officeDocument/2006/custom-properties" xmlns:vt="http://schemas.openxmlformats.org/officeDocument/2006/docPropsVTypes"/>
</file>