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1D0D" w:rsidRPr="006C1D0D" w:rsidRDefault="006C1D0D" w:rsidP="006C1D0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C1D0D">
        <w:rPr>
          <w:rFonts w:ascii="Times New Roman" w:eastAsia="Times New Roman" w:hAnsi="Times New Roman" w:cs="Times New Roman"/>
          <w:b/>
          <w:bCs/>
          <w:color w:val="000000"/>
          <w:kern w:val="36"/>
          <w:sz w:val="48"/>
          <w:szCs w:val="48"/>
          <w14:ligatures w14:val="none"/>
        </w:rPr>
        <w:t>WHO WE ARE</w:t>
      </w: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Institutional Identity and Positioning</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Public Policy Studies Institute is an independent, non-partisan, and non-profit public policy research institute established in June 2024 in the Somali Region of Ethiopia. The Institute was founded to address a structural gap in Ethiopia’s national policy ecosystem and the Horn of Africa’s research landscape: the absence of locally anchored, analytically rigorous institutions capable of producing credible policy knowledge from Somali perspectives and translating it into actionable public policy.</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Within Ethiopia’s federal system, the Somali Region occupies a uniquely strategic yet historically under-researched position. It is a region defined simultaneously by its geopolitical importance, cross-border connectivity, pastoral economy, climatic vulnerability, and complex governance and security dynamics. Despite these realities, national and international policy interventions affecting the region have often been informed by fragmented data, externally produced narratives, or short-term programmatic assessments rather than sustained, locally grounded research.</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Institute was established to change this condition. The Institute positions itself as a </w:t>
      </w:r>
      <w:r w:rsidRPr="006C1D0D">
        <w:rPr>
          <w:rFonts w:ascii="Times New Roman" w:eastAsia="Times New Roman" w:hAnsi="Times New Roman" w:cs="Times New Roman"/>
          <w:b/>
          <w:bCs/>
          <w:color w:val="000000"/>
          <w:kern w:val="0"/>
          <w14:ligatures w14:val="none"/>
        </w:rPr>
        <w:t xml:space="preserve">knowledge </w:t>
      </w:r>
      <w:proofErr w:type="spellStart"/>
      <w:r w:rsidRPr="006C1D0D">
        <w:rPr>
          <w:rFonts w:ascii="Times New Roman" w:eastAsia="Times New Roman" w:hAnsi="Times New Roman" w:cs="Times New Roman"/>
          <w:b/>
          <w:bCs/>
          <w:color w:val="000000"/>
          <w:kern w:val="0"/>
          <w14:ligatures w14:val="none"/>
        </w:rPr>
        <w:t>intermediary</w:t>
      </w:r>
      <w:r w:rsidRPr="006C1D0D">
        <w:rPr>
          <w:rFonts w:ascii="Times New Roman" w:eastAsia="Times New Roman" w:hAnsi="Times New Roman" w:cs="Times New Roman"/>
          <w:color w:val="000000"/>
          <w:kern w:val="0"/>
          <w14:ligatures w14:val="none"/>
        </w:rPr>
        <w:t>between</w:t>
      </w:r>
      <w:proofErr w:type="spellEnd"/>
      <w:r w:rsidRPr="006C1D0D">
        <w:rPr>
          <w:rFonts w:ascii="Times New Roman" w:eastAsia="Times New Roman" w:hAnsi="Times New Roman" w:cs="Times New Roman"/>
          <w:color w:val="000000"/>
          <w:kern w:val="0"/>
          <w14:ligatures w14:val="none"/>
        </w:rPr>
        <w:t xml:space="preserve"> Somali communities, regional and federal policymakers, and international development actors. Its work is designed to ensure that policies affecting the Somali Region are informed by empirical evidence, contextual intelligence, and an understanding of the region’s historical, cultural, and socio-economic foundations.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While rooted in the Somali Region,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operates within a </w:t>
      </w:r>
      <w:r w:rsidRPr="006C1D0D">
        <w:rPr>
          <w:rFonts w:ascii="Times New Roman" w:eastAsia="Times New Roman" w:hAnsi="Times New Roman" w:cs="Times New Roman"/>
          <w:b/>
          <w:bCs/>
          <w:color w:val="000000"/>
          <w:kern w:val="0"/>
          <w14:ligatures w14:val="none"/>
        </w:rPr>
        <w:t>national Ethiopian policy framework</w:t>
      </w:r>
      <w:r w:rsidRPr="006C1D0D">
        <w:rPr>
          <w:rFonts w:ascii="Times New Roman" w:eastAsia="Times New Roman" w:hAnsi="Times New Roman" w:cs="Times New Roman"/>
          <w:color w:val="000000"/>
          <w:kern w:val="0"/>
          <w14:ligatures w14:val="none"/>
        </w:rPr>
        <w:t> and a </w:t>
      </w:r>
      <w:r w:rsidRPr="006C1D0D">
        <w:rPr>
          <w:rFonts w:ascii="Times New Roman" w:eastAsia="Times New Roman" w:hAnsi="Times New Roman" w:cs="Times New Roman"/>
          <w:b/>
          <w:bCs/>
          <w:color w:val="000000"/>
          <w:kern w:val="0"/>
          <w14:ligatures w14:val="none"/>
        </w:rPr>
        <w:t>Horn of Africa regional lens</w:t>
      </w:r>
      <w:r w:rsidRPr="006C1D0D">
        <w:rPr>
          <w:rFonts w:ascii="Times New Roman" w:eastAsia="Times New Roman" w:hAnsi="Times New Roman" w:cs="Times New Roman"/>
          <w:color w:val="000000"/>
          <w:kern w:val="0"/>
          <w14:ligatures w14:val="none"/>
        </w:rPr>
        <w:t>, recognizing that governance, conflict, climate, economic development, and social transformation are deeply interconnected across borders and levels of government.</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National and Regional Relevance</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At the national level,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contributes to Ethiopia’s broader public policy discourse by generating region-specific evidence that feeds into federal decision-making processes. This includes policy areas such as decentralization, service delivery, climate adaptation, economic integration, peacebuilding, and state–society relations. By producing credible, policy-oriented research from the Somali Region,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strengthens the inclusivity and representativeness of national policymaking.</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At the regional level, the Institute situates its work within the political economy of the Horn of Africa and the Somali peninsula. Issues such as cross-border pastoral mobility, trade corridors, climate shocks, conflict dynamics, migration, and cultural continuity cannot be understood </w:t>
      </w:r>
      <w:r w:rsidRPr="006C1D0D">
        <w:rPr>
          <w:rFonts w:ascii="Times New Roman" w:eastAsia="Times New Roman" w:hAnsi="Times New Roman" w:cs="Times New Roman"/>
          <w:color w:val="000000"/>
          <w:kern w:val="0"/>
          <w14:ligatures w14:val="none"/>
        </w:rPr>
        <w:lastRenderedPageBreak/>
        <w:t>within administrative boundaries alone. Hiraad’s analytical framework therefore integrates regional comparisons and cross-border perspectives, allowing its research to inform both national strategies and regional cooperation initiatives.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Global Competitiveness and Knowledge Standards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Institute aligns its research methodologies, governance standards, and dissemination practices with internationally recognized think tank norms. The Institute emphasizes:</w:t>
      </w:r>
    </w:p>
    <w:p w:rsidR="006C1D0D" w:rsidRPr="006C1D0D" w:rsidRDefault="006C1D0D" w:rsidP="006C1D0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Methodological rigor and peer-informed research processes</w:t>
      </w:r>
    </w:p>
    <w:p w:rsidR="006C1D0D" w:rsidRPr="006C1D0D" w:rsidRDefault="006C1D0D" w:rsidP="006C1D0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Ethical research practices and data integrity</w:t>
      </w:r>
    </w:p>
    <w:p w:rsidR="006C1D0D" w:rsidRPr="006C1D0D" w:rsidRDefault="006C1D0D" w:rsidP="006C1D0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Policy relevance and decision-maker usability</w:t>
      </w:r>
    </w:p>
    <w:p w:rsidR="006C1D0D" w:rsidRPr="006C1D0D" w:rsidRDefault="006C1D0D" w:rsidP="006C1D0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Public accessibility and knowledge democratization</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At the same time,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challenges dominant global knowledge hierarchies that often marginalize local voices. Rather than reproducing externally defined research agendas, the Institute prioritizes </w:t>
      </w:r>
      <w:r w:rsidRPr="006C1D0D">
        <w:rPr>
          <w:rFonts w:ascii="Times New Roman" w:eastAsia="Times New Roman" w:hAnsi="Times New Roman" w:cs="Times New Roman"/>
          <w:b/>
          <w:bCs/>
          <w:color w:val="000000"/>
          <w:kern w:val="0"/>
          <w14:ligatures w14:val="none"/>
        </w:rPr>
        <w:t>problem-driven, locally articulated questions</w:t>
      </w:r>
      <w:r w:rsidRPr="006C1D0D">
        <w:rPr>
          <w:rFonts w:ascii="Times New Roman" w:eastAsia="Times New Roman" w:hAnsi="Times New Roman" w:cs="Times New Roman"/>
          <w:color w:val="000000"/>
          <w:kern w:val="0"/>
          <w14:ligatures w14:val="none"/>
        </w:rPr>
        <w:t>, ensuring that Somali realities are not merely subjects of analysis but sources of insight and innovation.</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Mission</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Institute is dedicated to advancing evidence-based policymaking in the Somali Region of Ethiopia by producing high-quality, independent research; fostering inclusive policy dialogue; and strengthening the capacity of institutions and communities to engage effectively in governance and development processes.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Vision</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Institute envisions a Somali Region where public policy is informed by evidence rather than assumption, where communities actively participate in shaping their futures, and where local knowledge contributes meaningfully to national, regional, and global policy debates.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Core Values and Institutional Principles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b/>
          <w:bCs/>
          <w:color w:val="000000"/>
          <w:kern w:val="0"/>
          <w14:ligatures w14:val="none"/>
        </w:rPr>
        <w:lastRenderedPageBreak/>
        <w:t>Intellectual Independence</w:t>
      </w:r>
      <w:r w:rsidRPr="006C1D0D">
        <w:rPr>
          <w:rFonts w:ascii="Times New Roman" w:eastAsia="Times New Roman" w:hAnsi="Times New Roman" w:cs="Times New Roman"/>
          <w:color w:val="000000"/>
          <w:kern w:val="0"/>
          <w14:ligatures w14:val="none"/>
        </w:rPr>
        <w:br/>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maintains strict non-partisanship and analytical independence. Research outputs are insulated from political pressure, donor influence, and advocacy-driven distortion.</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b/>
          <w:bCs/>
          <w:color w:val="000000"/>
          <w:kern w:val="0"/>
          <w14:ligatures w14:val="none"/>
        </w:rPr>
        <w:t>Contextual Integrity</w:t>
      </w:r>
      <w:r w:rsidRPr="006C1D0D">
        <w:rPr>
          <w:rFonts w:ascii="Times New Roman" w:eastAsia="Times New Roman" w:hAnsi="Times New Roman" w:cs="Times New Roman"/>
          <w:color w:val="000000"/>
          <w:kern w:val="0"/>
          <w14:ligatures w14:val="none"/>
        </w:rPr>
        <w:br/>
        <w:t>All research and policy analysis is grounded in the social, cultural, historical, and economic realities of the Somali Region and the wider Somali context.</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b/>
          <w:bCs/>
          <w:color w:val="000000"/>
          <w:kern w:val="0"/>
          <w14:ligatures w14:val="none"/>
        </w:rPr>
        <w:t>Inclusivity and Participation</w:t>
      </w:r>
      <w:r w:rsidRPr="006C1D0D">
        <w:rPr>
          <w:rFonts w:ascii="Times New Roman" w:eastAsia="Times New Roman" w:hAnsi="Times New Roman" w:cs="Times New Roman"/>
          <w:color w:val="000000"/>
          <w:kern w:val="0"/>
          <w14:ligatures w14:val="none"/>
        </w:rPr>
        <w:br/>
        <w:t>The Institute prioritizes engagement with marginalized populations, including pastoralists, women, youth, and remote communities, recognizing them as essential contributors to knowledge production.</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b/>
          <w:bCs/>
          <w:color w:val="000000"/>
          <w:kern w:val="0"/>
          <w14:ligatures w14:val="none"/>
        </w:rPr>
        <w:t>Transparency and Accountability</w:t>
      </w:r>
      <w:r w:rsidRPr="006C1D0D">
        <w:rPr>
          <w:rFonts w:ascii="Times New Roman" w:eastAsia="Times New Roman" w:hAnsi="Times New Roman" w:cs="Times New Roman"/>
          <w:color w:val="000000"/>
          <w:kern w:val="0"/>
          <w14:ligatures w14:val="none"/>
        </w:rPr>
        <w:br/>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operates with openness in its governance, partnerships, and outputs, reinforcing public trust and institutional credibility.</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b/>
          <w:bCs/>
          <w:color w:val="000000"/>
          <w:kern w:val="0"/>
          <w14:ligatures w14:val="none"/>
        </w:rPr>
        <w:t>Policy Impact Orientation</w:t>
      </w:r>
      <w:r w:rsidRPr="006C1D0D">
        <w:rPr>
          <w:rFonts w:ascii="Times New Roman" w:eastAsia="Times New Roman" w:hAnsi="Times New Roman" w:cs="Times New Roman"/>
          <w:color w:val="000000"/>
          <w:kern w:val="0"/>
          <w14:ligatures w14:val="none"/>
        </w:rPr>
        <w:br/>
        <w:t>Research is designed not only to inform but to influence—through actionable recommendations, stakeholder engagement, and sustained dialogue with decision-makers.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C1D0D">
        <w:rPr>
          <w:rFonts w:ascii="Times New Roman" w:eastAsia="Times New Roman" w:hAnsi="Times New Roman" w:cs="Times New Roman"/>
          <w:b/>
          <w:bCs/>
          <w:color w:val="000000"/>
          <w:kern w:val="0"/>
          <w:sz w:val="36"/>
          <w:szCs w:val="36"/>
          <w14:ligatures w14:val="none"/>
        </w:rPr>
        <w:t>Constituencies and Stakeholder Engagement</w:t>
      </w:r>
    </w:p>
    <w:p w:rsidR="006C1D0D" w:rsidRPr="006C1D0D" w:rsidRDefault="006C1D0D" w:rsidP="006C1D0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C1D0D">
        <w:rPr>
          <w:rFonts w:ascii="Times New Roman" w:eastAsia="Times New Roman" w:hAnsi="Times New Roman" w:cs="Times New Roman"/>
          <w:b/>
          <w:bCs/>
          <w:color w:val="000000"/>
          <w:kern w:val="0"/>
          <w:sz w:val="27"/>
          <w:szCs w:val="27"/>
          <w14:ligatures w14:val="none"/>
        </w:rPr>
        <w:t>Policymakers and Government Institutions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serves policymakers across Ethiopia’s federal, regional, and local governance structures. This includes ministries, bureaus, regional councils, parliamentarians, and technical advisors. The Institute provides:</w:t>
      </w:r>
    </w:p>
    <w:p w:rsidR="006C1D0D" w:rsidRPr="006C1D0D" w:rsidRDefault="006C1D0D" w:rsidP="006C1D0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Policy briefs and technical notes</w:t>
      </w:r>
    </w:p>
    <w:p w:rsidR="006C1D0D" w:rsidRPr="006C1D0D" w:rsidRDefault="006C1D0D" w:rsidP="006C1D0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Legislative and regulatory analysis</w:t>
      </w:r>
    </w:p>
    <w:p w:rsidR="006C1D0D" w:rsidRPr="006C1D0D" w:rsidRDefault="006C1D0D" w:rsidP="006C1D0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Evidence-based recommendations</w:t>
      </w:r>
    </w:p>
    <w:p w:rsidR="006C1D0D" w:rsidRPr="006C1D0D" w:rsidRDefault="006C1D0D" w:rsidP="006C1D0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Expert briefings and closed-door consultations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C1D0D">
        <w:rPr>
          <w:rFonts w:ascii="Times New Roman" w:eastAsia="Times New Roman" w:hAnsi="Times New Roman" w:cs="Times New Roman"/>
          <w:b/>
          <w:bCs/>
          <w:color w:val="000000"/>
          <w:kern w:val="0"/>
          <w:sz w:val="27"/>
          <w:szCs w:val="27"/>
          <w14:ligatures w14:val="none"/>
        </w:rPr>
        <w:t>Civil Society and Development Partners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Civil society organizations and development actors are key intermediaries between policy and practice.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collaborates with local and international CSOs, NGOs, and development agencies to:</w:t>
      </w:r>
    </w:p>
    <w:p w:rsidR="006C1D0D" w:rsidRPr="006C1D0D" w:rsidRDefault="006C1D0D" w:rsidP="006C1D0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Co-produce research</w:t>
      </w:r>
    </w:p>
    <w:p w:rsidR="006C1D0D" w:rsidRPr="006C1D0D" w:rsidRDefault="006C1D0D" w:rsidP="006C1D0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Strengthen advocacy through evidence</w:t>
      </w:r>
    </w:p>
    <w:p w:rsidR="006C1D0D" w:rsidRPr="006C1D0D" w:rsidRDefault="006C1D0D" w:rsidP="006C1D0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lastRenderedPageBreak/>
        <w:t>Design context-sensitive programs</w:t>
      </w:r>
    </w:p>
    <w:p w:rsidR="006C1D0D" w:rsidRPr="006C1D0D" w:rsidRDefault="006C1D0D" w:rsidP="006C1D0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Evaluate development interventions</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C1D0D">
        <w:rPr>
          <w:rFonts w:ascii="Times New Roman" w:eastAsia="Times New Roman" w:hAnsi="Times New Roman" w:cs="Times New Roman"/>
          <w:b/>
          <w:bCs/>
          <w:color w:val="000000"/>
          <w:kern w:val="0"/>
          <w:sz w:val="27"/>
          <w:szCs w:val="27"/>
          <w14:ligatures w14:val="none"/>
        </w:rPr>
        <w:t>Private Sector and Economic Stakeholders</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 xml:space="preserve">Recognizing the centrality of economic transformation to stability and development, </w:t>
      </w: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engages private sector actors through research on:</w:t>
      </w:r>
    </w:p>
    <w:p w:rsidR="006C1D0D" w:rsidRPr="006C1D0D" w:rsidRDefault="006C1D0D" w:rsidP="006C1D0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Investment climates and regulatory environments</w:t>
      </w:r>
    </w:p>
    <w:p w:rsidR="006C1D0D" w:rsidRPr="006C1D0D" w:rsidRDefault="006C1D0D" w:rsidP="006C1D0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Infrastructure and market access</w:t>
      </w:r>
    </w:p>
    <w:p w:rsidR="006C1D0D" w:rsidRPr="006C1D0D" w:rsidRDefault="006C1D0D" w:rsidP="006C1D0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Employment and skills development</w:t>
      </w:r>
    </w:p>
    <w:p w:rsidR="006C1D0D" w:rsidRPr="006C1D0D" w:rsidRDefault="006C1D0D" w:rsidP="006C1D0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Value chains and local enterprise growth</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6C1D0D" w:rsidRPr="006C1D0D" w:rsidRDefault="006C1D0D" w:rsidP="006C1D0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C1D0D">
        <w:rPr>
          <w:rFonts w:ascii="Times New Roman" w:eastAsia="Times New Roman" w:hAnsi="Times New Roman" w:cs="Times New Roman"/>
          <w:b/>
          <w:bCs/>
          <w:color w:val="000000"/>
          <w:kern w:val="0"/>
          <w:sz w:val="27"/>
          <w:szCs w:val="27"/>
          <w14:ligatures w14:val="none"/>
        </w:rPr>
        <w:t>Communities, Media, and the Public</w:t>
      </w:r>
    </w:p>
    <w:p w:rsidR="006C1D0D" w:rsidRPr="006C1D0D" w:rsidRDefault="006C1D0D" w:rsidP="006C1D0D">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C1D0D">
        <w:rPr>
          <w:rFonts w:ascii="Times New Roman" w:eastAsia="Times New Roman" w:hAnsi="Times New Roman" w:cs="Times New Roman"/>
          <w:color w:val="000000"/>
          <w:kern w:val="0"/>
          <w14:ligatures w14:val="none"/>
        </w:rPr>
        <w:t>Hiraad</w:t>
      </w:r>
      <w:proofErr w:type="spellEnd"/>
      <w:r w:rsidRPr="006C1D0D">
        <w:rPr>
          <w:rFonts w:ascii="Times New Roman" w:eastAsia="Times New Roman" w:hAnsi="Times New Roman" w:cs="Times New Roman"/>
          <w:color w:val="000000"/>
          <w:kern w:val="0"/>
          <w14:ligatures w14:val="none"/>
        </w:rPr>
        <w:t xml:space="preserve"> views informed citizens as essential to accountable governance. The Institute actively disseminates knowledge through:</w:t>
      </w:r>
    </w:p>
    <w:p w:rsidR="006C1D0D" w:rsidRPr="006C1D0D" w:rsidRDefault="006C1D0D" w:rsidP="006C1D0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Simplified reports and summaries</w:t>
      </w:r>
    </w:p>
    <w:p w:rsidR="006C1D0D" w:rsidRPr="006C1D0D" w:rsidRDefault="006C1D0D" w:rsidP="006C1D0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Public forums and panel discussions</w:t>
      </w:r>
    </w:p>
    <w:p w:rsidR="006C1D0D" w:rsidRPr="006C1D0D" w:rsidRDefault="006C1D0D" w:rsidP="006C1D0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Community outreach programs</w:t>
      </w:r>
    </w:p>
    <w:p w:rsidR="006C1D0D" w:rsidRPr="006C1D0D" w:rsidRDefault="006C1D0D" w:rsidP="006C1D0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C1D0D">
        <w:rPr>
          <w:rFonts w:ascii="Times New Roman" w:eastAsia="Times New Roman" w:hAnsi="Times New Roman" w:cs="Times New Roman"/>
          <w:color w:val="000000"/>
          <w:kern w:val="0"/>
          <w14:ligatures w14:val="none"/>
        </w:rPr>
        <w:t>Media briefings and commentary</w:t>
      </w:r>
    </w:p>
    <w:p w:rsidR="006C1D0D" w:rsidRPr="006C1D0D" w:rsidRDefault="006C1D0D" w:rsidP="006C1D0D">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97C54">
        <w:rPr>
          <w:rFonts w:ascii="Times New Roman" w:eastAsia="Times New Roman" w:hAnsi="Times New Roman" w:cs="Times New Roman"/>
          <w:b/>
          <w:bCs/>
          <w:color w:val="000000"/>
          <w:kern w:val="0"/>
          <w:sz w:val="36"/>
          <w:szCs w:val="36"/>
          <w14:ligatures w14:val="none"/>
        </w:rPr>
        <w:t>Our Thematic Scope</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Institute’s thematic scope reflects a deliberate and systematic understanding of the Somali Region’s development trajectory within Ethiopia’s federal system and the wider Horn of Africa. The Institute approaches thematic focus not as isolated sectors, but as </w:t>
      </w:r>
      <w:r w:rsidRPr="00B97C54">
        <w:rPr>
          <w:rFonts w:ascii="Times New Roman" w:eastAsia="Times New Roman" w:hAnsi="Times New Roman" w:cs="Times New Roman"/>
          <w:b/>
          <w:bCs/>
          <w:color w:val="000000"/>
          <w:kern w:val="0"/>
          <w14:ligatures w14:val="none"/>
        </w:rPr>
        <w:t>interconnected systems</w:t>
      </w:r>
      <w:r w:rsidRPr="00B97C54">
        <w:rPr>
          <w:rFonts w:ascii="Times New Roman" w:eastAsia="Times New Roman" w:hAnsi="Times New Roman" w:cs="Times New Roman"/>
          <w:color w:val="000000"/>
          <w:kern w:val="0"/>
          <w14:ligatures w14:val="none"/>
        </w:rPr>
        <w:t> shaped by history, political economy, ecology, culture, and governance.</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At the broadest level, Hiraad’s work is concerned with how power, resources, identity, and institutions interact to shape social outcomes. From this foundation, the Institute narrows its analytical focus into specific thematic domains that together define the region’s present challenges and future possibilities.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Peace, Conflict, and Social Cohesion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lastRenderedPageBreak/>
        <w:t xml:space="preserve">Peace and stability are foundational prerequisites for sustainable development in the Somali Region.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approaches conflict not merely as a security issue, but as a multidimensional phenomenon rooted in governance failures, resource competition, social exclusion, historical grievances, and environmental stress.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Institute conducts in-depth analysis of conflict drivers at local, regional, and cross-border levels, including clan dynamics, competition over land and water, youth marginalization, and the interaction between formal and informal authority structures. Particular attention is given to how state-building processes, decentralization, and service delivery affect social cohesion and perceptions of legitimacy.</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Hiraad’s work in this area also emphasizes peacebuilding and prevention. This includes research on community-based conflict resolution mechanisms, the role of youth and women in peace processes, and the integration of traditional institutions with formal governance frameworks. The Institute seeks to inform policies that move beyond crisis response toward long-term stability and social trust.</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Policy, Governance, and Institutional Accountability</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Governance lies at the core of Hiraad’s analytical agenda. The Institute examines how policies are formulated, implemented, and experienced within the Somali Region’s administrative structures and in relation to federal institutions.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This thematic area focuses on institutional performance, transparency, accountability, rule of law, and citizen–state relations.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analyzes both formal governance systems—such as public administration, legal frameworks, and service delivery mechanisms—and informal practices that shape decision-making in practice.</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The Institute pays particular attention to how governance reforms translate at the regional and local levels, where capacity constraints, political dynamics, and social norms often determine outcomes. By producing evidence on institutional strengths and weaknesses,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supports efforts to strengthen accountable governance and improve policy effectiveness.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Pastoralism, Agriculture, and Livelihood Systems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Pastoralism is not only an economic activity in the Somali Region; it is a social system, a cultural identity, and a mode of resilience in arid and semi-arid environments.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approaches pastoralism as a central pillar of regional development rather than a transitional or residual livelihood.</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The Institute examines challenges facing pastoral and </w:t>
      </w:r>
      <w:proofErr w:type="spellStart"/>
      <w:r w:rsidRPr="00B97C54">
        <w:rPr>
          <w:rFonts w:ascii="Times New Roman" w:eastAsia="Times New Roman" w:hAnsi="Times New Roman" w:cs="Times New Roman"/>
          <w:color w:val="000000"/>
          <w:kern w:val="0"/>
          <w14:ligatures w14:val="none"/>
        </w:rPr>
        <w:t>agro</w:t>
      </w:r>
      <w:proofErr w:type="spellEnd"/>
      <w:r w:rsidRPr="00B97C54">
        <w:rPr>
          <w:rFonts w:ascii="Times New Roman" w:eastAsia="Times New Roman" w:hAnsi="Times New Roman" w:cs="Times New Roman"/>
          <w:color w:val="000000"/>
          <w:kern w:val="0"/>
          <w14:ligatures w14:val="none"/>
        </w:rPr>
        <w:t xml:space="preserve">-pastoral communities, including climate variability, rangeland degradation, market access, mobility constraints, and policy </w:t>
      </w:r>
      <w:r w:rsidRPr="00B97C54">
        <w:rPr>
          <w:rFonts w:ascii="Times New Roman" w:eastAsia="Times New Roman" w:hAnsi="Times New Roman" w:cs="Times New Roman"/>
          <w:color w:val="000000"/>
          <w:kern w:val="0"/>
          <w14:ligatures w14:val="none"/>
        </w:rPr>
        <w:lastRenderedPageBreak/>
        <w:t xml:space="preserve">frameworks that often fail to reflect pastoral realities. At the same time,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explores pathways for sustainable livelihood transformation that respect traditional systems while responding to contemporary pressures.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Research in this area integrates agricultural development, food security, natural resource governance, and economic diversification. The goal is to inform policies that enhance resilience, productivity, and dignity for pastoral communities while aligning with broader national development strategies.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Social Services and Human Development</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Access to quality social services is a key determinant of long-term development and social equity.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assesses the availability, quality, and distribution of essential services—particularly education, healthcare, water, and sanitation—across the Somali Region.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Institute examines structural barriers to service delivery, including geographic remoteness, institutional capacity gaps, financing constraints, and social inequalities. Special attention is given to disparities affecting women, children, pastoral populations, and marginalized communities.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By generating data-driven analysis,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informs policies aimed at improving service delivery outcomes, strengthening human capital, and ensuring that development gains are inclusive and sustainable.</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Climate Change and Environmental Resilience</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Somali Region is among the most climate-vulnerable areas in Ethiopia and the Horn of Africa. Climate shocks—such as droughts, floods, and environmental degradation—interact with existing social and economic vulnerabilities, amplifying risks to livelihoods, food security, and stability.</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Hiraad’s work on climate change focuses on understanding both immediate impacts and long-term adaptation needs. This includes mapping vulnerability, analyzing environmental trends, and assessing the effectiveness of existing policy responses.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The Institute prioritizes research that informs climate-resilient development strategies, disaster risk reduction, and community-based adaptation. By linking climate analysis with governance, livelihoods, and social systems,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contributes to integrated policy solutions that address root causes rather than symptoms.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lastRenderedPageBreak/>
        <w:t>Economic Development and Structural Transformation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Economic development is essential for stability, opportunity, and social progress in the Somali Region.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examines the structural factors that shape economic outcomes, including infrastructure gaps, labor markets, investment environments, and access to finance.</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Institute conducts sectoral analysis to identify opportunities for inclusive growth, job creation, and value chain development. This includes attention to small and medium enterprises, cross-border trade, and emerging economic sectors.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Hiraad’s economic analysis is grounded in political economy perspectives, recognizing that economic policies are shaped by power relations, institutional capacity, and social context. The objective is to inform strategies that promote sustainable growth while reducing inequality and vulnerability.</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Religion, Culture, and Social Values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Religion and culture play a central role in shaping social norms, governance practices, and development trajectories in Somali society.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treats these dimensions not as peripheral considerations, but as core analytical lenses.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Institute explores how religious institutions, cultural values, and traditional practices influence social cohesion, ethical governance, conflict resolution, and community support systems. Research in this area seeks to identify ways in which cultural and religious frameworks can be constructively integrated into development policies and programs.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By engaging these dimensions thoughtfully,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contributes to development approaches that are socially grounded, culturally legitimate, and locally resonant.</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History, Heritage, and Collective Memory</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The Somali Region’s history and heritage remain under-documented and insufficiently integrated into contemporary policy discourse.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addresses this gap by researching historical trajectories, heritage sites, oral histories, and collective memory.</w:t>
      </w:r>
    </w:p>
    <w:p w:rsid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Understanding history is essential for interpreting present-day governance challenges, identity politics, and social relations. The Institute’s work in this area informs both public understanding and policy debates, ensuring that development strategies are rooted in historical awareness rather than abstraction.</w:t>
      </w:r>
    </w:p>
    <w:p w:rsid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p>
    <w:p w:rsidR="00B97C54" w:rsidRPr="00B97C54" w:rsidRDefault="00B97C54" w:rsidP="00B97C5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97C54">
        <w:rPr>
          <w:rFonts w:ascii="Times New Roman" w:eastAsia="Times New Roman" w:hAnsi="Times New Roman" w:cs="Times New Roman"/>
          <w:b/>
          <w:bCs/>
          <w:color w:val="000000"/>
          <w:kern w:val="0"/>
          <w:sz w:val="36"/>
          <w:szCs w:val="36"/>
          <w14:ligatures w14:val="none"/>
        </w:rPr>
        <w:lastRenderedPageBreak/>
        <w:t>Our Institutional Approach</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Institute applies a </w:t>
      </w:r>
      <w:r w:rsidRPr="00B97C54">
        <w:rPr>
          <w:rFonts w:ascii="Times New Roman" w:eastAsia="Times New Roman" w:hAnsi="Times New Roman" w:cs="Times New Roman"/>
          <w:b/>
          <w:bCs/>
          <w:color w:val="000000"/>
          <w:kern w:val="0"/>
          <w14:ligatures w14:val="none"/>
        </w:rPr>
        <w:t>structured, cyclical, and adaptive policy engagement model</w:t>
      </w:r>
      <w:r w:rsidRPr="00B97C54">
        <w:rPr>
          <w:rFonts w:ascii="Times New Roman" w:eastAsia="Times New Roman" w:hAnsi="Times New Roman" w:cs="Times New Roman"/>
          <w:color w:val="000000"/>
          <w:kern w:val="0"/>
          <w14:ligatures w14:val="none"/>
        </w:rPr>
        <w:t> designed to ensure that research is grounded in local realities, responsive to national priorities, and capable of generating sustained policy impact. The Institute’s approach integrates evidence generation, stakeholder engagement, institutional learning, and public accountability into a single operational framework.</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Rather than treating research, advisory, and engagement activities as separate functions,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operates through a </w:t>
      </w:r>
      <w:r w:rsidRPr="00B97C54">
        <w:rPr>
          <w:rFonts w:ascii="Times New Roman" w:eastAsia="Times New Roman" w:hAnsi="Times New Roman" w:cs="Times New Roman"/>
          <w:b/>
          <w:bCs/>
          <w:color w:val="000000"/>
          <w:kern w:val="0"/>
          <w14:ligatures w14:val="none"/>
        </w:rPr>
        <w:t>policy impact cycle</w:t>
      </w:r>
      <w:r w:rsidRPr="00B97C54">
        <w:rPr>
          <w:rFonts w:ascii="Times New Roman" w:eastAsia="Times New Roman" w:hAnsi="Times New Roman" w:cs="Times New Roman"/>
          <w:color w:val="000000"/>
          <w:kern w:val="0"/>
          <w14:ligatures w14:val="none"/>
        </w:rPr>
        <w:t> that connects knowledge production to decision-making and implementation.</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97C54">
        <w:rPr>
          <w:rFonts w:ascii="Times New Roman" w:eastAsia="Times New Roman" w:hAnsi="Times New Roman" w:cs="Times New Roman"/>
          <w:b/>
          <w:bCs/>
          <w:color w:val="000000"/>
          <w:kern w:val="0"/>
          <w:sz w:val="36"/>
          <w:szCs w:val="36"/>
          <w14:ligatures w14:val="none"/>
        </w:rPr>
        <w:t xml:space="preserve">The </w:t>
      </w:r>
      <w:proofErr w:type="spellStart"/>
      <w:r w:rsidRPr="00B97C54">
        <w:rPr>
          <w:rFonts w:ascii="Times New Roman" w:eastAsia="Times New Roman" w:hAnsi="Times New Roman" w:cs="Times New Roman"/>
          <w:b/>
          <w:bCs/>
          <w:color w:val="000000"/>
          <w:kern w:val="0"/>
          <w:sz w:val="36"/>
          <w:szCs w:val="36"/>
          <w14:ligatures w14:val="none"/>
        </w:rPr>
        <w:t>Hiraad</w:t>
      </w:r>
      <w:proofErr w:type="spellEnd"/>
      <w:r w:rsidRPr="00B97C54">
        <w:rPr>
          <w:rFonts w:ascii="Times New Roman" w:eastAsia="Times New Roman" w:hAnsi="Times New Roman" w:cs="Times New Roman"/>
          <w:b/>
          <w:bCs/>
          <w:color w:val="000000"/>
          <w:kern w:val="0"/>
          <w:sz w:val="36"/>
          <w:szCs w:val="36"/>
          <w14:ligatures w14:val="none"/>
        </w:rPr>
        <w:t xml:space="preserve"> Policy Impact Cycle</w:t>
      </w: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1. Contextual Scoping and Needs Identification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Institute’s work begins with a systematic assessment of policy needs within the Somali Region and its interface with national and regional policy agendas. This phase is grounded in:</w:t>
      </w:r>
    </w:p>
    <w:p w:rsidR="00B97C54" w:rsidRPr="00B97C54" w:rsidRDefault="00B97C54" w:rsidP="00B97C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Field engagement with communities and local authorities</w:t>
      </w:r>
    </w:p>
    <w:p w:rsidR="00B97C54" w:rsidRPr="00B97C54" w:rsidRDefault="00B97C54" w:rsidP="00B97C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Consultations with regional and federal policymakers</w:t>
      </w:r>
    </w:p>
    <w:p w:rsidR="00B97C54" w:rsidRPr="00B97C54" w:rsidRDefault="00B97C54" w:rsidP="00B97C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Dialogue with civil society, private sector, and traditional institutions</w:t>
      </w:r>
    </w:p>
    <w:p w:rsidR="00B97C54" w:rsidRPr="00B97C54" w:rsidRDefault="00B97C54" w:rsidP="00B97C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Review of existing policies, legislation, and development plans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This process ensures that research priorities respond to </w:t>
      </w:r>
      <w:r w:rsidRPr="00B97C54">
        <w:rPr>
          <w:rFonts w:ascii="Times New Roman" w:eastAsia="Times New Roman" w:hAnsi="Times New Roman" w:cs="Times New Roman"/>
          <w:b/>
          <w:bCs/>
          <w:color w:val="000000"/>
          <w:kern w:val="0"/>
          <w14:ligatures w14:val="none"/>
        </w:rPr>
        <w:t>real institutional gaps and societal challenges</w:t>
      </w:r>
      <w:r w:rsidRPr="00B97C54">
        <w:rPr>
          <w:rFonts w:ascii="Times New Roman" w:eastAsia="Times New Roman" w:hAnsi="Times New Roman" w:cs="Times New Roman"/>
          <w:color w:val="000000"/>
          <w:kern w:val="0"/>
          <w14:ligatures w14:val="none"/>
        </w:rPr>
        <w:t>, rather than externally defined themes.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2. Research Design and Evidence Generation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Based on identified needs,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designs research programs that are methodologically sound and policy-relevant. This phase involves:</w:t>
      </w:r>
    </w:p>
    <w:p w:rsidR="00B97C54" w:rsidRPr="00B97C54" w:rsidRDefault="00B97C54" w:rsidP="00B97C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Development of research frameworks and questions</w:t>
      </w:r>
    </w:p>
    <w:p w:rsidR="00B97C54" w:rsidRPr="00B97C54" w:rsidRDefault="00B97C54" w:rsidP="00B97C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Selection of appropriate qualitative and quantitative methods</w:t>
      </w:r>
    </w:p>
    <w:p w:rsidR="00B97C54" w:rsidRPr="00B97C54" w:rsidRDefault="00B97C54" w:rsidP="00B97C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Ethical data collection through fieldwork and administrative sources</w:t>
      </w:r>
    </w:p>
    <w:p w:rsidR="00B97C54" w:rsidRPr="00B97C54" w:rsidRDefault="00B97C54" w:rsidP="00B97C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Integration of historical, cultural, and political economy perspectives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Research is conducted by multidisciplinary teams to capture the complexity of Somali Region realities.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lastRenderedPageBreak/>
        <w:t>3. Analysis, Synthesis, and Policy Framing</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Collected data undergoes rigorous analysis aimed at identifying patterns, drivers, and institutional implications.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places strong emphasis on:</w:t>
      </w:r>
    </w:p>
    <w:p w:rsidR="00B97C54" w:rsidRPr="00B97C54" w:rsidRDefault="00B97C54" w:rsidP="00B97C5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Translating findings into policy-relevant insights</w:t>
      </w:r>
    </w:p>
    <w:p w:rsidR="00B97C54" w:rsidRPr="00B97C54" w:rsidRDefault="00B97C54" w:rsidP="00B97C5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Distinguishing between structural causes and symptomatic challenges</w:t>
      </w:r>
    </w:p>
    <w:p w:rsidR="00B97C54" w:rsidRPr="00B97C54" w:rsidRDefault="00B97C54" w:rsidP="00B97C5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Identifying feasible policy options within existing political and administrative constraints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Outputs at this stage are framed explicitly to support decision-making, not academic abstraction.</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4. Stakeholder Engagement and Validation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Before finalization, research findings are shared with key stakeholders to:</w:t>
      </w:r>
    </w:p>
    <w:p w:rsidR="00B97C54" w:rsidRPr="00B97C54" w:rsidRDefault="00B97C54" w:rsidP="00B97C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Test assumptions and interpretations</w:t>
      </w:r>
    </w:p>
    <w:p w:rsidR="00B97C54" w:rsidRPr="00B97C54" w:rsidRDefault="00B97C54" w:rsidP="00B97C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Incorporate practitioner and community perspectives</w:t>
      </w:r>
    </w:p>
    <w:p w:rsidR="00B97C54" w:rsidRPr="00B97C54" w:rsidRDefault="00B97C54" w:rsidP="00B97C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Strengthen ownership and legitimacy of recommendations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Engagement formats include technical workshops, closed-door briefings, roundtables, and community consultations.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5. Policy Advisory, Dialogue, and Application</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actively supports the application of evidence through:</w:t>
      </w:r>
    </w:p>
    <w:p w:rsidR="00B97C54" w:rsidRPr="00B97C54" w:rsidRDefault="00B97C54" w:rsidP="00B97C5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Policy briefs and technical notes for decision-makers</w:t>
      </w:r>
    </w:p>
    <w:p w:rsidR="00B97C54" w:rsidRPr="00B97C54" w:rsidRDefault="00B97C54" w:rsidP="00B97C5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Advisory support to institutions and programs</w:t>
      </w:r>
    </w:p>
    <w:p w:rsidR="00B97C54" w:rsidRPr="00B97C54" w:rsidRDefault="00B97C54" w:rsidP="00B97C5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High-level forums and structured policy dialogue</w:t>
      </w:r>
    </w:p>
    <w:p w:rsidR="00B97C54" w:rsidRPr="00B97C54" w:rsidRDefault="00B97C54" w:rsidP="00B97C5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Public dissemination through media and open events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This phase ensures that evidence moves beyond publication into </w:t>
      </w:r>
      <w:r w:rsidRPr="00B97C54">
        <w:rPr>
          <w:rFonts w:ascii="Times New Roman" w:eastAsia="Times New Roman" w:hAnsi="Times New Roman" w:cs="Times New Roman"/>
          <w:b/>
          <w:bCs/>
          <w:color w:val="000000"/>
          <w:kern w:val="0"/>
          <w14:ligatures w14:val="none"/>
        </w:rPr>
        <w:t>institutional uptake</w:t>
      </w:r>
      <w:r w:rsidRPr="00B97C54">
        <w:rPr>
          <w:rFonts w:ascii="Times New Roman" w:eastAsia="Times New Roman" w:hAnsi="Times New Roman" w:cs="Times New Roman"/>
          <w:color w:val="000000"/>
          <w:kern w:val="0"/>
          <w14:ligatures w14:val="none"/>
        </w:rPr>
        <w:t>.</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6. Capacity Building and Institutional Strengthening</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To sustain impact,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invests in strengthening the capacity of institutions and actors involved in policy processes. This includes:</w:t>
      </w:r>
    </w:p>
    <w:p w:rsidR="00B97C54" w:rsidRPr="00B97C54" w:rsidRDefault="00B97C54" w:rsidP="00B97C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Training on policy analysis and evidence use</w:t>
      </w:r>
    </w:p>
    <w:p w:rsidR="00B97C54" w:rsidRPr="00B97C54" w:rsidRDefault="00B97C54" w:rsidP="00B97C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Support for institutional learning systems</w:t>
      </w:r>
    </w:p>
    <w:p w:rsidR="00B97C54" w:rsidRPr="00B97C54" w:rsidRDefault="00B97C54" w:rsidP="00B97C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lastRenderedPageBreak/>
        <w:t>Development of tools, manuals, and frameworks</w:t>
      </w:r>
    </w:p>
    <w:p w:rsidR="00B97C54" w:rsidRPr="00B97C54" w:rsidRDefault="00B97C54" w:rsidP="00B97C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Mentorship and peer learning initiatives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Capacity building ensures that evidence continues to inform policy beyond individual engagements.</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7. Monitoring, Evaluation, and Learning</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tracks the influence and outcomes of its work through:</w:t>
      </w:r>
    </w:p>
    <w:p w:rsidR="00B97C54" w:rsidRPr="00B97C54" w:rsidRDefault="00B97C54" w:rsidP="00B97C5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Monitoring uptake of recommendations</w:t>
      </w:r>
    </w:p>
    <w:p w:rsidR="00B97C54" w:rsidRPr="00B97C54" w:rsidRDefault="00B97C54" w:rsidP="00B97C5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Evaluating policy and program outcomes</w:t>
      </w:r>
    </w:p>
    <w:p w:rsidR="00B97C54" w:rsidRPr="00B97C54" w:rsidRDefault="00B97C54" w:rsidP="00B97C5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Documenting lessons and adaptive practices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Findings feed back into future research and engagement, ensuring </w:t>
      </w:r>
      <w:r w:rsidRPr="00B97C54">
        <w:rPr>
          <w:rFonts w:ascii="Times New Roman" w:eastAsia="Times New Roman" w:hAnsi="Times New Roman" w:cs="Times New Roman"/>
          <w:b/>
          <w:bCs/>
          <w:color w:val="000000"/>
          <w:kern w:val="0"/>
          <w14:ligatures w14:val="none"/>
        </w:rPr>
        <w:t>continuous institutional learning</w:t>
      </w:r>
      <w:r w:rsidRPr="00B97C54">
        <w:rPr>
          <w:rFonts w:ascii="Times New Roman" w:eastAsia="Times New Roman" w:hAnsi="Times New Roman" w:cs="Times New Roman"/>
          <w:color w:val="000000"/>
          <w:kern w:val="0"/>
          <w14:ligatures w14:val="none"/>
        </w:rPr>
        <w:t>.</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7C54">
        <w:rPr>
          <w:rFonts w:ascii="Times New Roman" w:eastAsia="Times New Roman" w:hAnsi="Times New Roman" w:cs="Times New Roman"/>
          <w:b/>
          <w:bCs/>
          <w:color w:val="000000"/>
          <w:kern w:val="0"/>
          <w:sz w:val="27"/>
          <w:szCs w:val="27"/>
          <w14:ligatures w14:val="none"/>
        </w:rPr>
        <w:t>8. Renewal and Strategic Adjustment</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The cycle concludes</w:t>
      </w:r>
      <w:r>
        <w:rPr>
          <w:rFonts w:ascii="Times New Roman" w:eastAsia="Times New Roman" w:hAnsi="Times New Roman" w:cs="Times New Roman"/>
          <w:color w:val="000000"/>
          <w:kern w:val="0"/>
          <w14:ligatures w14:val="none"/>
        </w:rPr>
        <w:t xml:space="preserve">, </w:t>
      </w:r>
      <w:r w:rsidRPr="00B97C54">
        <w:rPr>
          <w:rFonts w:ascii="Times New Roman" w:eastAsia="Times New Roman" w:hAnsi="Times New Roman" w:cs="Times New Roman"/>
          <w:color w:val="000000"/>
          <w:kern w:val="0"/>
          <w14:ligatures w14:val="none"/>
        </w:rPr>
        <w:t>and restarts</w:t>
      </w:r>
      <w:r>
        <w:rPr>
          <w:rFonts w:ascii="Times New Roman" w:eastAsia="Times New Roman" w:hAnsi="Times New Roman" w:cs="Times New Roman"/>
          <w:color w:val="000000"/>
          <w:kern w:val="0"/>
          <w14:ligatures w14:val="none"/>
        </w:rPr>
        <w:t xml:space="preserve">, </w:t>
      </w:r>
      <w:r w:rsidRPr="00B97C54">
        <w:rPr>
          <w:rFonts w:ascii="Times New Roman" w:eastAsia="Times New Roman" w:hAnsi="Times New Roman" w:cs="Times New Roman"/>
          <w:color w:val="000000"/>
          <w:kern w:val="0"/>
          <w14:ligatures w14:val="none"/>
        </w:rPr>
        <w:t>with strategic reflection. Changing political, social, and environmental conditions inform new priorities, ensuring relevance over time.</w:t>
      </w:r>
    </w:p>
    <w:p w:rsidR="00B97C54" w:rsidRPr="00B97C54" w:rsidRDefault="00B97C54" w:rsidP="00B97C54">
      <w:pPr>
        <w:spacing w:after="0" w:line="240" w:lineRule="auto"/>
        <w:rPr>
          <w:rFonts w:ascii="Times New Roman" w:eastAsia="Times New Roman" w:hAnsi="Times New Roman" w:cs="Times New Roman"/>
          <w:kern w:val="0"/>
          <w14:ligatures w14:val="none"/>
        </w:rPr>
      </w:pPr>
    </w:p>
    <w:p w:rsidR="00B97C54" w:rsidRPr="00B97C54" w:rsidRDefault="00B97C54" w:rsidP="00B97C5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97C54">
        <w:rPr>
          <w:rFonts w:ascii="Times New Roman" w:eastAsia="Times New Roman" w:hAnsi="Times New Roman" w:cs="Times New Roman"/>
          <w:b/>
          <w:bCs/>
          <w:color w:val="000000"/>
          <w:kern w:val="0"/>
          <w:sz w:val="36"/>
          <w:szCs w:val="36"/>
          <w14:ligatures w14:val="none"/>
        </w:rPr>
        <w:t>Why This Approach Matters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 xml:space="preserve">This structured approach allows </w:t>
      </w:r>
      <w:proofErr w:type="spellStart"/>
      <w:r w:rsidRPr="00B97C54">
        <w:rPr>
          <w:rFonts w:ascii="Times New Roman" w:eastAsia="Times New Roman" w:hAnsi="Times New Roman" w:cs="Times New Roman"/>
          <w:color w:val="000000"/>
          <w:kern w:val="0"/>
          <w14:ligatures w14:val="none"/>
        </w:rPr>
        <w:t>Hiraad</w:t>
      </w:r>
      <w:proofErr w:type="spellEnd"/>
      <w:r w:rsidRPr="00B97C54">
        <w:rPr>
          <w:rFonts w:ascii="Times New Roman" w:eastAsia="Times New Roman" w:hAnsi="Times New Roman" w:cs="Times New Roman"/>
          <w:color w:val="000000"/>
          <w:kern w:val="0"/>
          <w14:ligatures w14:val="none"/>
        </w:rPr>
        <w:t xml:space="preserve"> to:</w:t>
      </w:r>
    </w:p>
    <w:p w:rsidR="00B97C54" w:rsidRPr="00B97C54" w:rsidRDefault="00B97C54" w:rsidP="00B97C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Align local realities with national policy frameworks</w:t>
      </w:r>
    </w:p>
    <w:p w:rsidR="00B97C54" w:rsidRPr="00B97C54" w:rsidRDefault="00B97C54" w:rsidP="00B97C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Bridge community knowledge and institutional decision-making</w:t>
      </w:r>
    </w:p>
    <w:p w:rsidR="00B97C54" w:rsidRPr="00B97C54" w:rsidRDefault="00B97C54" w:rsidP="00B97C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Reduce policy fragmentation</w:t>
      </w:r>
    </w:p>
    <w:p w:rsidR="00B97C54" w:rsidRPr="00B97C54" w:rsidRDefault="00B97C54" w:rsidP="00B97C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Enhance accountability and learning</w:t>
      </w:r>
    </w:p>
    <w:p w:rsidR="00B97C54" w:rsidRPr="00B97C54" w:rsidRDefault="00B97C54" w:rsidP="00B97C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Produce durable, context-sensitive solutions</w:t>
      </w:r>
    </w:p>
    <w:p w:rsidR="00B97C54" w:rsidRPr="00B97C54" w:rsidRDefault="00B97C54" w:rsidP="00B97C54">
      <w:pPr>
        <w:spacing w:before="100" w:beforeAutospacing="1" w:after="100" w:afterAutospacing="1" w:line="240" w:lineRule="auto"/>
        <w:rPr>
          <w:rFonts w:ascii="Times New Roman" w:eastAsia="Times New Roman" w:hAnsi="Times New Roman" w:cs="Times New Roman"/>
          <w:color w:val="000000"/>
          <w:kern w:val="0"/>
          <w14:ligatures w14:val="none"/>
        </w:rPr>
      </w:pPr>
      <w:r w:rsidRPr="00B97C54">
        <w:rPr>
          <w:rFonts w:ascii="Times New Roman" w:eastAsia="Times New Roman" w:hAnsi="Times New Roman" w:cs="Times New Roman"/>
          <w:color w:val="000000"/>
          <w:kern w:val="0"/>
          <w14:ligatures w14:val="none"/>
        </w:rPr>
        <w:t>It also makes the Institute’s work </w:t>
      </w:r>
      <w:r w:rsidRPr="00B97C54">
        <w:rPr>
          <w:rFonts w:ascii="Times New Roman" w:eastAsia="Times New Roman" w:hAnsi="Times New Roman" w:cs="Times New Roman"/>
          <w:b/>
          <w:bCs/>
          <w:color w:val="000000"/>
          <w:kern w:val="0"/>
          <w14:ligatures w14:val="none"/>
        </w:rPr>
        <w:t>transparent, replicable, and accountable</w:t>
      </w:r>
      <w:r w:rsidRPr="00B97C54">
        <w:rPr>
          <w:rFonts w:ascii="Times New Roman" w:eastAsia="Times New Roman" w:hAnsi="Times New Roman" w:cs="Times New Roman"/>
          <w:color w:val="000000"/>
          <w:kern w:val="0"/>
          <w14:ligatures w14:val="none"/>
        </w:rPr>
        <w:t> to partners and the public.</w:t>
      </w:r>
    </w:p>
    <w:p w:rsidR="006C1D0D" w:rsidRDefault="006C1D0D" w:rsidP="00B97C54">
      <w:pPr>
        <w:spacing w:before="100" w:beforeAutospacing="1" w:after="100" w:afterAutospacing="1" w:line="240" w:lineRule="auto"/>
        <w:outlineLvl w:val="1"/>
      </w:pPr>
    </w:p>
    <w:sectPr w:rsidR="006C1D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DCE"/>
    <w:multiLevelType w:val="multilevel"/>
    <w:tmpl w:val="322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04D"/>
    <w:multiLevelType w:val="multilevel"/>
    <w:tmpl w:val="4F8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4C48"/>
    <w:multiLevelType w:val="multilevel"/>
    <w:tmpl w:val="360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67A91"/>
    <w:multiLevelType w:val="multilevel"/>
    <w:tmpl w:val="CC8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325FB"/>
    <w:multiLevelType w:val="multilevel"/>
    <w:tmpl w:val="A00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6177F"/>
    <w:multiLevelType w:val="multilevel"/>
    <w:tmpl w:val="382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2760"/>
    <w:multiLevelType w:val="multilevel"/>
    <w:tmpl w:val="6ACE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050C0"/>
    <w:multiLevelType w:val="multilevel"/>
    <w:tmpl w:val="48F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421D7"/>
    <w:multiLevelType w:val="multilevel"/>
    <w:tmpl w:val="E26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90E59"/>
    <w:multiLevelType w:val="multilevel"/>
    <w:tmpl w:val="5BD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3519"/>
    <w:multiLevelType w:val="multilevel"/>
    <w:tmpl w:val="9E2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7117"/>
    <w:multiLevelType w:val="multilevel"/>
    <w:tmpl w:val="B0D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50F87"/>
    <w:multiLevelType w:val="multilevel"/>
    <w:tmpl w:val="BC1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9351F"/>
    <w:multiLevelType w:val="multilevel"/>
    <w:tmpl w:val="22D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16AEC"/>
    <w:multiLevelType w:val="multilevel"/>
    <w:tmpl w:val="6D8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771D5"/>
    <w:multiLevelType w:val="multilevel"/>
    <w:tmpl w:val="A0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236382">
    <w:abstractNumId w:val="9"/>
  </w:num>
  <w:num w:numId="2" w16cid:durableId="808741834">
    <w:abstractNumId w:val="11"/>
  </w:num>
  <w:num w:numId="3" w16cid:durableId="987129736">
    <w:abstractNumId w:val="2"/>
  </w:num>
  <w:num w:numId="4" w16cid:durableId="876548612">
    <w:abstractNumId w:val="4"/>
  </w:num>
  <w:num w:numId="5" w16cid:durableId="793182705">
    <w:abstractNumId w:val="14"/>
  </w:num>
  <w:num w:numId="6" w16cid:durableId="445589733">
    <w:abstractNumId w:val="7"/>
  </w:num>
  <w:num w:numId="7" w16cid:durableId="565603078">
    <w:abstractNumId w:val="10"/>
  </w:num>
  <w:num w:numId="8" w16cid:durableId="476381732">
    <w:abstractNumId w:val="6"/>
  </w:num>
  <w:num w:numId="9" w16cid:durableId="717045783">
    <w:abstractNumId w:val="12"/>
  </w:num>
  <w:num w:numId="10" w16cid:durableId="1324549403">
    <w:abstractNumId w:val="0"/>
  </w:num>
  <w:num w:numId="11" w16cid:durableId="988749981">
    <w:abstractNumId w:val="3"/>
  </w:num>
  <w:num w:numId="12" w16cid:durableId="1064257127">
    <w:abstractNumId w:val="15"/>
  </w:num>
  <w:num w:numId="13" w16cid:durableId="1436367144">
    <w:abstractNumId w:val="8"/>
  </w:num>
  <w:num w:numId="14" w16cid:durableId="618494752">
    <w:abstractNumId w:val="1"/>
  </w:num>
  <w:num w:numId="15" w16cid:durableId="92821826">
    <w:abstractNumId w:val="13"/>
  </w:num>
  <w:num w:numId="16" w16cid:durableId="702941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0D"/>
    <w:rsid w:val="00616DF9"/>
    <w:rsid w:val="006C1D0D"/>
    <w:rsid w:val="00B97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5359"/>
  <w15:chartTrackingRefBased/>
  <w15:docId w15:val="{C0893B6B-5937-5243-A335-574D6137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1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1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1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1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D0D"/>
    <w:rPr>
      <w:rFonts w:eastAsiaTheme="majorEastAsia" w:cstheme="majorBidi"/>
      <w:color w:val="272727" w:themeColor="text1" w:themeTint="D8"/>
    </w:rPr>
  </w:style>
  <w:style w:type="paragraph" w:styleId="Title">
    <w:name w:val="Title"/>
    <w:basedOn w:val="Normal"/>
    <w:next w:val="Normal"/>
    <w:link w:val="TitleChar"/>
    <w:uiPriority w:val="10"/>
    <w:qFormat/>
    <w:rsid w:val="006C1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D0D"/>
    <w:pPr>
      <w:spacing w:before="160"/>
      <w:jc w:val="center"/>
    </w:pPr>
    <w:rPr>
      <w:i/>
      <w:iCs/>
      <w:color w:val="404040" w:themeColor="text1" w:themeTint="BF"/>
    </w:rPr>
  </w:style>
  <w:style w:type="character" w:customStyle="1" w:styleId="QuoteChar">
    <w:name w:val="Quote Char"/>
    <w:basedOn w:val="DefaultParagraphFont"/>
    <w:link w:val="Quote"/>
    <w:uiPriority w:val="29"/>
    <w:rsid w:val="006C1D0D"/>
    <w:rPr>
      <w:i/>
      <w:iCs/>
      <w:color w:val="404040" w:themeColor="text1" w:themeTint="BF"/>
    </w:rPr>
  </w:style>
  <w:style w:type="paragraph" w:styleId="ListParagraph">
    <w:name w:val="List Paragraph"/>
    <w:basedOn w:val="Normal"/>
    <w:uiPriority w:val="34"/>
    <w:qFormat/>
    <w:rsid w:val="006C1D0D"/>
    <w:pPr>
      <w:ind w:left="720"/>
      <w:contextualSpacing/>
    </w:pPr>
  </w:style>
  <w:style w:type="character" w:styleId="IntenseEmphasis">
    <w:name w:val="Intense Emphasis"/>
    <w:basedOn w:val="DefaultParagraphFont"/>
    <w:uiPriority w:val="21"/>
    <w:qFormat/>
    <w:rsid w:val="006C1D0D"/>
    <w:rPr>
      <w:i/>
      <w:iCs/>
      <w:color w:val="2F5496" w:themeColor="accent1" w:themeShade="BF"/>
    </w:rPr>
  </w:style>
  <w:style w:type="paragraph" w:styleId="IntenseQuote">
    <w:name w:val="Intense Quote"/>
    <w:basedOn w:val="Normal"/>
    <w:next w:val="Normal"/>
    <w:link w:val="IntenseQuoteChar"/>
    <w:uiPriority w:val="30"/>
    <w:qFormat/>
    <w:rsid w:val="006C1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D0D"/>
    <w:rPr>
      <w:i/>
      <w:iCs/>
      <w:color w:val="2F5496" w:themeColor="accent1" w:themeShade="BF"/>
    </w:rPr>
  </w:style>
  <w:style w:type="character" w:styleId="IntenseReference">
    <w:name w:val="Intense Reference"/>
    <w:basedOn w:val="DefaultParagraphFont"/>
    <w:uiPriority w:val="32"/>
    <w:qFormat/>
    <w:rsid w:val="006C1D0D"/>
    <w:rPr>
      <w:b/>
      <w:bCs/>
      <w:smallCaps/>
      <w:color w:val="2F5496" w:themeColor="accent1" w:themeShade="BF"/>
      <w:spacing w:val="5"/>
    </w:rPr>
  </w:style>
  <w:style w:type="paragraph" w:styleId="NormalWeb">
    <w:name w:val="Normal (Web)"/>
    <w:basedOn w:val="Normal"/>
    <w:uiPriority w:val="99"/>
    <w:semiHidden/>
    <w:unhideWhenUsed/>
    <w:rsid w:val="006C1D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C1D0D"/>
  </w:style>
  <w:style w:type="character" w:styleId="Strong">
    <w:name w:val="Strong"/>
    <w:basedOn w:val="DefaultParagraphFont"/>
    <w:uiPriority w:val="22"/>
    <w:qFormat/>
    <w:rsid w:val="006C1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2846</Words>
  <Characters>16224</Characters>
  <Application>Microsoft Office Word</Application>
  <DocSecurity>0</DocSecurity>
  <Lines>135</Lines>
  <Paragraphs>38</Paragraphs>
  <ScaleCrop>false</ScaleCrop>
  <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Usame Mohamed Muhumad</dc:creator>
  <cp:keywords/>
  <dc:description/>
  <cp:lastModifiedBy>Usame Mohamed Muhumad</cp:lastModifiedBy>
  <cp:revision>2</cp:revision>
  <dcterms:created xsi:type="dcterms:W3CDTF">2025-12-23T09:23:00Z</dcterms:created>
  <dcterms:modified xsi:type="dcterms:W3CDTF">2025-12-23T09:42:00Z</dcterms:modified>
</cp:coreProperties>
</file>