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1B8D5" w14:textId="77777777" w:rsidR="00F4509E" w:rsidRDefault="00F4509E">
      <w:pPr>
        <w:spacing w:before="1500"/>
      </w:pPr>
    </w:p>
    <w:p w14:paraId="5D8C7222" w14:textId="77777777" w:rsidR="00F4509E" w:rsidRDefault="00384877">
      <w:pPr>
        <w:spacing w:after="120"/>
        <w:jc w:val="center"/>
      </w:pPr>
      <w:r>
        <w:rPr>
          <w:b/>
          <w:bCs/>
          <w:color w:val="3355D8"/>
          <w:sz w:val="26"/>
          <w:szCs w:val="26"/>
        </w:rPr>
        <w:t>ROBLOX AFRICA</w:t>
      </w:r>
    </w:p>
    <w:p w14:paraId="70036960" w14:textId="77777777" w:rsidR="00F4509E" w:rsidRDefault="00384877">
      <w:pPr>
        <w:spacing w:after="240"/>
        <w:jc w:val="center"/>
      </w:pPr>
      <w:r>
        <w:rPr>
          <w:b/>
          <w:bCs/>
          <w:color w:val="1F2C73"/>
          <w:sz w:val="40"/>
          <w:szCs w:val="40"/>
        </w:rPr>
        <w:t>MANAGEMENT ANALYTICS &amp; DECISION SUPPORT</w:t>
      </w:r>
    </w:p>
    <w:p w14:paraId="4DEE7EB6" w14:textId="77777777" w:rsidR="00F4509E" w:rsidRDefault="00384877">
      <w:pPr>
        <w:spacing w:after="900"/>
        <w:jc w:val="center"/>
      </w:pPr>
      <w:r>
        <w:rPr>
          <w:color w:val="3355D8"/>
          <w:sz w:val="24"/>
          <w:szCs w:val="24"/>
        </w:rPr>
        <w:t>Workforce • Performance • Finance • Health &amp; Insurance</w:t>
      </w:r>
    </w:p>
    <w:p w14:paraId="517FE941" w14:textId="076425AE" w:rsidR="00F4509E" w:rsidRDefault="00384877">
      <w:pPr>
        <w:spacing w:after="160"/>
        <w:jc w:val="center"/>
      </w:pPr>
      <w:r>
        <w:t xml:space="preserve">Prepared by: </w:t>
      </w:r>
      <w:r w:rsidR="00BF7E4F">
        <w:t>Abdimanar Edin Guyo</w:t>
      </w:r>
    </w:p>
    <w:p w14:paraId="332433FD" w14:textId="77777777" w:rsidR="00F4509E" w:rsidRDefault="00384877">
      <w:pPr>
        <w:spacing w:after="160"/>
        <w:jc w:val="center"/>
      </w:pPr>
      <w:r>
        <w:t>Capstone Project — Stakeholder Report</w:t>
      </w:r>
    </w:p>
    <w:p w14:paraId="0EEB2E6E" w14:textId="77777777" w:rsidR="00FA4350" w:rsidRDefault="00384877">
      <w:pPr>
        <w:spacing w:after="1200"/>
        <w:jc w:val="center"/>
      </w:pPr>
      <w:r>
        <w:t xml:space="preserve">Data window: 2021 – 2025  </w:t>
      </w:r>
    </w:p>
    <w:p w14:paraId="6F60EA4E" w14:textId="77777777" w:rsidR="00F4509E" w:rsidRDefault="00FA4350" w:rsidP="00FA4350">
      <w:pPr>
        <w:spacing w:after="1200"/>
      </w:pPr>
      <w:r>
        <w:t xml:space="preserve">                                                            </w:t>
      </w:r>
      <w:r w:rsidR="00384877">
        <w:t>Date of submission: 9 August 2026</w:t>
      </w:r>
    </w:p>
    <w:p w14:paraId="7409A2F3" w14:textId="77777777" w:rsidR="00F4509E" w:rsidRDefault="00384877">
      <w:pPr>
        <w:pStyle w:val="Heading1"/>
      </w:pPr>
      <w:r>
        <w:t>Abstract</w:t>
      </w:r>
    </w:p>
    <w:p w14:paraId="30BD44C8" w14:textId="77777777" w:rsidR="00F4509E" w:rsidRDefault="00384877">
      <w:pPr>
        <w:spacing w:after="200" w:line="300" w:lineRule="auto"/>
        <w:jc w:val="both"/>
      </w:pPr>
      <w:r>
        <w:t xml:space="preserve">Roblox Africa's Ghana Hub employs 30,000 people across eight departments, and this report asks a simple question of that workforce: is it being managed, measured, and paid in a way that actually tracks performance? The short answer, based on five years of workforce and financial data (2021–2025), is not really. Only 10,078 employees </w:t>
      </w:r>
      <w:r w:rsidR="00FA4350">
        <w:t>constitut</w:t>
      </w:r>
      <w:r w:rsidR="00F17B8F">
        <w:t>ing</w:t>
      </w:r>
      <w:r>
        <w:t xml:space="preserve"> 33.6 percent of the workforce </w:t>
      </w:r>
      <w:r w:rsidR="00F17B8F">
        <w:t>are</w:t>
      </w:r>
      <w:r>
        <w:t xml:space="preserve"> recorded as active at any given time. Average performance has sat at 3.60 in every single year since 2021, and none of the inputs typically used to explain performance (training hours, attendance, project volume) show any real statistical relationship to it; the strongest of the three correlations is 0.002, indistinguishable from zero. Pay tells a similar story: the entire workforce is compensated within a $97 band, and bonus allocation shows no link to performance score at all. Financially, the hub grew revenue by 27.6 percent over the period, from $18.29 million to $23.34 million, but that growth has not been evenly earned </w:t>
      </w:r>
      <w:r w:rsidR="00F17B8F">
        <w:t>with</w:t>
      </w:r>
      <w:r>
        <w:t xml:space="preserve"> Customer Support's costs r</w:t>
      </w:r>
      <w:r w:rsidR="00F17B8F">
        <w:t>ising up to</w:t>
      </w:r>
      <w:r>
        <w:t xml:space="preserve"> 60.1 percent</w:t>
      </w:r>
      <w:r w:rsidR="00F17B8F">
        <w:t xml:space="preserve"> as</w:t>
      </w:r>
      <w:r>
        <w:t xml:space="preserve"> against 12.0 percent revenue growth, and a third of the workforce is currently carrying expired health insurance. None of this is presented as a crisis; it is </w:t>
      </w:r>
      <w:r>
        <w:lastRenderedPageBreak/>
        <w:t>presented as a set of clear, fixable gaps, and the report closes with the specific management actions Group 12 recommended to close them.</w:t>
      </w:r>
    </w:p>
    <w:p w14:paraId="680473E9" w14:textId="77777777" w:rsidR="00F4509E" w:rsidRDefault="00384877">
      <w:r>
        <w:br w:type="page"/>
      </w:r>
    </w:p>
    <w:p w14:paraId="0DDFA7E2" w14:textId="77777777" w:rsidR="00F4509E" w:rsidRDefault="00384877">
      <w:pPr>
        <w:pStyle w:val="Heading1"/>
      </w:pPr>
      <w:r>
        <w:lastRenderedPageBreak/>
        <w:t>Table of Contents</w:t>
      </w:r>
    </w:p>
    <w:p w14:paraId="583854B4" w14:textId="77777777" w:rsidR="00F4509E" w:rsidRDefault="00384877">
      <w:pPr>
        <w:spacing w:after="200" w:line="300" w:lineRule="auto"/>
        <w:jc w:val="both"/>
      </w:pPr>
      <w:r>
        <w:t>1. Introduction: Business Problem and Objectives</w:t>
      </w:r>
    </w:p>
    <w:p w14:paraId="041661CC" w14:textId="77777777" w:rsidR="00F4509E" w:rsidRDefault="00384877">
      <w:pPr>
        <w:spacing w:after="200" w:line="300" w:lineRule="auto"/>
        <w:jc w:val="both"/>
      </w:pPr>
      <w:r>
        <w:t>2. Methodology: Data and Analytical Approach</w:t>
      </w:r>
    </w:p>
    <w:p w14:paraId="69B291DE" w14:textId="77777777" w:rsidR="00F4509E" w:rsidRDefault="00384877">
      <w:pPr>
        <w:spacing w:after="200" w:line="300" w:lineRule="auto"/>
        <w:jc w:val="both"/>
      </w:pPr>
      <w:r>
        <w:t>3. Workforce Structure and Employee Status</w:t>
      </w:r>
    </w:p>
    <w:p w14:paraId="0292EBC9" w14:textId="77777777" w:rsidR="00F4509E" w:rsidRDefault="00384877">
      <w:pPr>
        <w:spacing w:after="200" w:line="300" w:lineRule="auto"/>
        <w:jc w:val="both"/>
      </w:pPr>
      <w:r>
        <w:t>4. Education and Talent Placement</w:t>
      </w:r>
    </w:p>
    <w:p w14:paraId="596C3457" w14:textId="77777777" w:rsidR="00F4509E" w:rsidRDefault="00384877">
      <w:pPr>
        <w:spacing w:after="200" w:line="300" w:lineRule="auto"/>
        <w:jc w:val="both"/>
      </w:pPr>
      <w:r>
        <w:t>5. Compensation, Performance, and Productivity</w:t>
      </w:r>
    </w:p>
    <w:p w14:paraId="2720E1E6" w14:textId="77777777" w:rsidR="00F4509E" w:rsidRDefault="00384877">
      <w:pPr>
        <w:spacing w:after="200" w:line="300" w:lineRule="auto"/>
        <w:jc w:val="both"/>
      </w:pPr>
      <w:r>
        <w:t>6. Financial Performance and Departmental Efficiency</w:t>
      </w:r>
    </w:p>
    <w:p w14:paraId="3386FB70" w14:textId="77777777" w:rsidR="00F4509E" w:rsidRDefault="00384877">
      <w:pPr>
        <w:spacing w:after="200" w:line="300" w:lineRule="auto"/>
        <w:jc w:val="both"/>
      </w:pPr>
      <w:r>
        <w:t>7. Health and Workforce Risk</w:t>
      </w:r>
    </w:p>
    <w:p w14:paraId="5C68CB15" w14:textId="77777777" w:rsidR="00F4509E" w:rsidRDefault="00384877">
      <w:pPr>
        <w:spacing w:after="200" w:line="300" w:lineRule="auto"/>
        <w:jc w:val="both"/>
      </w:pPr>
      <w:r>
        <w:t>8. Data Quality Assessment</w:t>
      </w:r>
    </w:p>
    <w:p w14:paraId="3B43C4D6" w14:textId="77777777" w:rsidR="00F4509E" w:rsidRDefault="00384877">
      <w:pPr>
        <w:spacing w:after="200" w:line="300" w:lineRule="auto"/>
        <w:jc w:val="both"/>
      </w:pPr>
      <w:r>
        <w:t>9. Findings and Recommended Management Actions</w:t>
      </w:r>
    </w:p>
    <w:p w14:paraId="31E32846" w14:textId="77777777" w:rsidR="00F4509E" w:rsidRDefault="00384877">
      <w:pPr>
        <w:spacing w:after="200" w:line="300" w:lineRule="auto"/>
        <w:jc w:val="both"/>
      </w:pPr>
      <w:r>
        <w:t>10. Conclusion and Next Steps</w:t>
      </w:r>
    </w:p>
    <w:p w14:paraId="728CD9CC" w14:textId="77777777" w:rsidR="00F4509E" w:rsidRDefault="00384877">
      <w:r>
        <w:br w:type="page"/>
      </w:r>
    </w:p>
    <w:p w14:paraId="208C552E" w14:textId="77777777" w:rsidR="00F4509E" w:rsidRDefault="00F4509E">
      <w:pPr>
        <w:sectPr w:rsidR="00F4509E">
          <w:pgSz w:w="12240" w:h="15840"/>
          <w:pgMar w:top="1440" w:right="1440" w:bottom="1440" w:left="1440" w:header="708" w:footer="708" w:gutter="0"/>
          <w:cols w:space="720"/>
          <w:docGrid w:linePitch="360"/>
        </w:sectPr>
      </w:pPr>
    </w:p>
    <w:p w14:paraId="42AC991B" w14:textId="77777777" w:rsidR="00F4509E" w:rsidRDefault="00384877">
      <w:pPr>
        <w:pStyle w:val="Heading1"/>
      </w:pPr>
      <w:r>
        <w:lastRenderedPageBreak/>
        <w:t>1. Introduction: Business Problem and Objectives</w:t>
      </w:r>
    </w:p>
    <w:p w14:paraId="727A8104" w14:textId="77777777" w:rsidR="00F4509E" w:rsidRDefault="00384877">
      <w:pPr>
        <w:spacing w:after="200" w:line="300" w:lineRule="auto"/>
        <w:jc w:val="both"/>
      </w:pPr>
      <w:r>
        <w:t>Management at Roblox Africa lacked a single, integrated view of its people, their performance, the financial outcomes their departments produce, and the workforce risks the organisation carries. Group 12 took this on as a capstone project, working from a dataset covering the full Ghana Hub workforce — 30,000 employees spread across eight departments, with department size ranging narrowly between roughly 3,700 and 3,820 people — and five fiscal years of performance and financial history, 2021 through 2025.</w:t>
      </w:r>
    </w:p>
    <w:p w14:paraId="60B458FB" w14:textId="77777777" w:rsidR="00F4509E" w:rsidRDefault="00384877">
      <w:pPr>
        <w:spacing w:after="200" w:line="300" w:lineRule="auto"/>
        <w:jc w:val="both"/>
      </w:pPr>
      <w:r>
        <w:t>Six objectives shaped the analysis:</w:t>
      </w:r>
    </w:p>
    <w:p w14:paraId="01C68FFF" w14:textId="77777777" w:rsidR="00F4509E" w:rsidRDefault="00384877">
      <w:pPr>
        <w:pStyle w:val="ListParagraph"/>
        <w:numPr>
          <w:ilvl w:val="0"/>
          <w:numId w:val="1"/>
        </w:numPr>
        <w:spacing w:after="100" w:line="280" w:lineRule="auto"/>
      </w:pPr>
      <w:r>
        <w:t>Understand workforce composition and compensation patterns.</w:t>
      </w:r>
    </w:p>
    <w:p w14:paraId="398ED1F3" w14:textId="77777777" w:rsidR="00F4509E" w:rsidRDefault="00384877">
      <w:pPr>
        <w:pStyle w:val="ListParagraph"/>
        <w:numPr>
          <w:ilvl w:val="0"/>
          <w:numId w:val="1"/>
        </w:numPr>
        <w:spacing w:after="100" w:line="280" w:lineRule="auto"/>
      </w:pPr>
      <w:r>
        <w:t>Evaluate employee and departmental performance.</w:t>
      </w:r>
    </w:p>
    <w:p w14:paraId="3719267B" w14:textId="77777777" w:rsidR="00F4509E" w:rsidRDefault="00384877">
      <w:pPr>
        <w:pStyle w:val="ListParagraph"/>
        <w:numPr>
          <w:ilvl w:val="0"/>
          <w:numId w:val="1"/>
        </w:numPr>
        <w:spacing w:after="100" w:line="280" w:lineRule="auto"/>
      </w:pPr>
      <w:r>
        <w:t>Assess how training and attendance relate to performance.</w:t>
      </w:r>
    </w:p>
    <w:p w14:paraId="5AE606F0" w14:textId="77777777" w:rsidR="00F4509E" w:rsidRDefault="00384877">
      <w:pPr>
        <w:pStyle w:val="ListParagraph"/>
        <w:numPr>
          <w:ilvl w:val="0"/>
          <w:numId w:val="1"/>
        </w:numPr>
        <w:spacing w:after="100" w:line="280" w:lineRule="auto"/>
      </w:pPr>
      <w:r>
        <w:t>Compare revenue, cost, profit, and departmental efficiency.</w:t>
      </w:r>
    </w:p>
    <w:p w14:paraId="45A4FF40" w14:textId="77777777" w:rsidR="00F4509E" w:rsidRDefault="00384877">
      <w:pPr>
        <w:pStyle w:val="ListParagraph"/>
        <w:numPr>
          <w:ilvl w:val="0"/>
          <w:numId w:val="1"/>
        </w:numPr>
        <w:spacing w:after="100" w:line="280" w:lineRule="auto"/>
      </w:pPr>
      <w:r>
        <w:t>Identify insurance and medical-leave risks requiring action.</w:t>
      </w:r>
    </w:p>
    <w:p w14:paraId="65E120D3" w14:textId="77777777" w:rsidR="00F4509E" w:rsidRDefault="00384877">
      <w:pPr>
        <w:pStyle w:val="ListParagraph"/>
        <w:numPr>
          <w:ilvl w:val="0"/>
          <w:numId w:val="1"/>
        </w:numPr>
        <w:spacing w:after="100" w:line="280" w:lineRule="auto"/>
      </w:pPr>
      <w:r>
        <w:t>Translate findings into prioritised management decisions.</w:t>
      </w:r>
    </w:p>
    <w:p w14:paraId="08B5320C" w14:textId="77777777" w:rsidR="00F4509E" w:rsidRDefault="00384877">
      <w:pPr>
        <w:pStyle w:val="Heading1"/>
      </w:pPr>
      <w:r>
        <w:t>2. Methodology: Data and Analytical Approach</w:t>
      </w:r>
    </w:p>
    <w:p w14:paraId="2A4D9F59" w14:textId="77777777" w:rsidR="00F4509E" w:rsidRDefault="00384877">
      <w:pPr>
        <w:spacing w:after="200" w:line="300" w:lineRule="auto"/>
        <w:jc w:val="both"/>
      </w:pPr>
      <w:r>
        <w:t>The project moved through five stages, from raw data to a stakeholder-facing decision-support dashboard.</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600"/>
        <w:gridCol w:w="6760"/>
      </w:tblGrid>
      <w:tr w:rsidR="00F4509E" w14:paraId="0C06E079" w14:textId="77777777">
        <w:trPr>
          <w:tblHeader/>
        </w:trPr>
        <w:tc>
          <w:tcPr>
            <w:tcW w:w="2600" w:type="dxa"/>
            <w:shd w:val="clear" w:color="auto" w:fill="1F2C73"/>
            <w:tcMar>
              <w:top w:w="80" w:type="dxa"/>
              <w:left w:w="120" w:type="dxa"/>
              <w:bottom w:w="80" w:type="dxa"/>
              <w:right w:w="120" w:type="dxa"/>
            </w:tcMar>
            <w:vAlign w:val="center"/>
          </w:tcPr>
          <w:p w14:paraId="7EE6DA84" w14:textId="77777777" w:rsidR="00F4509E" w:rsidRDefault="00384877">
            <w:pPr>
              <w:jc w:val="center"/>
            </w:pPr>
            <w:r>
              <w:rPr>
                <w:b/>
                <w:bCs/>
                <w:color w:val="FFFFFF"/>
                <w:sz w:val="19"/>
                <w:szCs w:val="19"/>
              </w:rPr>
              <w:t>Stage</w:t>
            </w:r>
          </w:p>
        </w:tc>
        <w:tc>
          <w:tcPr>
            <w:tcW w:w="6760" w:type="dxa"/>
            <w:shd w:val="clear" w:color="auto" w:fill="1F2C73"/>
            <w:tcMar>
              <w:top w:w="80" w:type="dxa"/>
              <w:left w:w="120" w:type="dxa"/>
              <w:bottom w:w="80" w:type="dxa"/>
              <w:right w:w="120" w:type="dxa"/>
            </w:tcMar>
            <w:vAlign w:val="center"/>
          </w:tcPr>
          <w:p w14:paraId="7959FB34" w14:textId="77777777" w:rsidR="00F4509E" w:rsidRDefault="00384877">
            <w:pPr>
              <w:jc w:val="center"/>
            </w:pPr>
            <w:r>
              <w:rPr>
                <w:b/>
                <w:bCs/>
                <w:color w:val="FFFFFF"/>
                <w:sz w:val="19"/>
                <w:szCs w:val="19"/>
              </w:rPr>
              <w:t>What it involved</w:t>
            </w:r>
          </w:p>
        </w:tc>
      </w:tr>
      <w:tr w:rsidR="00F4509E" w14:paraId="4DCE229D" w14:textId="77777777">
        <w:tc>
          <w:tcPr>
            <w:tcW w:w="2600" w:type="dxa"/>
            <w:tcMar>
              <w:top w:w="80" w:type="dxa"/>
              <w:left w:w="120" w:type="dxa"/>
              <w:bottom w:w="80" w:type="dxa"/>
              <w:right w:w="120" w:type="dxa"/>
            </w:tcMar>
            <w:vAlign w:val="center"/>
          </w:tcPr>
          <w:p w14:paraId="7EDE28B1" w14:textId="77777777" w:rsidR="00F4509E" w:rsidRDefault="00384877">
            <w:r>
              <w:rPr>
                <w:color w:val="000000"/>
                <w:sz w:val="19"/>
                <w:szCs w:val="19"/>
              </w:rPr>
              <w:t>1. Data</w:t>
            </w:r>
          </w:p>
        </w:tc>
        <w:tc>
          <w:tcPr>
            <w:tcW w:w="6760" w:type="dxa"/>
            <w:tcMar>
              <w:top w:w="80" w:type="dxa"/>
              <w:left w:w="120" w:type="dxa"/>
              <w:bottom w:w="80" w:type="dxa"/>
              <w:right w:w="120" w:type="dxa"/>
            </w:tcMar>
            <w:vAlign w:val="center"/>
          </w:tcPr>
          <w:p w14:paraId="2BCC0AFC" w14:textId="77777777" w:rsidR="00F4509E" w:rsidRDefault="00384877">
            <w:pPr>
              <w:jc w:val="center"/>
            </w:pPr>
            <w:r>
              <w:rPr>
                <w:color w:val="000000"/>
                <w:sz w:val="19"/>
                <w:szCs w:val="19"/>
              </w:rPr>
              <w:t>Employee, Department, Education, Employee Performance, Finance, and Health datasets covering all 30,000 employees, 2021–2025.</w:t>
            </w:r>
          </w:p>
        </w:tc>
      </w:tr>
      <w:tr w:rsidR="00F4509E" w14:paraId="6CDA82BE" w14:textId="77777777">
        <w:tc>
          <w:tcPr>
            <w:tcW w:w="2600" w:type="dxa"/>
            <w:shd w:val="clear" w:color="auto" w:fill="F2F4FB"/>
            <w:tcMar>
              <w:top w:w="80" w:type="dxa"/>
              <w:left w:w="120" w:type="dxa"/>
              <w:bottom w:w="80" w:type="dxa"/>
              <w:right w:w="120" w:type="dxa"/>
            </w:tcMar>
            <w:vAlign w:val="center"/>
          </w:tcPr>
          <w:p w14:paraId="7812BC4B" w14:textId="77777777" w:rsidR="00F4509E" w:rsidRDefault="00384877">
            <w:r>
              <w:rPr>
                <w:color w:val="000000"/>
                <w:sz w:val="19"/>
                <w:szCs w:val="19"/>
              </w:rPr>
              <w:t>2. Preparation</w:t>
            </w:r>
          </w:p>
        </w:tc>
        <w:tc>
          <w:tcPr>
            <w:tcW w:w="6760" w:type="dxa"/>
            <w:shd w:val="clear" w:color="auto" w:fill="F2F4FB"/>
            <w:tcMar>
              <w:top w:w="80" w:type="dxa"/>
              <w:left w:w="120" w:type="dxa"/>
              <w:bottom w:w="80" w:type="dxa"/>
              <w:right w:w="120" w:type="dxa"/>
            </w:tcMar>
            <w:vAlign w:val="center"/>
          </w:tcPr>
          <w:p w14:paraId="01CE9298" w14:textId="77777777" w:rsidR="00F4509E" w:rsidRDefault="00384877">
            <w:pPr>
              <w:jc w:val="center"/>
            </w:pPr>
            <w:r>
              <w:rPr>
                <w:color w:val="000000"/>
                <w:sz w:val="19"/>
                <w:szCs w:val="19"/>
              </w:rPr>
              <w:t>Data cleaning and data transformation, including the anomaly checks described in Section 8.</w:t>
            </w:r>
          </w:p>
        </w:tc>
      </w:tr>
      <w:tr w:rsidR="00F4509E" w14:paraId="128815FA" w14:textId="77777777">
        <w:tc>
          <w:tcPr>
            <w:tcW w:w="2600" w:type="dxa"/>
            <w:tcMar>
              <w:top w:w="80" w:type="dxa"/>
              <w:left w:w="120" w:type="dxa"/>
              <w:bottom w:w="80" w:type="dxa"/>
              <w:right w:w="120" w:type="dxa"/>
            </w:tcMar>
            <w:vAlign w:val="center"/>
          </w:tcPr>
          <w:p w14:paraId="15D6B5B4" w14:textId="77777777" w:rsidR="00F4509E" w:rsidRDefault="00384877">
            <w:r>
              <w:rPr>
                <w:color w:val="000000"/>
                <w:sz w:val="19"/>
                <w:szCs w:val="19"/>
              </w:rPr>
              <w:t>3. Database</w:t>
            </w:r>
          </w:p>
        </w:tc>
        <w:tc>
          <w:tcPr>
            <w:tcW w:w="6760" w:type="dxa"/>
            <w:tcMar>
              <w:top w:w="80" w:type="dxa"/>
              <w:left w:w="120" w:type="dxa"/>
              <w:bottom w:w="80" w:type="dxa"/>
              <w:right w:w="120" w:type="dxa"/>
            </w:tcMar>
            <w:vAlign w:val="center"/>
          </w:tcPr>
          <w:p w14:paraId="69057C8D" w14:textId="77777777" w:rsidR="00F4509E" w:rsidRDefault="00384877">
            <w:pPr>
              <w:jc w:val="center"/>
            </w:pPr>
            <w:r>
              <w:rPr>
                <w:color w:val="000000"/>
                <w:sz w:val="19"/>
                <w:szCs w:val="19"/>
              </w:rPr>
              <w:t>MySQL tables, relationships, and analytical views.</w:t>
            </w:r>
          </w:p>
        </w:tc>
      </w:tr>
      <w:tr w:rsidR="00F4509E" w14:paraId="1ADC3744" w14:textId="77777777">
        <w:tc>
          <w:tcPr>
            <w:tcW w:w="2600" w:type="dxa"/>
            <w:shd w:val="clear" w:color="auto" w:fill="F2F4FB"/>
            <w:tcMar>
              <w:top w:w="80" w:type="dxa"/>
              <w:left w:w="120" w:type="dxa"/>
              <w:bottom w:w="80" w:type="dxa"/>
              <w:right w:w="120" w:type="dxa"/>
            </w:tcMar>
            <w:vAlign w:val="center"/>
          </w:tcPr>
          <w:p w14:paraId="09BFC8C1" w14:textId="77777777" w:rsidR="00F4509E" w:rsidRDefault="00384877">
            <w:r>
              <w:rPr>
                <w:color w:val="000000"/>
                <w:sz w:val="19"/>
                <w:szCs w:val="19"/>
              </w:rPr>
              <w:t>4. Analysis</w:t>
            </w:r>
          </w:p>
        </w:tc>
        <w:tc>
          <w:tcPr>
            <w:tcW w:w="6760" w:type="dxa"/>
            <w:shd w:val="clear" w:color="auto" w:fill="F2F4FB"/>
            <w:tcMar>
              <w:top w:w="80" w:type="dxa"/>
              <w:left w:w="120" w:type="dxa"/>
              <w:bottom w:w="80" w:type="dxa"/>
              <w:right w:w="120" w:type="dxa"/>
            </w:tcMar>
            <w:vAlign w:val="center"/>
          </w:tcPr>
          <w:p w14:paraId="1D8538AE" w14:textId="77777777" w:rsidR="00F4509E" w:rsidRDefault="00384877">
            <w:pPr>
              <w:jc w:val="center"/>
            </w:pPr>
            <w:r>
              <w:rPr>
                <w:color w:val="000000"/>
                <w:sz w:val="19"/>
                <w:szCs w:val="19"/>
              </w:rPr>
              <w:t>MySQL analysis, a Power BI data model, and DAX measures.</w:t>
            </w:r>
          </w:p>
        </w:tc>
      </w:tr>
      <w:tr w:rsidR="00F4509E" w14:paraId="194A178C" w14:textId="77777777">
        <w:tc>
          <w:tcPr>
            <w:tcW w:w="2600" w:type="dxa"/>
            <w:tcMar>
              <w:top w:w="80" w:type="dxa"/>
              <w:left w:w="120" w:type="dxa"/>
              <w:bottom w:w="80" w:type="dxa"/>
              <w:right w:w="120" w:type="dxa"/>
            </w:tcMar>
            <w:vAlign w:val="center"/>
          </w:tcPr>
          <w:p w14:paraId="0D40ED32" w14:textId="77777777" w:rsidR="00F4509E" w:rsidRDefault="00384877">
            <w:r>
              <w:rPr>
                <w:color w:val="000000"/>
                <w:sz w:val="19"/>
                <w:szCs w:val="19"/>
              </w:rPr>
              <w:t>5. Decision support</w:t>
            </w:r>
          </w:p>
        </w:tc>
        <w:tc>
          <w:tcPr>
            <w:tcW w:w="6760" w:type="dxa"/>
            <w:tcMar>
              <w:top w:w="80" w:type="dxa"/>
              <w:left w:w="120" w:type="dxa"/>
              <w:bottom w:w="80" w:type="dxa"/>
              <w:right w:w="120" w:type="dxa"/>
            </w:tcMar>
            <w:vAlign w:val="center"/>
          </w:tcPr>
          <w:p w14:paraId="0ED84134" w14:textId="77777777" w:rsidR="00F4509E" w:rsidRDefault="00384877">
            <w:pPr>
              <w:jc w:val="center"/>
            </w:pPr>
            <w:r>
              <w:rPr>
                <w:color w:val="000000"/>
                <w:sz w:val="19"/>
                <w:szCs w:val="19"/>
              </w:rPr>
              <w:t>An interactive dashboard delivering insights and recommendations.</w:t>
            </w:r>
          </w:p>
        </w:tc>
      </w:tr>
    </w:tbl>
    <w:p w14:paraId="4A761D6A" w14:textId="77777777" w:rsidR="00F4509E" w:rsidRDefault="00384877">
      <w:pPr>
        <w:spacing w:before="80" w:after="260"/>
        <w:jc w:val="center"/>
      </w:pPr>
      <w:r>
        <w:rPr>
          <w:i/>
          <w:iCs/>
          <w:color w:val="595959"/>
          <w:sz w:val="18"/>
          <w:szCs w:val="18"/>
        </w:rPr>
        <w:t>Table 1. The five-stage analytical pipeline used in the project.</w:t>
      </w:r>
    </w:p>
    <w:p w14:paraId="30535742" w14:textId="77777777" w:rsidR="00F4509E" w:rsidRDefault="00384877">
      <w:pPr>
        <w:spacing w:after="200" w:line="300" w:lineRule="auto"/>
        <w:jc w:val="both"/>
      </w:pPr>
      <w:r>
        <w:t>Every figure that follows in this report can be traced back to that pipeline. Where a number is a five-year cumulative total rather than a single-year snapshot, this is noted, since the two are not always directly comparable.</w:t>
      </w:r>
    </w:p>
    <w:p w14:paraId="08473A19" w14:textId="77777777" w:rsidR="00F4509E" w:rsidRDefault="00384877">
      <w:pPr>
        <w:pStyle w:val="Heading1"/>
      </w:pPr>
      <w:r>
        <w:lastRenderedPageBreak/>
        <w:t>3. Workforce Structure and Employee Status</w:t>
      </w:r>
    </w:p>
    <w:p w14:paraId="2F8C909F" w14:textId="77777777" w:rsidR="00F4509E" w:rsidRDefault="00384877">
      <w:pPr>
        <w:spacing w:after="200" w:line="300" w:lineRule="auto"/>
        <w:jc w:val="both"/>
      </w:pPr>
      <w:r>
        <w:t>On headcount alone, the picture looks healthy: 30,000 employees split fairly evenly across eight departments, none of them holding more than about 3,820 or fewer than about 3,700 people. That balance is a reasonable planning baseline. What it hides is a workforce that, on paper, is only ever a third present.</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360"/>
        <w:gridCol w:w="2500"/>
        <w:gridCol w:w="2500"/>
      </w:tblGrid>
      <w:tr w:rsidR="00F4509E" w14:paraId="67E982ED" w14:textId="77777777">
        <w:trPr>
          <w:tblHeader/>
        </w:trPr>
        <w:tc>
          <w:tcPr>
            <w:tcW w:w="4360" w:type="dxa"/>
            <w:shd w:val="clear" w:color="auto" w:fill="1F2C73"/>
            <w:tcMar>
              <w:top w:w="80" w:type="dxa"/>
              <w:left w:w="120" w:type="dxa"/>
              <w:bottom w:w="80" w:type="dxa"/>
              <w:right w:w="120" w:type="dxa"/>
            </w:tcMar>
            <w:vAlign w:val="center"/>
          </w:tcPr>
          <w:p w14:paraId="3E94FECD" w14:textId="77777777" w:rsidR="00F4509E" w:rsidRDefault="00384877">
            <w:pPr>
              <w:jc w:val="center"/>
            </w:pPr>
            <w:r>
              <w:rPr>
                <w:b/>
                <w:bCs/>
                <w:color w:val="FFFFFF"/>
                <w:sz w:val="19"/>
                <w:szCs w:val="19"/>
              </w:rPr>
              <w:t>Employment status</w:t>
            </w:r>
          </w:p>
        </w:tc>
        <w:tc>
          <w:tcPr>
            <w:tcW w:w="2500" w:type="dxa"/>
            <w:shd w:val="clear" w:color="auto" w:fill="1F2C73"/>
            <w:tcMar>
              <w:top w:w="80" w:type="dxa"/>
              <w:left w:w="120" w:type="dxa"/>
              <w:bottom w:w="80" w:type="dxa"/>
              <w:right w:w="120" w:type="dxa"/>
            </w:tcMar>
            <w:vAlign w:val="center"/>
          </w:tcPr>
          <w:p w14:paraId="74FFCC8C" w14:textId="77777777" w:rsidR="00F4509E" w:rsidRDefault="00384877">
            <w:pPr>
              <w:jc w:val="center"/>
            </w:pPr>
            <w:r>
              <w:rPr>
                <w:b/>
                <w:bCs/>
                <w:color w:val="FFFFFF"/>
                <w:sz w:val="19"/>
                <w:szCs w:val="19"/>
              </w:rPr>
              <w:t>Employees</w:t>
            </w:r>
          </w:p>
        </w:tc>
        <w:tc>
          <w:tcPr>
            <w:tcW w:w="2500" w:type="dxa"/>
            <w:shd w:val="clear" w:color="auto" w:fill="1F2C73"/>
            <w:tcMar>
              <w:top w:w="80" w:type="dxa"/>
              <w:left w:w="120" w:type="dxa"/>
              <w:bottom w:w="80" w:type="dxa"/>
              <w:right w:w="120" w:type="dxa"/>
            </w:tcMar>
            <w:vAlign w:val="center"/>
          </w:tcPr>
          <w:p w14:paraId="1456FB0B" w14:textId="77777777" w:rsidR="00F4509E" w:rsidRDefault="00384877">
            <w:pPr>
              <w:jc w:val="center"/>
            </w:pPr>
            <w:r>
              <w:rPr>
                <w:b/>
                <w:bCs/>
                <w:color w:val="FFFFFF"/>
                <w:sz w:val="19"/>
                <w:szCs w:val="19"/>
              </w:rPr>
              <w:t>Share of workforce</w:t>
            </w:r>
          </w:p>
        </w:tc>
      </w:tr>
      <w:tr w:rsidR="00F4509E" w14:paraId="2507272E" w14:textId="77777777">
        <w:tc>
          <w:tcPr>
            <w:tcW w:w="4360" w:type="dxa"/>
            <w:tcMar>
              <w:top w:w="80" w:type="dxa"/>
              <w:left w:w="120" w:type="dxa"/>
              <w:bottom w:w="80" w:type="dxa"/>
              <w:right w:w="120" w:type="dxa"/>
            </w:tcMar>
            <w:vAlign w:val="center"/>
          </w:tcPr>
          <w:p w14:paraId="0450A534" w14:textId="77777777" w:rsidR="00F4509E" w:rsidRDefault="00384877">
            <w:r>
              <w:rPr>
                <w:color w:val="000000"/>
                <w:sz w:val="19"/>
                <w:szCs w:val="19"/>
              </w:rPr>
              <w:t>Active</w:t>
            </w:r>
          </w:p>
        </w:tc>
        <w:tc>
          <w:tcPr>
            <w:tcW w:w="2500" w:type="dxa"/>
            <w:tcMar>
              <w:top w:w="80" w:type="dxa"/>
              <w:left w:w="120" w:type="dxa"/>
              <w:bottom w:w="80" w:type="dxa"/>
              <w:right w:w="120" w:type="dxa"/>
            </w:tcMar>
            <w:vAlign w:val="center"/>
          </w:tcPr>
          <w:p w14:paraId="24DE6CF8" w14:textId="77777777" w:rsidR="00F4509E" w:rsidRDefault="00384877">
            <w:pPr>
              <w:jc w:val="center"/>
            </w:pPr>
            <w:r>
              <w:rPr>
                <w:color w:val="000000"/>
                <w:sz w:val="19"/>
                <w:szCs w:val="19"/>
              </w:rPr>
              <w:t>10,078</w:t>
            </w:r>
          </w:p>
        </w:tc>
        <w:tc>
          <w:tcPr>
            <w:tcW w:w="2500" w:type="dxa"/>
            <w:tcMar>
              <w:top w:w="80" w:type="dxa"/>
              <w:left w:w="120" w:type="dxa"/>
              <w:bottom w:w="80" w:type="dxa"/>
              <w:right w:w="120" w:type="dxa"/>
            </w:tcMar>
            <w:vAlign w:val="center"/>
          </w:tcPr>
          <w:p w14:paraId="04073EF6" w14:textId="77777777" w:rsidR="00F4509E" w:rsidRDefault="00384877">
            <w:pPr>
              <w:jc w:val="center"/>
            </w:pPr>
            <w:r>
              <w:rPr>
                <w:color w:val="000000"/>
                <w:sz w:val="19"/>
                <w:szCs w:val="19"/>
              </w:rPr>
              <w:t>33.6%</w:t>
            </w:r>
          </w:p>
        </w:tc>
      </w:tr>
      <w:tr w:rsidR="00F4509E" w14:paraId="6146437B" w14:textId="77777777">
        <w:tc>
          <w:tcPr>
            <w:tcW w:w="4360" w:type="dxa"/>
            <w:shd w:val="clear" w:color="auto" w:fill="F2F4FB"/>
            <w:tcMar>
              <w:top w:w="80" w:type="dxa"/>
              <w:left w:w="120" w:type="dxa"/>
              <w:bottom w:w="80" w:type="dxa"/>
              <w:right w:w="120" w:type="dxa"/>
            </w:tcMar>
            <w:vAlign w:val="center"/>
          </w:tcPr>
          <w:p w14:paraId="1E76D1F3" w14:textId="77777777" w:rsidR="00F4509E" w:rsidRDefault="00384877">
            <w:r>
              <w:rPr>
                <w:color w:val="000000"/>
                <w:sz w:val="19"/>
                <w:szCs w:val="19"/>
              </w:rPr>
              <w:t>On leave</w:t>
            </w:r>
          </w:p>
        </w:tc>
        <w:tc>
          <w:tcPr>
            <w:tcW w:w="2500" w:type="dxa"/>
            <w:shd w:val="clear" w:color="auto" w:fill="F2F4FB"/>
            <w:tcMar>
              <w:top w:w="80" w:type="dxa"/>
              <w:left w:w="120" w:type="dxa"/>
              <w:bottom w:w="80" w:type="dxa"/>
              <w:right w:w="120" w:type="dxa"/>
            </w:tcMar>
            <w:vAlign w:val="center"/>
          </w:tcPr>
          <w:p w14:paraId="4F6120A2" w14:textId="77777777" w:rsidR="00F4509E" w:rsidRDefault="00384877">
            <w:pPr>
              <w:jc w:val="center"/>
            </w:pPr>
            <w:r>
              <w:rPr>
                <w:color w:val="000000"/>
                <w:sz w:val="19"/>
                <w:szCs w:val="19"/>
              </w:rPr>
              <w:t>10,057</w:t>
            </w:r>
          </w:p>
        </w:tc>
        <w:tc>
          <w:tcPr>
            <w:tcW w:w="2500" w:type="dxa"/>
            <w:shd w:val="clear" w:color="auto" w:fill="F2F4FB"/>
            <w:tcMar>
              <w:top w:w="80" w:type="dxa"/>
              <w:left w:w="120" w:type="dxa"/>
              <w:bottom w:w="80" w:type="dxa"/>
              <w:right w:w="120" w:type="dxa"/>
            </w:tcMar>
            <w:vAlign w:val="center"/>
          </w:tcPr>
          <w:p w14:paraId="5C2DBA05" w14:textId="77777777" w:rsidR="00F4509E" w:rsidRDefault="00384877">
            <w:pPr>
              <w:jc w:val="center"/>
            </w:pPr>
            <w:r>
              <w:rPr>
                <w:color w:val="000000"/>
                <w:sz w:val="19"/>
                <w:szCs w:val="19"/>
              </w:rPr>
              <w:t>33.5%</w:t>
            </w:r>
          </w:p>
        </w:tc>
      </w:tr>
      <w:tr w:rsidR="00F4509E" w14:paraId="0AFA1233" w14:textId="77777777">
        <w:tc>
          <w:tcPr>
            <w:tcW w:w="4360" w:type="dxa"/>
            <w:tcMar>
              <w:top w:w="80" w:type="dxa"/>
              <w:left w:w="120" w:type="dxa"/>
              <w:bottom w:w="80" w:type="dxa"/>
              <w:right w:w="120" w:type="dxa"/>
            </w:tcMar>
            <w:vAlign w:val="center"/>
          </w:tcPr>
          <w:p w14:paraId="5F97B493" w14:textId="77777777" w:rsidR="00F4509E" w:rsidRDefault="00384877">
            <w:r>
              <w:rPr>
                <w:color w:val="000000"/>
                <w:sz w:val="19"/>
                <w:szCs w:val="19"/>
              </w:rPr>
              <w:t>Inactive</w:t>
            </w:r>
          </w:p>
        </w:tc>
        <w:tc>
          <w:tcPr>
            <w:tcW w:w="2500" w:type="dxa"/>
            <w:tcMar>
              <w:top w:w="80" w:type="dxa"/>
              <w:left w:w="120" w:type="dxa"/>
              <w:bottom w:w="80" w:type="dxa"/>
              <w:right w:w="120" w:type="dxa"/>
            </w:tcMar>
            <w:vAlign w:val="center"/>
          </w:tcPr>
          <w:p w14:paraId="59F76502" w14:textId="77777777" w:rsidR="00F4509E" w:rsidRDefault="00384877">
            <w:pPr>
              <w:jc w:val="center"/>
            </w:pPr>
            <w:r>
              <w:rPr>
                <w:color w:val="000000"/>
                <w:sz w:val="19"/>
                <w:szCs w:val="19"/>
              </w:rPr>
              <w:t>9,862</w:t>
            </w:r>
          </w:p>
        </w:tc>
        <w:tc>
          <w:tcPr>
            <w:tcW w:w="2500" w:type="dxa"/>
            <w:tcMar>
              <w:top w:w="80" w:type="dxa"/>
              <w:left w:w="120" w:type="dxa"/>
              <w:bottom w:w="80" w:type="dxa"/>
              <w:right w:w="120" w:type="dxa"/>
            </w:tcMar>
            <w:vAlign w:val="center"/>
          </w:tcPr>
          <w:p w14:paraId="02EAF65D" w14:textId="77777777" w:rsidR="00F4509E" w:rsidRDefault="00384877">
            <w:pPr>
              <w:jc w:val="center"/>
            </w:pPr>
            <w:r>
              <w:rPr>
                <w:color w:val="000000"/>
                <w:sz w:val="19"/>
                <w:szCs w:val="19"/>
              </w:rPr>
              <w:t>32.9%</w:t>
            </w:r>
          </w:p>
        </w:tc>
      </w:tr>
      <w:tr w:rsidR="00F4509E" w14:paraId="49768809" w14:textId="77777777">
        <w:tc>
          <w:tcPr>
            <w:tcW w:w="4360" w:type="dxa"/>
            <w:shd w:val="clear" w:color="auto" w:fill="F2F4FB"/>
            <w:tcMar>
              <w:top w:w="80" w:type="dxa"/>
              <w:left w:w="120" w:type="dxa"/>
              <w:bottom w:w="80" w:type="dxa"/>
              <w:right w:w="120" w:type="dxa"/>
            </w:tcMar>
            <w:vAlign w:val="center"/>
          </w:tcPr>
          <w:p w14:paraId="3698DBCA" w14:textId="77777777" w:rsidR="00F4509E" w:rsidRDefault="00384877">
            <w:r>
              <w:rPr>
                <w:color w:val="000000"/>
                <w:sz w:val="19"/>
                <w:szCs w:val="19"/>
              </w:rPr>
              <w:t>Total</w:t>
            </w:r>
          </w:p>
        </w:tc>
        <w:tc>
          <w:tcPr>
            <w:tcW w:w="2500" w:type="dxa"/>
            <w:shd w:val="clear" w:color="auto" w:fill="F2F4FB"/>
            <w:tcMar>
              <w:top w:w="80" w:type="dxa"/>
              <w:left w:w="120" w:type="dxa"/>
              <w:bottom w:w="80" w:type="dxa"/>
              <w:right w:w="120" w:type="dxa"/>
            </w:tcMar>
            <w:vAlign w:val="center"/>
          </w:tcPr>
          <w:p w14:paraId="213493C4" w14:textId="77777777" w:rsidR="00F4509E" w:rsidRDefault="00384877">
            <w:pPr>
              <w:jc w:val="center"/>
            </w:pPr>
            <w:r>
              <w:rPr>
                <w:color w:val="000000"/>
                <w:sz w:val="19"/>
                <w:szCs w:val="19"/>
              </w:rPr>
              <w:t>30,000</w:t>
            </w:r>
          </w:p>
        </w:tc>
        <w:tc>
          <w:tcPr>
            <w:tcW w:w="2500" w:type="dxa"/>
            <w:shd w:val="clear" w:color="auto" w:fill="F2F4FB"/>
            <w:tcMar>
              <w:top w:w="80" w:type="dxa"/>
              <w:left w:w="120" w:type="dxa"/>
              <w:bottom w:w="80" w:type="dxa"/>
              <w:right w:w="120" w:type="dxa"/>
            </w:tcMar>
            <w:vAlign w:val="center"/>
          </w:tcPr>
          <w:p w14:paraId="79158404" w14:textId="77777777" w:rsidR="00F4509E" w:rsidRDefault="00384877">
            <w:pPr>
              <w:jc w:val="center"/>
            </w:pPr>
            <w:r>
              <w:rPr>
                <w:color w:val="000000"/>
                <w:sz w:val="19"/>
                <w:szCs w:val="19"/>
              </w:rPr>
              <w:t>100%</w:t>
            </w:r>
          </w:p>
        </w:tc>
      </w:tr>
    </w:tbl>
    <w:p w14:paraId="634DA167" w14:textId="77777777" w:rsidR="00F4509E" w:rsidRDefault="00384877">
      <w:pPr>
        <w:spacing w:before="80" w:after="260"/>
        <w:jc w:val="center"/>
      </w:pPr>
      <w:r>
        <w:rPr>
          <w:i/>
          <w:iCs/>
          <w:color w:val="595959"/>
          <w:sz w:val="18"/>
          <w:szCs w:val="18"/>
        </w:rPr>
        <w:t>Table 2. Employment status distribution, Ghana Hub workforce.</w:t>
      </w:r>
    </w:p>
    <w:p w14:paraId="3435C7FB" w14:textId="77777777" w:rsidR="00F4509E" w:rsidRDefault="00384877">
      <w:pPr>
        <w:spacing w:after="200" w:line="300" w:lineRule="auto"/>
        <w:jc w:val="both"/>
      </w:pPr>
      <w:r>
        <w:t>Active, on-leave, and inactive employees each account for almost exactly a third of the total. That kind of even three-way split rarely happens by chance in a normal leave cycle — it looks more like a definitional or reporting artefact than a true operational picture, and it is the first thing the analysis flags for management to chase down. Until it is resolved, any staffing plan built on the 30,000headcount figure is really being built on an effective base closer to 10,000.</w:t>
      </w:r>
    </w:p>
    <w:p w14:paraId="0E45C0AD" w14:textId="77777777" w:rsidR="00F4509E" w:rsidRDefault="00384877">
      <w:pPr>
        <w:spacing w:after="200" w:line="300" w:lineRule="auto"/>
        <w:jc w:val="both"/>
      </w:pPr>
      <w:r>
        <w:t>The dataset also breaks the workforce down by age group and job position. Group 12's read of that breakdown was less about a single alarming number and more about an opportunity: knowing where age cohorts and role levels are thin makes it possible to plan succession and hiring pipelines ahead of need rather than in response to a gap that has already opened up.</w:t>
      </w:r>
    </w:p>
    <w:p w14:paraId="24FD742E" w14:textId="77777777" w:rsidR="00F4509E" w:rsidRDefault="00384877">
      <w:pPr>
        <w:spacing w:after="200" w:line="300" w:lineRule="auto"/>
        <w:jc w:val="both"/>
      </w:pPr>
      <w:r>
        <w:t>Two actions follow. First, validate whether the active/on-leave/inactive split genuinely reflects current workforce availability, since a two-thirds non-active share has real consequences for capacity planning if it is left unexamined. Second, move planning beyond raw headcount to whether employees are actually positioned against departmental workload, skill, and productivity.</w:t>
      </w:r>
    </w:p>
    <w:p w14:paraId="2A5EDF8E" w14:textId="77777777" w:rsidR="00F4509E" w:rsidRDefault="00384877">
      <w:pPr>
        <w:pStyle w:val="Heading1"/>
      </w:pPr>
      <w:r>
        <w:t>4. Education and Talent Placement</w:t>
      </w:r>
    </w:p>
    <w:p w14:paraId="14B31212" w14:textId="77777777" w:rsidR="00F4509E" w:rsidRDefault="00384877">
      <w:pPr>
        <w:spacing w:after="200" w:line="300" w:lineRule="auto"/>
        <w:jc w:val="both"/>
      </w:pPr>
      <w:r>
        <w:t>Formal education turns out to explain very little about how well someone performs. Average performance scores by highest qualification are as follows:</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360"/>
        <w:gridCol w:w="4000"/>
      </w:tblGrid>
      <w:tr w:rsidR="00F4509E" w14:paraId="2BF0580E" w14:textId="77777777">
        <w:trPr>
          <w:tblHeader/>
        </w:trPr>
        <w:tc>
          <w:tcPr>
            <w:tcW w:w="5360" w:type="dxa"/>
            <w:shd w:val="clear" w:color="auto" w:fill="1F2C73"/>
            <w:tcMar>
              <w:top w:w="80" w:type="dxa"/>
              <w:left w:w="120" w:type="dxa"/>
              <w:bottom w:w="80" w:type="dxa"/>
              <w:right w:w="120" w:type="dxa"/>
            </w:tcMar>
            <w:vAlign w:val="center"/>
          </w:tcPr>
          <w:p w14:paraId="34C8FAF5" w14:textId="77777777" w:rsidR="00F4509E" w:rsidRDefault="00384877">
            <w:pPr>
              <w:jc w:val="center"/>
            </w:pPr>
            <w:r>
              <w:rPr>
                <w:b/>
                <w:bCs/>
                <w:color w:val="FFFFFF"/>
                <w:sz w:val="19"/>
                <w:szCs w:val="19"/>
              </w:rPr>
              <w:t>Education level</w:t>
            </w:r>
          </w:p>
        </w:tc>
        <w:tc>
          <w:tcPr>
            <w:tcW w:w="4000" w:type="dxa"/>
            <w:shd w:val="clear" w:color="auto" w:fill="1F2C73"/>
            <w:tcMar>
              <w:top w:w="80" w:type="dxa"/>
              <w:left w:w="120" w:type="dxa"/>
              <w:bottom w:w="80" w:type="dxa"/>
              <w:right w:w="120" w:type="dxa"/>
            </w:tcMar>
            <w:vAlign w:val="center"/>
          </w:tcPr>
          <w:p w14:paraId="1D50483F" w14:textId="77777777" w:rsidR="00F4509E" w:rsidRDefault="00384877">
            <w:pPr>
              <w:jc w:val="center"/>
            </w:pPr>
            <w:r>
              <w:rPr>
                <w:b/>
                <w:bCs/>
                <w:color w:val="FFFFFF"/>
                <w:sz w:val="19"/>
                <w:szCs w:val="19"/>
              </w:rPr>
              <w:t>Average performance score</w:t>
            </w:r>
          </w:p>
        </w:tc>
      </w:tr>
      <w:tr w:rsidR="00F4509E" w14:paraId="3CAF410C" w14:textId="77777777">
        <w:tc>
          <w:tcPr>
            <w:tcW w:w="5360" w:type="dxa"/>
            <w:tcMar>
              <w:top w:w="80" w:type="dxa"/>
              <w:left w:w="120" w:type="dxa"/>
              <w:bottom w:w="80" w:type="dxa"/>
              <w:right w:w="120" w:type="dxa"/>
            </w:tcMar>
            <w:vAlign w:val="center"/>
          </w:tcPr>
          <w:p w14:paraId="3E6EC948" w14:textId="77777777" w:rsidR="00F4509E" w:rsidRDefault="00384877">
            <w:r>
              <w:rPr>
                <w:color w:val="000000"/>
                <w:sz w:val="19"/>
                <w:szCs w:val="19"/>
              </w:rPr>
              <w:t>Doctoral degree</w:t>
            </w:r>
          </w:p>
        </w:tc>
        <w:tc>
          <w:tcPr>
            <w:tcW w:w="4000" w:type="dxa"/>
            <w:tcMar>
              <w:top w:w="80" w:type="dxa"/>
              <w:left w:w="120" w:type="dxa"/>
              <w:bottom w:w="80" w:type="dxa"/>
              <w:right w:w="120" w:type="dxa"/>
            </w:tcMar>
            <w:vAlign w:val="center"/>
          </w:tcPr>
          <w:p w14:paraId="3B2CB1D6" w14:textId="77777777" w:rsidR="00F4509E" w:rsidRDefault="00384877">
            <w:pPr>
              <w:jc w:val="center"/>
            </w:pPr>
            <w:r>
              <w:rPr>
                <w:color w:val="000000"/>
                <w:sz w:val="19"/>
                <w:szCs w:val="19"/>
              </w:rPr>
              <w:t>3.611</w:t>
            </w:r>
          </w:p>
        </w:tc>
      </w:tr>
      <w:tr w:rsidR="00F4509E" w14:paraId="7D4C256B" w14:textId="77777777">
        <w:tc>
          <w:tcPr>
            <w:tcW w:w="5360" w:type="dxa"/>
            <w:shd w:val="clear" w:color="auto" w:fill="F2F4FB"/>
            <w:tcMar>
              <w:top w:w="80" w:type="dxa"/>
              <w:left w:w="120" w:type="dxa"/>
              <w:bottom w:w="80" w:type="dxa"/>
              <w:right w:w="120" w:type="dxa"/>
            </w:tcMar>
            <w:vAlign w:val="center"/>
          </w:tcPr>
          <w:p w14:paraId="2A5F4F30" w14:textId="77777777" w:rsidR="00F4509E" w:rsidRDefault="00384877">
            <w:r>
              <w:rPr>
                <w:color w:val="000000"/>
                <w:sz w:val="19"/>
                <w:szCs w:val="19"/>
              </w:rPr>
              <w:t>Bachelor's degree</w:t>
            </w:r>
          </w:p>
        </w:tc>
        <w:tc>
          <w:tcPr>
            <w:tcW w:w="4000" w:type="dxa"/>
            <w:shd w:val="clear" w:color="auto" w:fill="F2F4FB"/>
            <w:tcMar>
              <w:top w:w="80" w:type="dxa"/>
              <w:left w:w="120" w:type="dxa"/>
              <w:bottom w:w="80" w:type="dxa"/>
              <w:right w:w="120" w:type="dxa"/>
            </w:tcMar>
            <w:vAlign w:val="center"/>
          </w:tcPr>
          <w:p w14:paraId="256DB882" w14:textId="77777777" w:rsidR="00F4509E" w:rsidRDefault="00384877">
            <w:pPr>
              <w:jc w:val="center"/>
            </w:pPr>
            <w:r>
              <w:rPr>
                <w:color w:val="000000"/>
                <w:sz w:val="19"/>
                <w:szCs w:val="19"/>
              </w:rPr>
              <w:t>3.599</w:t>
            </w:r>
          </w:p>
        </w:tc>
      </w:tr>
      <w:tr w:rsidR="00F4509E" w14:paraId="6C7A7053" w14:textId="77777777">
        <w:tc>
          <w:tcPr>
            <w:tcW w:w="5360" w:type="dxa"/>
            <w:tcMar>
              <w:top w:w="80" w:type="dxa"/>
              <w:left w:w="120" w:type="dxa"/>
              <w:bottom w:w="80" w:type="dxa"/>
              <w:right w:w="120" w:type="dxa"/>
            </w:tcMar>
            <w:vAlign w:val="center"/>
          </w:tcPr>
          <w:p w14:paraId="6D448409" w14:textId="77777777" w:rsidR="00F4509E" w:rsidRDefault="00384877">
            <w:r>
              <w:rPr>
                <w:color w:val="000000"/>
                <w:sz w:val="19"/>
                <w:szCs w:val="19"/>
              </w:rPr>
              <w:t>Master's degree</w:t>
            </w:r>
          </w:p>
        </w:tc>
        <w:tc>
          <w:tcPr>
            <w:tcW w:w="4000" w:type="dxa"/>
            <w:tcMar>
              <w:top w:w="80" w:type="dxa"/>
              <w:left w:w="120" w:type="dxa"/>
              <w:bottom w:w="80" w:type="dxa"/>
              <w:right w:w="120" w:type="dxa"/>
            </w:tcMar>
            <w:vAlign w:val="center"/>
          </w:tcPr>
          <w:p w14:paraId="788A4B5F" w14:textId="77777777" w:rsidR="00F4509E" w:rsidRDefault="00384877">
            <w:pPr>
              <w:jc w:val="center"/>
            </w:pPr>
            <w:r>
              <w:rPr>
                <w:color w:val="000000"/>
                <w:sz w:val="19"/>
                <w:szCs w:val="19"/>
              </w:rPr>
              <w:t>3.596</w:t>
            </w:r>
          </w:p>
        </w:tc>
      </w:tr>
      <w:tr w:rsidR="00F4509E" w14:paraId="2A07491E" w14:textId="77777777">
        <w:tc>
          <w:tcPr>
            <w:tcW w:w="5360" w:type="dxa"/>
            <w:shd w:val="clear" w:color="auto" w:fill="F2F4FB"/>
            <w:tcMar>
              <w:top w:w="80" w:type="dxa"/>
              <w:left w:w="120" w:type="dxa"/>
              <w:bottom w:w="80" w:type="dxa"/>
              <w:right w:w="120" w:type="dxa"/>
            </w:tcMar>
            <w:vAlign w:val="center"/>
          </w:tcPr>
          <w:p w14:paraId="303400E3" w14:textId="77777777" w:rsidR="00F4509E" w:rsidRDefault="00384877">
            <w:r>
              <w:rPr>
                <w:color w:val="000000"/>
                <w:sz w:val="19"/>
                <w:szCs w:val="19"/>
              </w:rPr>
              <w:lastRenderedPageBreak/>
              <w:t>Diploma</w:t>
            </w:r>
          </w:p>
        </w:tc>
        <w:tc>
          <w:tcPr>
            <w:tcW w:w="4000" w:type="dxa"/>
            <w:shd w:val="clear" w:color="auto" w:fill="F2F4FB"/>
            <w:tcMar>
              <w:top w:w="80" w:type="dxa"/>
              <w:left w:w="120" w:type="dxa"/>
              <w:bottom w:w="80" w:type="dxa"/>
              <w:right w:w="120" w:type="dxa"/>
            </w:tcMar>
            <w:vAlign w:val="center"/>
          </w:tcPr>
          <w:p w14:paraId="5612CB1F" w14:textId="77777777" w:rsidR="00F4509E" w:rsidRDefault="00384877">
            <w:pPr>
              <w:jc w:val="center"/>
            </w:pPr>
            <w:r>
              <w:rPr>
                <w:color w:val="000000"/>
                <w:sz w:val="19"/>
                <w:szCs w:val="19"/>
              </w:rPr>
              <w:t>3.582</w:t>
            </w:r>
          </w:p>
        </w:tc>
      </w:tr>
    </w:tbl>
    <w:p w14:paraId="748CCA1A" w14:textId="77777777" w:rsidR="00F4509E" w:rsidRDefault="00384877">
      <w:pPr>
        <w:spacing w:before="80" w:after="260"/>
        <w:jc w:val="center"/>
      </w:pPr>
      <w:r>
        <w:rPr>
          <w:i/>
          <w:iCs/>
          <w:color w:val="595959"/>
          <w:sz w:val="18"/>
          <w:szCs w:val="18"/>
        </w:rPr>
        <w:t>Table 3. Average performance score by education attainment.</w:t>
      </w:r>
    </w:p>
    <w:p w14:paraId="58324F37" w14:textId="77777777" w:rsidR="00F4509E" w:rsidRDefault="00384877">
      <w:pPr>
        <w:spacing w:after="200" w:line="300" w:lineRule="auto"/>
        <w:jc w:val="both"/>
      </w:pPr>
      <w:r>
        <w:t xml:space="preserve">The entire spread across four qualification levels is 0.029 of a point </w:t>
      </w:r>
      <w:r w:rsidR="00FA4350">
        <w:t xml:space="preserve">which is </w:t>
      </w:r>
      <w:r>
        <w:t>practically nothing. Doctoral-degree holders edge out diploma holders, but not by a margin anyone should build a hiring or promotion policy around. Compensation tells the same story: higher qualifications do not translate into meaningfully higher pay.</w:t>
      </w:r>
    </w:p>
    <w:p w14:paraId="1D15CFEB" w14:textId="77777777" w:rsidR="00F4509E" w:rsidRDefault="00384877">
      <w:pPr>
        <w:spacing w:after="200" w:line="300" w:lineRule="auto"/>
        <w:jc w:val="both"/>
      </w:pPr>
      <w:r>
        <w:t>Field-of-study representation also varies by department, and employees with similar academic backgrounds turn up scattered across multiple, unrelated departments rather than concentrated where their training would suggest. Placement, in other words, does not appear to be following education very closely at all.</w:t>
      </w:r>
    </w:p>
    <w:p w14:paraId="68D6232A" w14:textId="77777777" w:rsidR="00F4509E" w:rsidRDefault="00384877">
      <w:pPr>
        <w:spacing w:after="200" w:line="300" w:lineRule="auto"/>
        <w:jc w:val="both"/>
      </w:pPr>
      <w:r>
        <w:t>The recommended action is to strengthen talent placement by matching skills and competencies — not just credentials — to departmental requirements, and to use targeted upskilling where a genuine gap is identified.</w:t>
      </w:r>
    </w:p>
    <w:p w14:paraId="7A0FF652" w14:textId="77777777" w:rsidR="00F4509E" w:rsidRDefault="00384877">
      <w:pPr>
        <w:pStyle w:val="Heading1"/>
      </w:pPr>
      <w:r>
        <w:t>5. Compensation, Performance, and Productivity</w:t>
      </w:r>
    </w:p>
    <w:p w14:paraId="51698F7D" w14:textId="77777777" w:rsidR="00F4509E" w:rsidRDefault="00384877">
      <w:pPr>
        <w:spacing w:after="200" w:line="300" w:lineRule="auto"/>
        <w:jc w:val="both"/>
      </w:pPr>
      <w:r>
        <w:t>Average performance held at 3.60 in every year from 2021 through 2025</w:t>
      </w:r>
      <w:r w:rsidR="00FA4350">
        <w:t xml:space="preserve"> is</w:t>
      </w:r>
      <w:r>
        <w:t xml:space="preserve"> not roughly stable, but identically 3.60, year after year. That kind of flatness over a five-year window, across an organisation this size, is unusual enough that it deserves scrutiny in its own right: either the workforce is being managed with remarkable consistency, or the instrument scoring performance is not sensitive enough to pick up real change when it happens.</w:t>
      </w:r>
    </w:p>
    <w:p w14:paraId="59B2973C" w14:textId="77777777" w:rsidR="00F4509E" w:rsidRDefault="00384877">
      <w:pPr>
        <w:spacing w:after="200" w:line="300" w:lineRule="auto"/>
        <w:jc w:val="both"/>
      </w:pPr>
      <w:r>
        <w:t>Compensation is just as flat. Pay across the entire 30,000-person workforce falls within a band of $10,382 to $10,479</w:t>
      </w:r>
      <w:r w:rsidR="00FA4350">
        <w:t>,</w:t>
      </w:r>
      <w:r>
        <w:t xml:space="preserve"> a spread of $97. Whatever is driving pay at the Ghana Hub, it is evidently not role complexity, tenure, or department, since none of those would produce a range this narrow. On a </w:t>
      </w:r>
      <w:r w:rsidR="00FA4350">
        <w:t>brighter side</w:t>
      </w:r>
      <w:r>
        <w:t>, the gender pay gap across the workforce measures just 0.1 percent, which is a genuinely strong result on pay equity. But bonus allocation does not track performance score at all, so even where the organisation could differentiate reward for stronger output, it currently doesn't.</w:t>
      </w:r>
    </w:p>
    <w:p w14:paraId="3360B70F" w14:textId="77777777" w:rsidR="00F4509E" w:rsidRDefault="00384877">
      <w:pPr>
        <w:spacing w:after="200" w:line="300" w:lineRule="auto"/>
        <w:jc w:val="both"/>
      </w:pPr>
      <w:r>
        <w:t>The training-hours scatter plot referenced in the original presentation lines up with a harder number</w:t>
      </w:r>
      <w:r w:rsidR="00FA4350">
        <w:t xml:space="preserve"> which is </w:t>
      </w:r>
      <w:r>
        <w:t xml:space="preserve">the correlation between training hours logged and performance score </w:t>
      </w:r>
      <w:r w:rsidR="00FA4350">
        <w:t>of</w:t>
      </w:r>
      <w:r>
        <w:t xml:space="preserve"> 0.002. Attendance fares no better, at -0.001, and neither does the number of projects completed, at -0.004. All three sit close enough to zero that none of them can be said to predict performance in any practical sense.</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200"/>
        <w:gridCol w:w="3200"/>
        <w:gridCol w:w="2960"/>
      </w:tblGrid>
      <w:tr w:rsidR="00F4509E" w14:paraId="6F175D9D" w14:textId="77777777">
        <w:trPr>
          <w:tblHeader/>
        </w:trPr>
        <w:tc>
          <w:tcPr>
            <w:tcW w:w="3200" w:type="dxa"/>
            <w:shd w:val="clear" w:color="auto" w:fill="1F2C73"/>
            <w:tcMar>
              <w:top w:w="80" w:type="dxa"/>
              <w:left w:w="120" w:type="dxa"/>
              <w:bottom w:w="80" w:type="dxa"/>
              <w:right w:w="120" w:type="dxa"/>
            </w:tcMar>
            <w:vAlign w:val="center"/>
          </w:tcPr>
          <w:p w14:paraId="205B8142" w14:textId="77777777" w:rsidR="00F4509E" w:rsidRDefault="00384877">
            <w:pPr>
              <w:jc w:val="center"/>
            </w:pPr>
            <w:r>
              <w:rPr>
                <w:b/>
                <w:bCs/>
                <w:color w:val="FFFFFF"/>
                <w:sz w:val="19"/>
                <w:szCs w:val="19"/>
              </w:rPr>
              <w:t>Input variable</w:t>
            </w:r>
          </w:p>
        </w:tc>
        <w:tc>
          <w:tcPr>
            <w:tcW w:w="3200" w:type="dxa"/>
            <w:shd w:val="clear" w:color="auto" w:fill="1F2C73"/>
            <w:tcMar>
              <w:top w:w="80" w:type="dxa"/>
              <w:left w:w="120" w:type="dxa"/>
              <w:bottom w:w="80" w:type="dxa"/>
              <w:right w:w="120" w:type="dxa"/>
            </w:tcMar>
            <w:vAlign w:val="center"/>
          </w:tcPr>
          <w:p w14:paraId="717A8D67" w14:textId="77777777" w:rsidR="00F4509E" w:rsidRDefault="00384877">
            <w:pPr>
              <w:jc w:val="center"/>
            </w:pPr>
            <w:r>
              <w:rPr>
                <w:b/>
                <w:bCs/>
                <w:color w:val="FFFFFF"/>
                <w:sz w:val="19"/>
                <w:szCs w:val="19"/>
              </w:rPr>
              <w:t>Correlation with performance score</w:t>
            </w:r>
          </w:p>
        </w:tc>
        <w:tc>
          <w:tcPr>
            <w:tcW w:w="2960" w:type="dxa"/>
            <w:shd w:val="clear" w:color="auto" w:fill="1F2C73"/>
            <w:tcMar>
              <w:top w:w="80" w:type="dxa"/>
              <w:left w:w="120" w:type="dxa"/>
              <w:bottom w:w="80" w:type="dxa"/>
              <w:right w:w="120" w:type="dxa"/>
            </w:tcMar>
            <w:vAlign w:val="center"/>
          </w:tcPr>
          <w:p w14:paraId="058F8CC0" w14:textId="77777777" w:rsidR="00F4509E" w:rsidRDefault="00384877">
            <w:pPr>
              <w:jc w:val="center"/>
            </w:pPr>
            <w:r>
              <w:rPr>
                <w:b/>
                <w:bCs/>
                <w:color w:val="FFFFFF"/>
                <w:sz w:val="19"/>
                <w:szCs w:val="19"/>
              </w:rPr>
              <w:t>Reading</w:t>
            </w:r>
          </w:p>
        </w:tc>
      </w:tr>
      <w:tr w:rsidR="00F4509E" w14:paraId="2CD92608" w14:textId="77777777">
        <w:tc>
          <w:tcPr>
            <w:tcW w:w="3200" w:type="dxa"/>
            <w:tcMar>
              <w:top w:w="80" w:type="dxa"/>
              <w:left w:w="120" w:type="dxa"/>
              <w:bottom w:w="80" w:type="dxa"/>
              <w:right w:w="120" w:type="dxa"/>
            </w:tcMar>
            <w:vAlign w:val="center"/>
          </w:tcPr>
          <w:p w14:paraId="6E6F5541" w14:textId="77777777" w:rsidR="00F4509E" w:rsidRDefault="00384877">
            <w:r>
              <w:rPr>
                <w:color w:val="000000"/>
                <w:sz w:val="19"/>
                <w:szCs w:val="19"/>
              </w:rPr>
              <w:t>Training hours</w:t>
            </w:r>
          </w:p>
        </w:tc>
        <w:tc>
          <w:tcPr>
            <w:tcW w:w="3200" w:type="dxa"/>
            <w:tcMar>
              <w:top w:w="80" w:type="dxa"/>
              <w:left w:w="120" w:type="dxa"/>
              <w:bottom w:w="80" w:type="dxa"/>
              <w:right w:w="120" w:type="dxa"/>
            </w:tcMar>
            <w:vAlign w:val="center"/>
          </w:tcPr>
          <w:p w14:paraId="40269D51" w14:textId="77777777" w:rsidR="00F4509E" w:rsidRDefault="00384877">
            <w:pPr>
              <w:jc w:val="center"/>
            </w:pPr>
            <w:r>
              <w:rPr>
                <w:color w:val="000000"/>
                <w:sz w:val="19"/>
                <w:szCs w:val="19"/>
              </w:rPr>
              <w:t>r = 0.002</w:t>
            </w:r>
          </w:p>
        </w:tc>
        <w:tc>
          <w:tcPr>
            <w:tcW w:w="2960" w:type="dxa"/>
            <w:tcMar>
              <w:top w:w="80" w:type="dxa"/>
              <w:left w:w="120" w:type="dxa"/>
              <w:bottom w:w="80" w:type="dxa"/>
              <w:right w:w="120" w:type="dxa"/>
            </w:tcMar>
            <w:vAlign w:val="center"/>
          </w:tcPr>
          <w:p w14:paraId="246E0C43" w14:textId="77777777" w:rsidR="00F4509E" w:rsidRDefault="00384877">
            <w:pPr>
              <w:jc w:val="center"/>
            </w:pPr>
            <w:r>
              <w:rPr>
                <w:color w:val="000000"/>
                <w:sz w:val="19"/>
                <w:szCs w:val="19"/>
              </w:rPr>
              <w:t>No meaningful relationship</w:t>
            </w:r>
          </w:p>
        </w:tc>
      </w:tr>
      <w:tr w:rsidR="00F4509E" w14:paraId="09FE9A7A" w14:textId="77777777">
        <w:tc>
          <w:tcPr>
            <w:tcW w:w="3200" w:type="dxa"/>
            <w:shd w:val="clear" w:color="auto" w:fill="F2F4FB"/>
            <w:tcMar>
              <w:top w:w="80" w:type="dxa"/>
              <w:left w:w="120" w:type="dxa"/>
              <w:bottom w:w="80" w:type="dxa"/>
              <w:right w:w="120" w:type="dxa"/>
            </w:tcMar>
            <w:vAlign w:val="center"/>
          </w:tcPr>
          <w:p w14:paraId="2194C385" w14:textId="77777777" w:rsidR="00F4509E" w:rsidRDefault="00384877">
            <w:r>
              <w:rPr>
                <w:color w:val="000000"/>
                <w:sz w:val="19"/>
                <w:szCs w:val="19"/>
              </w:rPr>
              <w:lastRenderedPageBreak/>
              <w:t>Attendance</w:t>
            </w:r>
          </w:p>
        </w:tc>
        <w:tc>
          <w:tcPr>
            <w:tcW w:w="3200" w:type="dxa"/>
            <w:shd w:val="clear" w:color="auto" w:fill="F2F4FB"/>
            <w:tcMar>
              <w:top w:w="80" w:type="dxa"/>
              <w:left w:w="120" w:type="dxa"/>
              <w:bottom w:w="80" w:type="dxa"/>
              <w:right w:w="120" w:type="dxa"/>
            </w:tcMar>
            <w:vAlign w:val="center"/>
          </w:tcPr>
          <w:p w14:paraId="631D8B26" w14:textId="77777777" w:rsidR="00F4509E" w:rsidRDefault="00384877">
            <w:pPr>
              <w:jc w:val="center"/>
            </w:pPr>
            <w:r>
              <w:rPr>
                <w:color w:val="000000"/>
                <w:sz w:val="19"/>
                <w:szCs w:val="19"/>
              </w:rPr>
              <w:t>r = -0.001</w:t>
            </w:r>
          </w:p>
        </w:tc>
        <w:tc>
          <w:tcPr>
            <w:tcW w:w="2960" w:type="dxa"/>
            <w:shd w:val="clear" w:color="auto" w:fill="F2F4FB"/>
            <w:tcMar>
              <w:top w:w="80" w:type="dxa"/>
              <w:left w:w="120" w:type="dxa"/>
              <w:bottom w:w="80" w:type="dxa"/>
              <w:right w:w="120" w:type="dxa"/>
            </w:tcMar>
            <w:vAlign w:val="center"/>
          </w:tcPr>
          <w:p w14:paraId="7F7015BB" w14:textId="77777777" w:rsidR="00F4509E" w:rsidRDefault="00384877">
            <w:pPr>
              <w:jc w:val="center"/>
            </w:pPr>
            <w:r>
              <w:rPr>
                <w:color w:val="000000"/>
                <w:sz w:val="19"/>
                <w:szCs w:val="19"/>
              </w:rPr>
              <w:t>No meaningful relationship</w:t>
            </w:r>
          </w:p>
        </w:tc>
      </w:tr>
      <w:tr w:rsidR="00F4509E" w14:paraId="22C44A52" w14:textId="77777777">
        <w:tc>
          <w:tcPr>
            <w:tcW w:w="3200" w:type="dxa"/>
            <w:tcMar>
              <w:top w:w="80" w:type="dxa"/>
              <w:left w:w="120" w:type="dxa"/>
              <w:bottom w:w="80" w:type="dxa"/>
              <w:right w:w="120" w:type="dxa"/>
            </w:tcMar>
            <w:vAlign w:val="center"/>
          </w:tcPr>
          <w:p w14:paraId="0778F165" w14:textId="77777777" w:rsidR="00F4509E" w:rsidRDefault="00384877">
            <w:r>
              <w:rPr>
                <w:color w:val="000000"/>
                <w:sz w:val="19"/>
                <w:szCs w:val="19"/>
              </w:rPr>
              <w:t>Projects completed</w:t>
            </w:r>
          </w:p>
        </w:tc>
        <w:tc>
          <w:tcPr>
            <w:tcW w:w="3200" w:type="dxa"/>
            <w:tcMar>
              <w:top w:w="80" w:type="dxa"/>
              <w:left w:w="120" w:type="dxa"/>
              <w:bottom w:w="80" w:type="dxa"/>
              <w:right w:w="120" w:type="dxa"/>
            </w:tcMar>
            <w:vAlign w:val="center"/>
          </w:tcPr>
          <w:p w14:paraId="45D17693" w14:textId="77777777" w:rsidR="00F4509E" w:rsidRDefault="00384877">
            <w:pPr>
              <w:jc w:val="center"/>
            </w:pPr>
            <w:r>
              <w:rPr>
                <w:color w:val="000000"/>
                <w:sz w:val="19"/>
                <w:szCs w:val="19"/>
              </w:rPr>
              <w:t>r = -0.004</w:t>
            </w:r>
          </w:p>
        </w:tc>
        <w:tc>
          <w:tcPr>
            <w:tcW w:w="2960" w:type="dxa"/>
            <w:tcMar>
              <w:top w:w="80" w:type="dxa"/>
              <w:left w:w="120" w:type="dxa"/>
              <w:bottom w:w="80" w:type="dxa"/>
              <w:right w:w="120" w:type="dxa"/>
            </w:tcMar>
            <w:vAlign w:val="center"/>
          </w:tcPr>
          <w:p w14:paraId="0FBEB8CD" w14:textId="77777777" w:rsidR="00F4509E" w:rsidRDefault="00384877">
            <w:pPr>
              <w:jc w:val="center"/>
            </w:pPr>
            <w:r>
              <w:rPr>
                <w:color w:val="000000"/>
                <w:sz w:val="19"/>
                <w:szCs w:val="19"/>
              </w:rPr>
              <w:t>No meaningful relationship</w:t>
            </w:r>
          </w:p>
        </w:tc>
      </w:tr>
    </w:tbl>
    <w:p w14:paraId="5F63E7F4" w14:textId="77777777" w:rsidR="00396357" w:rsidRDefault="00396357">
      <w:pPr>
        <w:spacing w:after="200" w:line="300" w:lineRule="auto"/>
        <w:jc w:val="both"/>
        <w:rPr>
          <w:i/>
          <w:iCs/>
          <w:color w:val="595959"/>
          <w:sz w:val="18"/>
          <w:szCs w:val="18"/>
        </w:rPr>
      </w:pPr>
    </w:p>
    <w:p w14:paraId="16C67660" w14:textId="77777777" w:rsidR="00F4509E" w:rsidRDefault="00384877">
      <w:pPr>
        <w:spacing w:after="200" w:line="300" w:lineRule="auto"/>
        <w:jc w:val="both"/>
      </w:pPr>
      <w:r>
        <w:t>A further check compared department-level performance scores against the average of individual employee scores within the same department, and found a mean absolute gap of 0.45 points across all eight departments. That is a large enough discrepancy to suggest the two figures are not being calculated or rolled up consistently, which matters, because it means neither the departmental nor the individual number can be fully trusted on its own until the two are reconciled.</w:t>
      </w:r>
    </w:p>
    <w:p w14:paraId="56B80895" w14:textId="77777777" w:rsidR="00F4509E" w:rsidRDefault="00384877">
      <w:pPr>
        <w:spacing w:after="200" w:line="300" w:lineRule="auto"/>
        <w:jc w:val="both"/>
      </w:pPr>
      <w:r>
        <w:t>The management action here is straightforward to state and harder to execute: align pay and training investment with outcomes that can actually be measured, and stop evaluating training by hours logged when hours logged has no demonstrated bearing on performance.</w:t>
      </w:r>
    </w:p>
    <w:p w14:paraId="6D2E0F72" w14:textId="77777777" w:rsidR="00F4509E" w:rsidRDefault="00384877">
      <w:pPr>
        <w:pStyle w:val="Heading1"/>
      </w:pPr>
      <w:r>
        <w:t>6. Financial Performance and Departmental Efficiency</w:t>
      </w:r>
    </w:p>
    <w:p w14:paraId="1B138805" w14:textId="77777777" w:rsidR="00F4509E" w:rsidRDefault="00396357">
      <w:pPr>
        <w:spacing w:after="200" w:line="300" w:lineRule="auto"/>
        <w:jc w:val="both"/>
      </w:pPr>
      <w:r>
        <w:t>Roblox Africa’s</w:t>
      </w:r>
      <w:r w:rsidR="00384877">
        <w:t xml:space="preserve"> revenue grew from $18.29 million in 2021 to $23.34 million in 2025</w:t>
      </w:r>
      <w:r>
        <w:t xml:space="preserve"> constituting</w:t>
      </w:r>
      <w:r w:rsidR="00384877">
        <w:t xml:space="preserve"> a 27.6 percent increase over five years. Costs grew too, from $12.00 million to $14.68 million, but more slowly, and contribution (revenue net of cost) improved from $6.29 million to $8.66 million, a 37.7 percent gain. Margin moved around within that window, ranging from 34.38 percent to 41.83 percent, which points to cost pressure that varied year to year rather than a single steady trend.</w:t>
      </w:r>
    </w:p>
    <w:tbl>
      <w:tblPr>
        <w:tblW w:w="106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60"/>
        <w:gridCol w:w="2400"/>
        <w:gridCol w:w="2400"/>
        <w:gridCol w:w="2960"/>
      </w:tblGrid>
      <w:tr w:rsidR="00F4509E" w14:paraId="03983766" w14:textId="77777777">
        <w:trPr>
          <w:tblHeader/>
        </w:trPr>
        <w:tc>
          <w:tcPr>
            <w:tcW w:w="2860" w:type="dxa"/>
            <w:shd w:val="clear" w:color="auto" w:fill="1F2C73"/>
            <w:tcMar>
              <w:top w:w="80" w:type="dxa"/>
              <w:left w:w="120" w:type="dxa"/>
              <w:bottom w:w="80" w:type="dxa"/>
              <w:right w:w="120" w:type="dxa"/>
            </w:tcMar>
            <w:vAlign w:val="center"/>
          </w:tcPr>
          <w:p w14:paraId="5755E82E" w14:textId="77777777" w:rsidR="00F4509E" w:rsidRDefault="00384877">
            <w:pPr>
              <w:jc w:val="center"/>
            </w:pPr>
            <w:r>
              <w:rPr>
                <w:b/>
                <w:bCs/>
                <w:color w:val="FFFFFF"/>
                <w:sz w:val="19"/>
                <w:szCs w:val="19"/>
              </w:rPr>
              <w:t>Metric</w:t>
            </w:r>
          </w:p>
        </w:tc>
        <w:tc>
          <w:tcPr>
            <w:tcW w:w="2400" w:type="dxa"/>
            <w:shd w:val="clear" w:color="auto" w:fill="1F2C73"/>
            <w:tcMar>
              <w:top w:w="80" w:type="dxa"/>
              <w:left w:w="120" w:type="dxa"/>
              <w:bottom w:w="80" w:type="dxa"/>
              <w:right w:w="120" w:type="dxa"/>
            </w:tcMar>
            <w:vAlign w:val="center"/>
          </w:tcPr>
          <w:p w14:paraId="15B907AD" w14:textId="77777777" w:rsidR="00F4509E" w:rsidRDefault="00384877">
            <w:pPr>
              <w:jc w:val="center"/>
            </w:pPr>
            <w:r>
              <w:rPr>
                <w:b/>
                <w:bCs/>
                <w:color w:val="FFFFFF"/>
                <w:sz w:val="19"/>
                <w:szCs w:val="19"/>
              </w:rPr>
              <w:t>2021</w:t>
            </w:r>
          </w:p>
        </w:tc>
        <w:tc>
          <w:tcPr>
            <w:tcW w:w="2400" w:type="dxa"/>
            <w:shd w:val="clear" w:color="auto" w:fill="1F2C73"/>
            <w:tcMar>
              <w:top w:w="80" w:type="dxa"/>
              <w:left w:w="120" w:type="dxa"/>
              <w:bottom w:w="80" w:type="dxa"/>
              <w:right w:w="120" w:type="dxa"/>
            </w:tcMar>
            <w:vAlign w:val="center"/>
          </w:tcPr>
          <w:p w14:paraId="76683EF4" w14:textId="77777777" w:rsidR="00F4509E" w:rsidRDefault="00384877">
            <w:pPr>
              <w:jc w:val="center"/>
            </w:pPr>
            <w:r>
              <w:rPr>
                <w:b/>
                <w:bCs/>
                <w:color w:val="FFFFFF"/>
                <w:sz w:val="19"/>
                <w:szCs w:val="19"/>
              </w:rPr>
              <w:t>2025</w:t>
            </w:r>
          </w:p>
        </w:tc>
        <w:tc>
          <w:tcPr>
            <w:tcW w:w="2960" w:type="dxa"/>
            <w:shd w:val="clear" w:color="auto" w:fill="1F2C73"/>
            <w:tcMar>
              <w:top w:w="80" w:type="dxa"/>
              <w:left w:w="120" w:type="dxa"/>
              <w:bottom w:w="80" w:type="dxa"/>
              <w:right w:w="120" w:type="dxa"/>
            </w:tcMar>
            <w:vAlign w:val="center"/>
          </w:tcPr>
          <w:p w14:paraId="1843FEF2" w14:textId="77777777" w:rsidR="00F4509E" w:rsidRDefault="00384877">
            <w:pPr>
              <w:jc w:val="center"/>
            </w:pPr>
            <w:r>
              <w:rPr>
                <w:b/>
                <w:bCs/>
                <w:color w:val="FFFFFF"/>
                <w:sz w:val="19"/>
                <w:szCs w:val="19"/>
              </w:rPr>
              <w:t>Change</w:t>
            </w:r>
          </w:p>
        </w:tc>
      </w:tr>
      <w:tr w:rsidR="00F4509E" w14:paraId="7E1D1E47" w14:textId="77777777">
        <w:tc>
          <w:tcPr>
            <w:tcW w:w="2860" w:type="dxa"/>
            <w:tcMar>
              <w:top w:w="80" w:type="dxa"/>
              <w:left w:w="120" w:type="dxa"/>
              <w:bottom w:w="80" w:type="dxa"/>
              <w:right w:w="120" w:type="dxa"/>
            </w:tcMar>
            <w:vAlign w:val="center"/>
          </w:tcPr>
          <w:p w14:paraId="0192015A" w14:textId="77777777" w:rsidR="00F4509E" w:rsidRDefault="00384877">
            <w:r>
              <w:rPr>
                <w:color w:val="000000"/>
                <w:sz w:val="19"/>
                <w:szCs w:val="19"/>
              </w:rPr>
              <w:t>Revenue</w:t>
            </w:r>
          </w:p>
        </w:tc>
        <w:tc>
          <w:tcPr>
            <w:tcW w:w="2400" w:type="dxa"/>
            <w:tcMar>
              <w:top w:w="80" w:type="dxa"/>
              <w:left w:w="120" w:type="dxa"/>
              <w:bottom w:w="80" w:type="dxa"/>
              <w:right w:w="120" w:type="dxa"/>
            </w:tcMar>
            <w:vAlign w:val="center"/>
          </w:tcPr>
          <w:p w14:paraId="594A7D23" w14:textId="77777777" w:rsidR="00F4509E" w:rsidRDefault="00384877">
            <w:pPr>
              <w:jc w:val="center"/>
            </w:pPr>
            <w:r>
              <w:rPr>
                <w:color w:val="000000"/>
                <w:sz w:val="19"/>
                <w:szCs w:val="19"/>
              </w:rPr>
              <w:t>$18.29M</w:t>
            </w:r>
          </w:p>
        </w:tc>
        <w:tc>
          <w:tcPr>
            <w:tcW w:w="2400" w:type="dxa"/>
            <w:tcMar>
              <w:top w:w="80" w:type="dxa"/>
              <w:left w:w="120" w:type="dxa"/>
              <w:bottom w:w="80" w:type="dxa"/>
              <w:right w:w="120" w:type="dxa"/>
            </w:tcMar>
            <w:vAlign w:val="center"/>
          </w:tcPr>
          <w:p w14:paraId="19AF7E56" w14:textId="77777777" w:rsidR="00F4509E" w:rsidRDefault="00384877">
            <w:pPr>
              <w:jc w:val="center"/>
            </w:pPr>
            <w:r>
              <w:rPr>
                <w:color w:val="000000"/>
                <w:sz w:val="19"/>
                <w:szCs w:val="19"/>
              </w:rPr>
              <w:t>$23.34M</w:t>
            </w:r>
          </w:p>
        </w:tc>
        <w:tc>
          <w:tcPr>
            <w:tcW w:w="2960" w:type="dxa"/>
            <w:tcMar>
              <w:top w:w="80" w:type="dxa"/>
              <w:left w:w="120" w:type="dxa"/>
              <w:bottom w:w="80" w:type="dxa"/>
              <w:right w:w="120" w:type="dxa"/>
            </w:tcMar>
            <w:vAlign w:val="center"/>
          </w:tcPr>
          <w:p w14:paraId="7C8E6748" w14:textId="77777777" w:rsidR="00F4509E" w:rsidRDefault="00384877">
            <w:pPr>
              <w:jc w:val="center"/>
            </w:pPr>
            <w:r>
              <w:rPr>
                <w:color w:val="000000"/>
                <w:sz w:val="19"/>
                <w:szCs w:val="19"/>
              </w:rPr>
              <w:t>+27.6%</w:t>
            </w:r>
          </w:p>
        </w:tc>
      </w:tr>
      <w:tr w:rsidR="00F4509E" w14:paraId="21029391" w14:textId="77777777">
        <w:tc>
          <w:tcPr>
            <w:tcW w:w="2860" w:type="dxa"/>
            <w:shd w:val="clear" w:color="auto" w:fill="F2F4FB"/>
            <w:tcMar>
              <w:top w:w="80" w:type="dxa"/>
              <w:left w:w="120" w:type="dxa"/>
              <w:bottom w:w="80" w:type="dxa"/>
              <w:right w:w="120" w:type="dxa"/>
            </w:tcMar>
            <w:vAlign w:val="center"/>
          </w:tcPr>
          <w:p w14:paraId="3E1F8400" w14:textId="77777777" w:rsidR="00F4509E" w:rsidRDefault="00384877">
            <w:r>
              <w:rPr>
                <w:color w:val="000000"/>
                <w:sz w:val="19"/>
                <w:szCs w:val="19"/>
              </w:rPr>
              <w:t>Cost</w:t>
            </w:r>
          </w:p>
        </w:tc>
        <w:tc>
          <w:tcPr>
            <w:tcW w:w="2400" w:type="dxa"/>
            <w:shd w:val="clear" w:color="auto" w:fill="F2F4FB"/>
            <w:tcMar>
              <w:top w:w="80" w:type="dxa"/>
              <w:left w:w="120" w:type="dxa"/>
              <w:bottom w:w="80" w:type="dxa"/>
              <w:right w:w="120" w:type="dxa"/>
            </w:tcMar>
            <w:vAlign w:val="center"/>
          </w:tcPr>
          <w:p w14:paraId="5A17D7BA" w14:textId="77777777" w:rsidR="00F4509E" w:rsidRDefault="00384877">
            <w:pPr>
              <w:jc w:val="center"/>
            </w:pPr>
            <w:r>
              <w:rPr>
                <w:color w:val="000000"/>
                <w:sz w:val="19"/>
                <w:szCs w:val="19"/>
              </w:rPr>
              <w:t>$12.00M</w:t>
            </w:r>
          </w:p>
        </w:tc>
        <w:tc>
          <w:tcPr>
            <w:tcW w:w="2400" w:type="dxa"/>
            <w:shd w:val="clear" w:color="auto" w:fill="F2F4FB"/>
            <w:tcMar>
              <w:top w:w="80" w:type="dxa"/>
              <w:left w:w="120" w:type="dxa"/>
              <w:bottom w:w="80" w:type="dxa"/>
              <w:right w:w="120" w:type="dxa"/>
            </w:tcMar>
            <w:vAlign w:val="center"/>
          </w:tcPr>
          <w:p w14:paraId="5FBBF1B4" w14:textId="77777777" w:rsidR="00F4509E" w:rsidRDefault="00384877">
            <w:pPr>
              <w:jc w:val="center"/>
            </w:pPr>
            <w:r>
              <w:rPr>
                <w:color w:val="000000"/>
                <w:sz w:val="19"/>
                <w:szCs w:val="19"/>
              </w:rPr>
              <w:t>$14.68M</w:t>
            </w:r>
          </w:p>
        </w:tc>
        <w:tc>
          <w:tcPr>
            <w:tcW w:w="2960" w:type="dxa"/>
            <w:shd w:val="clear" w:color="auto" w:fill="F2F4FB"/>
            <w:tcMar>
              <w:top w:w="80" w:type="dxa"/>
              <w:left w:w="120" w:type="dxa"/>
              <w:bottom w:w="80" w:type="dxa"/>
              <w:right w:w="120" w:type="dxa"/>
            </w:tcMar>
            <w:vAlign w:val="center"/>
          </w:tcPr>
          <w:p w14:paraId="48347F40" w14:textId="77777777" w:rsidR="00F4509E" w:rsidRDefault="00384877">
            <w:pPr>
              <w:jc w:val="center"/>
            </w:pPr>
            <w:r>
              <w:rPr>
                <w:color w:val="000000"/>
                <w:sz w:val="19"/>
                <w:szCs w:val="19"/>
              </w:rPr>
              <w:t>+22.3%</w:t>
            </w:r>
          </w:p>
        </w:tc>
      </w:tr>
      <w:tr w:rsidR="00F4509E" w14:paraId="31E2F1BC" w14:textId="77777777">
        <w:tc>
          <w:tcPr>
            <w:tcW w:w="2860" w:type="dxa"/>
            <w:tcMar>
              <w:top w:w="80" w:type="dxa"/>
              <w:left w:w="120" w:type="dxa"/>
              <w:bottom w:w="80" w:type="dxa"/>
              <w:right w:w="120" w:type="dxa"/>
            </w:tcMar>
            <w:vAlign w:val="center"/>
          </w:tcPr>
          <w:p w14:paraId="7AE3E8EE" w14:textId="77777777" w:rsidR="00F4509E" w:rsidRDefault="00384877">
            <w:r>
              <w:rPr>
                <w:color w:val="000000"/>
                <w:sz w:val="19"/>
                <w:szCs w:val="19"/>
              </w:rPr>
              <w:t>Contribution</w:t>
            </w:r>
          </w:p>
        </w:tc>
        <w:tc>
          <w:tcPr>
            <w:tcW w:w="2400" w:type="dxa"/>
            <w:tcMar>
              <w:top w:w="80" w:type="dxa"/>
              <w:left w:w="120" w:type="dxa"/>
              <w:bottom w:w="80" w:type="dxa"/>
              <w:right w:w="120" w:type="dxa"/>
            </w:tcMar>
            <w:vAlign w:val="center"/>
          </w:tcPr>
          <w:p w14:paraId="146BE8B3" w14:textId="77777777" w:rsidR="00F4509E" w:rsidRDefault="00384877">
            <w:pPr>
              <w:jc w:val="center"/>
            </w:pPr>
            <w:r>
              <w:rPr>
                <w:color w:val="000000"/>
                <w:sz w:val="19"/>
                <w:szCs w:val="19"/>
              </w:rPr>
              <w:t>$6.29M</w:t>
            </w:r>
          </w:p>
        </w:tc>
        <w:tc>
          <w:tcPr>
            <w:tcW w:w="2400" w:type="dxa"/>
            <w:tcMar>
              <w:top w:w="80" w:type="dxa"/>
              <w:left w:w="120" w:type="dxa"/>
              <w:bottom w:w="80" w:type="dxa"/>
              <w:right w:w="120" w:type="dxa"/>
            </w:tcMar>
            <w:vAlign w:val="center"/>
          </w:tcPr>
          <w:p w14:paraId="0ACAE6C9" w14:textId="77777777" w:rsidR="00F4509E" w:rsidRDefault="00384877">
            <w:pPr>
              <w:jc w:val="center"/>
            </w:pPr>
            <w:r>
              <w:rPr>
                <w:color w:val="000000"/>
                <w:sz w:val="19"/>
                <w:szCs w:val="19"/>
              </w:rPr>
              <w:t>$8.66M</w:t>
            </w:r>
          </w:p>
        </w:tc>
        <w:tc>
          <w:tcPr>
            <w:tcW w:w="2960" w:type="dxa"/>
            <w:tcMar>
              <w:top w:w="80" w:type="dxa"/>
              <w:left w:w="120" w:type="dxa"/>
              <w:bottom w:w="80" w:type="dxa"/>
              <w:right w:w="120" w:type="dxa"/>
            </w:tcMar>
            <w:vAlign w:val="center"/>
          </w:tcPr>
          <w:p w14:paraId="250452A3" w14:textId="77777777" w:rsidR="00F4509E" w:rsidRDefault="00384877">
            <w:pPr>
              <w:jc w:val="center"/>
            </w:pPr>
            <w:r>
              <w:rPr>
                <w:color w:val="000000"/>
                <w:sz w:val="19"/>
                <w:szCs w:val="19"/>
              </w:rPr>
              <w:t>+37.7%</w:t>
            </w:r>
          </w:p>
        </w:tc>
      </w:tr>
    </w:tbl>
    <w:p w14:paraId="6A608DD0" w14:textId="77777777" w:rsidR="00396357" w:rsidRDefault="00396357">
      <w:pPr>
        <w:spacing w:after="200" w:line="300" w:lineRule="auto"/>
        <w:jc w:val="both"/>
        <w:rPr>
          <w:i/>
          <w:iCs/>
          <w:color w:val="595959"/>
          <w:sz w:val="18"/>
          <w:szCs w:val="18"/>
        </w:rPr>
      </w:pPr>
    </w:p>
    <w:p w14:paraId="152D6092" w14:textId="77777777" w:rsidR="00F4509E" w:rsidRDefault="00384877">
      <w:pPr>
        <w:spacing w:after="200" w:line="300" w:lineRule="auto"/>
        <w:jc w:val="both"/>
      </w:pPr>
      <w:r>
        <w:t>Viewed on its own, that trend looks good — contribution grew faster than either revenue or cost. But the five-year cumulative picture across all eight departments tells a less comfortable story: total contribution over the period was $38.56 million against total costs of $65.51 million. The gap is largely explained by two departments whose costs have simply outrun their revenue. Customer Support's costs rose 60.1 percent over five years while its revenue rose only 12.0 percent; Data &amp; Analytics' costs rose 70.0 percent against 47.5 percent revenue growth. Both are heading in the wrong direction, and neither shows any sign of correcting itself without intervention.</w:t>
      </w:r>
    </w:p>
    <w:tbl>
      <w:tblPr>
        <w:tblW w:w="95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200"/>
        <w:gridCol w:w="3160"/>
        <w:gridCol w:w="3160"/>
      </w:tblGrid>
      <w:tr w:rsidR="00F4509E" w14:paraId="153F520D" w14:textId="77777777">
        <w:trPr>
          <w:tblHeader/>
        </w:trPr>
        <w:tc>
          <w:tcPr>
            <w:tcW w:w="3200" w:type="dxa"/>
            <w:shd w:val="clear" w:color="auto" w:fill="1F2C73"/>
            <w:tcMar>
              <w:top w:w="80" w:type="dxa"/>
              <w:left w:w="120" w:type="dxa"/>
              <w:bottom w:w="80" w:type="dxa"/>
              <w:right w:w="120" w:type="dxa"/>
            </w:tcMar>
            <w:vAlign w:val="center"/>
          </w:tcPr>
          <w:p w14:paraId="08DE8C1F" w14:textId="77777777" w:rsidR="00F4509E" w:rsidRDefault="00384877">
            <w:pPr>
              <w:jc w:val="center"/>
            </w:pPr>
            <w:r>
              <w:rPr>
                <w:b/>
                <w:bCs/>
                <w:color w:val="FFFFFF"/>
                <w:sz w:val="19"/>
                <w:szCs w:val="19"/>
              </w:rPr>
              <w:t>Department</w:t>
            </w:r>
          </w:p>
        </w:tc>
        <w:tc>
          <w:tcPr>
            <w:tcW w:w="3160" w:type="dxa"/>
            <w:shd w:val="clear" w:color="auto" w:fill="1F2C73"/>
            <w:tcMar>
              <w:top w:w="80" w:type="dxa"/>
              <w:left w:w="120" w:type="dxa"/>
              <w:bottom w:w="80" w:type="dxa"/>
              <w:right w:w="120" w:type="dxa"/>
            </w:tcMar>
            <w:vAlign w:val="center"/>
          </w:tcPr>
          <w:p w14:paraId="5CB234E3" w14:textId="77777777" w:rsidR="00F4509E" w:rsidRDefault="00384877">
            <w:pPr>
              <w:jc w:val="center"/>
            </w:pPr>
            <w:r>
              <w:rPr>
                <w:b/>
                <w:bCs/>
                <w:color w:val="FFFFFF"/>
                <w:sz w:val="19"/>
                <w:szCs w:val="19"/>
              </w:rPr>
              <w:t>5-year cost growth</w:t>
            </w:r>
          </w:p>
        </w:tc>
        <w:tc>
          <w:tcPr>
            <w:tcW w:w="3160" w:type="dxa"/>
            <w:shd w:val="clear" w:color="auto" w:fill="1F2C73"/>
            <w:tcMar>
              <w:top w:w="80" w:type="dxa"/>
              <w:left w:w="120" w:type="dxa"/>
              <w:bottom w:w="80" w:type="dxa"/>
              <w:right w:w="120" w:type="dxa"/>
            </w:tcMar>
            <w:vAlign w:val="center"/>
          </w:tcPr>
          <w:p w14:paraId="3BA3C813" w14:textId="77777777" w:rsidR="00F4509E" w:rsidRDefault="00384877">
            <w:pPr>
              <w:jc w:val="center"/>
            </w:pPr>
            <w:r>
              <w:rPr>
                <w:b/>
                <w:bCs/>
                <w:color w:val="FFFFFF"/>
                <w:sz w:val="19"/>
                <w:szCs w:val="19"/>
              </w:rPr>
              <w:t>5-year revenue growth</w:t>
            </w:r>
          </w:p>
        </w:tc>
      </w:tr>
      <w:tr w:rsidR="00F4509E" w14:paraId="7C6E3F02" w14:textId="77777777">
        <w:tc>
          <w:tcPr>
            <w:tcW w:w="3200" w:type="dxa"/>
            <w:tcMar>
              <w:top w:w="80" w:type="dxa"/>
              <w:left w:w="120" w:type="dxa"/>
              <w:bottom w:w="80" w:type="dxa"/>
              <w:right w:w="120" w:type="dxa"/>
            </w:tcMar>
            <w:vAlign w:val="center"/>
          </w:tcPr>
          <w:p w14:paraId="393B8BB3" w14:textId="77777777" w:rsidR="00F4509E" w:rsidRDefault="00384877">
            <w:r>
              <w:rPr>
                <w:color w:val="000000"/>
                <w:sz w:val="19"/>
                <w:szCs w:val="19"/>
              </w:rPr>
              <w:t>Customer Support</w:t>
            </w:r>
          </w:p>
        </w:tc>
        <w:tc>
          <w:tcPr>
            <w:tcW w:w="3160" w:type="dxa"/>
            <w:tcMar>
              <w:top w:w="80" w:type="dxa"/>
              <w:left w:w="120" w:type="dxa"/>
              <w:bottom w:w="80" w:type="dxa"/>
              <w:right w:w="120" w:type="dxa"/>
            </w:tcMar>
            <w:vAlign w:val="center"/>
          </w:tcPr>
          <w:p w14:paraId="3C6B16BD" w14:textId="77777777" w:rsidR="00F4509E" w:rsidRDefault="00384877">
            <w:pPr>
              <w:jc w:val="center"/>
            </w:pPr>
            <w:r>
              <w:rPr>
                <w:color w:val="000000"/>
                <w:sz w:val="19"/>
                <w:szCs w:val="19"/>
              </w:rPr>
              <w:t>+60.1%</w:t>
            </w:r>
          </w:p>
        </w:tc>
        <w:tc>
          <w:tcPr>
            <w:tcW w:w="3160" w:type="dxa"/>
            <w:tcMar>
              <w:top w:w="80" w:type="dxa"/>
              <w:left w:w="120" w:type="dxa"/>
              <w:bottom w:w="80" w:type="dxa"/>
              <w:right w:w="120" w:type="dxa"/>
            </w:tcMar>
            <w:vAlign w:val="center"/>
          </w:tcPr>
          <w:p w14:paraId="735419CA" w14:textId="77777777" w:rsidR="00F4509E" w:rsidRDefault="00384877">
            <w:pPr>
              <w:jc w:val="center"/>
            </w:pPr>
            <w:r>
              <w:rPr>
                <w:color w:val="000000"/>
                <w:sz w:val="19"/>
                <w:szCs w:val="19"/>
              </w:rPr>
              <w:t>+12.0%</w:t>
            </w:r>
          </w:p>
        </w:tc>
      </w:tr>
      <w:tr w:rsidR="00F4509E" w14:paraId="34FBBF77" w14:textId="77777777">
        <w:tc>
          <w:tcPr>
            <w:tcW w:w="3200" w:type="dxa"/>
            <w:shd w:val="clear" w:color="auto" w:fill="F2F4FB"/>
            <w:tcMar>
              <w:top w:w="80" w:type="dxa"/>
              <w:left w:w="120" w:type="dxa"/>
              <w:bottom w:w="80" w:type="dxa"/>
              <w:right w:w="120" w:type="dxa"/>
            </w:tcMar>
            <w:vAlign w:val="center"/>
          </w:tcPr>
          <w:p w14:paraId="2C742DD5" w14:textId="77777777" w:rsidR="00F4509E" w:rsidRDefault="00384877">
            <w:r>
              <w:rPr>
                <w:color w:val="000000"/>
                <w:sz w:val="19"/>
                <w:szCs w:val="19"/>
              </w:rPr>
              <w:lastRenderedPageBreak/>
              <w:t>Data &amp; Analytics</w:t>
            </w:r>
          </w:p>
        </w:tc>
        <w:tc>
          <w:tcPr>
            <w:tcW w:w="3160" w:type="dxa"/>
            <w:shd w:val="clear" w:color="auto" w:fill="F2F4FB"/>
            <w:tcMar>
              <w:top w:w="80" w:type="dxa"/>
              <w:left w:w="120" w:type="dxa"/>
              <w:bottom w:w="80" w:type="dxa"/>
              <w:right w:w="120" w:type="dxa"/>
            </w:tcMar>
            <w:vAlign w:val="center"/>
          </w:tcPr>
          <w:p w14:paraId="000F12D5" w14:textId="77777777" w:rsidR="00F4509E" w:rsidRDefault="00384877">
            <w:pPr>
              <w:jc w:val="center"/>
            </w:pPr>
            <w:r>
              <w:rPr>
                <w:color w:val="000000"/>
                <w:sz w:val="19"/>
                <w:szCs w:val="19"/>
              </w:rPr>
              <w:t>+70.0%</w:t>
            </w:r>
          </w:p>
        </w:tc>
        <w:tc>
          <w:tcPr>
            <w:tcW w:w="3160" w:type="dxa"/>
            <w:shd w:val="clear" w:color="auto" w:fill="F2F4FB"/>
            <w:tcMar>
              <w:top w:w="80" w:type="dxa"/>
              <w:left w:w="120" w:type="dxa"/>
              <w:bottom w:w="80" w:type="dxa"/>
              <w:right w:w="120" w:type="dxa"/>
            </w:tcMar>
            <w:vAlign w:val="center"/>
          </w:tcPr>
          <w:p w14:paraId="5D522FAC" w14:textId="77777777" w:rsidR="00F4509E" w:rsidRDefault="00384877">
            <w:pPr>
              <w:jc w:val="center"/>
            </w:pPr>
            <w:r>
              <w:rPr>
                <w:color w:val="000000"/>
                <w:sz w:val="19"/>
                <w:szCs w:val="19"/>
              </w:rPr>
              <w:t>+47.5%</w:t>
            </w:r>
          </w:p>
        </w:tc>
      </w:tr>
    </w:tbl>
    <w:p w14:paraId="38ED0183" w14:textId="77777777" w:rsidR="00396357" w:rsidRDefault="00396357">
      <w:pPr>
        <w:spacing w:after="200" w:line="300" w:lineRule="auto"/>
        <w:jc w:val="both"/>
        <w:rPr>
          <w:i/>
          <w:iCs/>
          <w:color w:val="595959"/>
          <w:sz w:val="18"/>
          <w:szCs w:val="18"/>
        </w:rPr>
      </w:pPr>
    </w:p>
    <w:p w14:paraId="775FCACA" w14:textId="77777777" w:rsidR="00F4509E" w:rsidRDefault="00384877">
      <w:pPr>
        <w:spacing w:after="200" w:line="300" w:lineRule="auto"/>
        <w:jc w:val="both"/>
      </w:pPr>
      <w:r>
        <w:t>Departmental profitability is not uniform either. Human Resources posts the strongest contribution margin of any department at 44.47 percent,</w:t>
      </w:r>
      <w:r w:rsidR="00396357">
        <w:t xml:space="preserve"> in addition to </w:t>
      </w:r>
      <w:r>
        <w:t>that</w:t>
      </w:r>
      <w:r w:rsidR="00396357">
        <w:t xml:space="preserve">, </w:t>
      </w:r>
      <w:r>
        <w:t xml:space="preserve">the presentation to stakeholders also identified HR as the department with the highest overall net contribution, at roughly $7.82 million. Customer Support follows at a 41.08 percent margin </w:t>
      </w:r>
      <w:r w:rsidR="00396357">
        <w:t>the growing concern in cost.</w:t>
      </w:r>
      <w:r>
        <w:t xml:space="preserve"> Finance at 36.30 percent, with Finance also standing out as the department generating the largest cumulative revenue</w:t>
      </w:r>
      <w:r w:rsidR="00396357">
        <w:t xml:space="preserve"> </w:t>
      </w:r>
      <w:r>
        <w:t>at roughly $20.21 million. Product Management sits at the bottom of the margin table at 31.62 percent.</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700"/>
        <w:gridCol w:w="4660"/>
      </w:tblGrid>
      <w:tr w:rsidR="00F4509E" w14:paraId="3E8B60D8" w14:textId="77777777">
        <w:trPr>
          <w:tblHeader/>
        </w:trPr>
        <w:tc>
          <w:tcPr>
            <w:tcW w:w="4700" w:type="dxa"/>
            <w:shd w:val="clear" w:color="auto" w:fill="1F2C73"/>
            <w:tcMar>
              <w:top w:w="80" w:type="dxa"/>
              <w:left w:w="120" w:type="dxa"/>
              <w:bottom w:w="80" w:type="dxa"/>
              <w:right w:w="120" w:type="dxa"/>
            </w:tcMar>
            <w:vAlign w:val="center"/>
          </w:tcPr>
          <w:p w14:paraId="30F39D2C" w14:textId="77777777" w:rsidR="00F4509E" w:rsidRDefault="00384877">
            <w:pPr>
              <w:jc w:val="center"/>
            </w:pPr>
            <w:r>
              <w:rPr>
                <w:b/>
                <w:bCs/>
                <w:color w:val="FFFFFF"/>
                <w:sz w:val="19"/>
                <w:szCs w:val="19"/>
              </w:rPr>
              <w:t>Department</w:t>
            </w:r>
          </w:p>
        </w:tc>
        <w:tc>
          <w:tcPr>
            <w:tcW w:w="4660" w:type="dxa"/>
            <w:shd w:val="clear" w:color="auto" w:fill="1F2C73"/>
            <w:tcMar>
              <w:top w:w="80" w:type="dxa"/>
              <w:left w:w="120" w:type="dxa"/>
              <w:bottom w:w="80" w:type="dxa"/>
              <w:right w:w="120" w:type="dxa"/>
            </w:tcMar>
            <w:vAlign w:val="center"/>
          </w:tcPr>
          <w:p w14:paraId="0CE16925" w14:textId="77777777" w:rsidR="00F4509E" w:rsidRDefault="00384877">
            <w:pPr>
              <w:jc w:val="center"/>
            </w:pPr>
            <w:r>
              <w:rPr>
                <w:b/>
                <w:bCs/>
                <w:color w:val="FFFFFF"/>
                <w:sz w:val="19"/>
                <w:szCs w:val="19"/>
              </w:rPr>
              <w:t>5-year contribution margin</w:t>
            </w:r>
          </w:p>
        </w:tc>
      </w:tr>
      <w:tr w:rsidR="00F4509E" w14:paraId="4C6DEEE0" w14:textId="77777777">
        <w:tc>
          <w:tcPr>
            <w:tcW w:w="4700" w:type="dxa"/>
            <w:tcMar>
              <w:top w:w="80" w:type="dxa"/>
              <w:left w:w="120" w:type="dxa"/>
              <w:bottom w:w="80" w:type="dxa"/>
              <w:right w:w="120" w:type="dxa"/>
            </w:tcMar>
            <w:vAlign w:val="center"/>
          </w:tcPr>
          <w:p w14:paraId="040F2559" w14:textId="77777777" w:rsidR="00F4509E" w:rsidRDefault="00384877">
            <w:r>
              <w:rPr>
                <w:color w:val="000000"/>
                <w:sz w:val="19"/>
                <w:szCs w:val="19"/>
              </w:rPr>
              <w:t>Human Resources</w:t>
            </w:r>
          </w:p>
        </w:tc>
        <w:tc>
          <w:tcPr>
            <w:tcW w:w="4660" w:type="dxa"/>
            <w:tcMar>
              <w:top w:w="80" w:type="dxa"/>
              <w:left w:w="120" w:type="dxa"/>
              <w:bottom w:w="80" w:type="dxa"/>
              <w:right w:w="120" w:type="dxa"/>
            </w:tcMar>
            <w:vAlign w:val="center"/>
          </w:tcPr>
          <w:p w14:paraId="541889DE" w14:textId="77777777" w:rsidR="00F4509E" w:rsidRDefault="00384877">
            <w:pPr>
              <w:jc w:val="center"/>
            </w:pPr>
            <w:r>
              <w:rPr>
                <w:color w:val="000000"/>
                <w:sz w:val="19"/>
                <w:szCs w:val="19"/>
              </w:rPr>
              <w:t>44.47% (highest)</w:t>
            </w:r>
          </w:p>
        </w:tc>
      </w:tr>
      <w:tr w:rsidR="00F4509E" w14:paraId="7F62F3DC" w14:textId="77777777">
        <w:tc>
          <w:tcPr>
            <w:tcW w:w="4700" w:type="dxa"/>
            <w:shd w:val="clear" w:color="auto" w:fill="F2F4FB"/>
            <w:tcMar>
              <w:top w:w="80" w:type="dxa"/>
              <w:left w:w="120" w:type="dxa"/>
              <w:bottom w:w="80" w:type="dxa"/>
              <w:right w:w="120" w:type="dxa"/>
            </w:tcMar>
            <w:vAlign w:val="center"/>
          </w:tcPr>
          <w:p w14:paraId="3071F06D" w14:textId="77777777" w:rsidR="00F4509E" w:rsidRDefault="00384877">
            <w:r>
              <w:rPr>
                <w:color w:val="000000"/>
                <w:sz w:val="19"/>
                <w:szCs w:val="19"/>
              </w:rPr>
              <w:t>Customer Support</w:t>
            </w:r>
          </w:p>
        </w:tc>
        <w:tc>
          <w:tcPr>
            <w:tcW w:w="4660" w:type="dxa"/>
            <w:shd w:val="clear" w:color="auto" w:fill="F2F4FB"/>
            <w:tcMar>
              <w:top w:w="80" w:type="dxa"/>
              <w:left w:w="120" w:type="dxa"/>
              <w:bottom w:w="80" w:type="dxa"/>
              <w:right w:w="120" w:type="dxa"/>
            </w:tcMar>
            <w:vAlign w:val="center"/>
          </w:tcPr>
          <w:p w14:paraId="1E215267" w14:textId="77777777" w:rsidR="00F4509E" w:rsidRDefault="00384877">
            <w:pPr>
              <w:jc w:val="center"/>
            </w:pPr>
            <w:r>
              <w:rPr>
                <w:color w:val="000000"/>
                <w:sz w:val="19"/>
                <w:szCs w:val="19"/>
              </w:rPr>
              <w:t>41.08%</w:t>
            </w:r>
          </w:p>
        </w:tc>
      </w:tr>
      <w:tr w:rsidR="00F4509E" w14:paraId="4BA9C6CD" w14:textId="77777777">
        <w:tc>
          <w:tcPr>
            <w:tcW w:w="4700" w:type="dxa"/>
            <w:tcMar>
              <w:top w:w="80" w:type="dxa"/>
              <w:left w:w="120" w:type="dxa"/>
              <w:bottom w:w="80" w:type="dxa"/>
              <w:right w:w="120" w:type="dxa"/>
            </w:tcMar>
            <w:vAlign w:val="center"/>
          </w:tcPr>
          <w:p w14:paraId="123232D7" w14:textId="77777777" w:rsidR="00F4509E" w:rsidRDefault="00384877">
            <w:r>
              <w:rPr>
                <w:color w:val="000000"/>
                <w:sz w:val="19"/>
                <w:szCs w:val="19"/>
              </w:rPr>
              <w:t>Finance</w:t>
            </w:r>
          </w:p>
        </w:tc>
        <w:tc>
          <w:tcPr>
            <w:tcW w:w="4660" w:type="dxa"/>
            <w:tcMar>
              <w:top w:w="80" w:type="dxa"/>
              <w:left w:w="120" w:type="dxa"/>
              <w:bottom w:w="80" w:type="dxa"/>
              <w:right w:w="120" w:type="dxa"/>
            </w:tcMar>
            <w:vAlign w:val="center"/>
          </w:tcPr>
          <w:p w14:paraId="2AD51595" w14:textId="77777777" w:rsidR="00F4509E" w:rsidRDefault="00384877">
            <w:pPr>
              <w:jc w:val="center"/>
            </w:pPr>
            <w:r>
              <w:rPr>
                <w:color w:val="000000"/>
                <w:sz w:val="19"/>
                <w:szCs w:val="19"/>
              </w:rPr>
              <w:t>36.30%</w:t>
            </w:r>
          </w:p>
        </w:tc>
      </w:tr>
      <w:tr w:rsidR="00F4509E" w14:paraId="4919E058" w14:textId="77777777">
        <w:tc>
          <w:tcPr>
            <w:tcW w:w="4700" w:type="dxa"/>
            <w:shd w:val="clear" w:color="auto" w:fill="F2F4FB"/>
            <w:tcMar>
              <w:top w:w="80" w:type="dxa"/>
              <w:left w:w="120" w:type="dxa"/>
              <w:bottom w:w="80" w:type="dxa"/>
              <w:right w:w="120" w:type="dxa"/>
            </w:tcMar>
            <w:vAlign w:val="center"/>
          </w:tcPr>
          <w:p w14:paraId="4B3C7FDD" w14:textId="77777777" w:rsidR="00F4509E" w:rsidRDefault="00384877">
            <w:r>
              <w:rPr>
                <w:color w:val="000000"/>
                <w:sz w:val="19"/>
                <w:szCs w:val="19"/>
              </w:rPr>
              <w:t>Product Management</w:t>
            </w:r>
          </w:p>
        </w:tc>
        <w:tc>
          <w:tcPr>
            <w:tcW w:w="4660" w:type="dxa"/>
            <w:shd w:val="clear" w:color="auto" w:fill="F2F4FB"/>
            <w:tcMar>
              <w:top w:w="80" w:type="dxa"/>
              <w:left w:w="120" w:type="dxa"/>
              <w:bottom w:w="80" w:type="dxa"/>
              <w:right w:w="120" w:type="dxa"/>
            </w:tcMar>
            <w:vAlign w:val="center"/>
          </w:tcPr>
          <w:p w14:paraId="6B020F82" w14:textId="77777777" w:rsidR="00F4509E" w:rsidRDefault="00384877">
            <w:pPr>
              <w:jc w:val="center"/>
            </w:pPr>
            <w:r>
              <w:rPr>
                <w:color w:val="000000"/>
                <w:sz w:val="19"/>
                <w:szCs w:val="19"/>
              </w:rPr>
              <w:t>31.62% (lowest)</w:t>
            </w:r>
          </w:p>
        </w:tc>
      </w:tr>
    </w:tbl>
    <w:p w14:paraId="00C05C06" w14:textId="77777777" w:rsidR="00F4509E" w:rsidRDefault="00F4509E">
      <w:pPr>
        <w:spacing w:before="80" w:after="260"/>
        <w:jc w:val="center"/>
      </w:pPr>
    </w:p>
    <w:p w14:paraId="6E9713AA" w14:textId="77777777" w:rsidR="00F4509E" w:rsidRDefault="00384877">
      <w:pPr>
        <w:spacing w:after="200" w:line="300" w:lineRule="auto"/>
        <w:jc w:val="both"/>
      </w:pPr>
      <w:r>
        <w:t>Put together, similar headcounts across departments are clearly not producing similar financial outcomes margin spreads by 13 percentage points between the best and worst performer, and cost discipline in particular is not being applied evenly. The recommended actions are to prioritise cost reviews in the lowest-efficiency departments, to judge departments on net contribution and revenue-to-cost ratio rather than revenue alone, and to introduce Revenue per Employee and Cost per Employee as standing measures.</w:t>
      </w:r>
    </w:p>
    <w:p w14:paraId="34DA5785" w14:textId="77777777" w:rsidR="00F4509E" w:rsidRDefault="00384877">
      <w:pPr>
        <w:pStyle w:val="Heading1"/>
      </w:pPr>
      <w:r>
        <w:t>7. Health and Workforce Risk</w:t>
      </w:r>
    </w:p>
    <w:p w14:paraId="375C6AF3" w14:textId="77777777" w:rsidR="00F4509E" w:rsidRDefault="00384877">
      <w:pPr>
        <w:spacing w:after="200" w:line="300" w:lineRule="auto"/>
        <w:jc w:val="both"/>
      </w:pPr>
      <w:r>
        <w:t>Health-insurance coverage across the workforce s</w:t>
      </w:r>
      <w:r w:rsidR="00A825E0">
        <w:t>preads</w:t>
      </w:r>
      <w:r>
        <w:t xml:space="preserve"> almost exactly into thirds</w:t>
      </w:r>
      <w:r w:rsidR="00A825E0">
        <w:t xml:space="preserve"> with</w:t>
      </w:r>
      <w:r>
        <w:t xml:space="preserve"> about 33 percent of employees (roughly 9,900 people) </w:t>
      </w:r>
      <w:r w:rsidR="00A825E0">
        <w:t>being</w:t>
      </w:r>
      <w:r>
        <w:t xml:space="preserve"> active, 33 percent sit in a pending state, and 33 percent carrying expired coverage. Th</w:t>
      </w:r>
      <w:r w:rsidR="00A825E0">
        <w:t xml:space="preserve">is does not demonstrate a workforce with </w:t>
      </w:r>
      <w:r w:rsidR="00396357">
        <w:t xml:space="preserve">a little setback in the area of their employee health wellbeing rather </w:t>
      </w:r>
      <w:r>
        <w:t>it is a workforce in which two out of every three employees currently lack active insurance.</w:t>
      </w:r>
    </w:p>
    <w:p w14:paraId="6F7FB9C0" w14:textId="77777777" w:rsidR="00F4509E" w:rsidRDefault="00384877">
      <w:pPr>
        <w:spacing w:after="200" w:line="300" w:lineRule="auto"/>
        <w:jc w:val="both"/>
      </w:pPr>
      <w:r>
        <w:t>The risk is spread across departments rather than concentrated in one function, which points to a systemic gap in the renewal or onboarding process rather than an isolated administrative failure. Medical-leave data in the dataset is useful for capacity planning, but on its own it does not capture employee wellbeing, and expired coverage in particular carries both a compliance exposure under Ghana's labour and health regulations and a practical risk that employees defer care they need, which tends to show up later as absenteeism.</w:t>
      </w:r>
    </w:p>
    <w:p w14:paraId="1205F3EA" w14:textId="77777777" w:rsidR="00F4509E" w:rsidRDefault="00384877">
      <w:pPr>
        <w:spacing w:after="200" w:line="300" w:lineRule="auto"/>
        <w:jc w:val="both"/>
      </w:pPr>
      <w:r>
        <w:lastRenderedPageBreak/>
        <w:t>The recommended action is to automate renewal monitoring, clear the pending backlog as a priority, and broaden workforce-risk tracking beyond insurance status alone to include absence, workload, and wellbeing more generally.</w:t>
      </w:r>
    </w:p>
    <w:p w14:paraId="096B008C" w14:textId="77777777" w:rsidR="00F4509E" w:rsidRDefault="00384877">
      <w:pPr>
        <w:pStyle w:val="Heading1"/>
      </w:pPr>
      <w:r>
        <w:t>8. Data Quality Assessment</w:t>
      </w:r>
    </w:p>
    <w:p w14:paraId="6900B899" w14:textId="77777777" w:rsidR="00F4509E" w:rsidRDefault="00384877">
      <w:pPr>
        <w:spacing w:after="200" w:line="300" w:lineRule="auto"/>
        <w:jc w:val="both"/>
      </w:pPr>
      <w:r>
        <w:t>A few issues</w:t>
      </w:r>
      <w:r w:rsidR="00A85AB1">
        <w:t xml:space="preserve"> were identified during the data cleaning process which is worth noting in order to have quality data for analysis and insights</w:t>
      </w:r>
      <w:r>
        <w:t>. Four employee records share duplicate identifiers, which compromises the uniqueness that the rest of the analysis assumes. Separately, 7,192 employees close to a quarter of the workforce</w:t>
      </w:r>
      <w:r w:rsidR="00A85AB1">
        <w:t xml:space="preserve"> </w:t>
      </w:r>
      <w:r>
        <w:t xml:space="preserve">have a recorded join date that falls before their recorded graduation date, which is not something that can happen in reality and points to a data-entry problem rather than an unusual career path. Age values include at least one entry of -48 and multiple entries of 0, neither of which is </w:t>
      </w:r>
      <w:r w:rsidR="00A85AB1">
        <w:t xml:space="preserve">feasible </w:t>
      </w:r>
      <w:r w:rsidR="00A825E0">
        <w:t>for an employee age.</w:t>
      </w:r>
    </w:p>
    <w:p w14:paraId="5BB6B932" w14:textId="77777777" w:rsidR="00F4509E" w:rsidRDefault="00384877">
      <w:pPr>
        <w:pStyle w:val="ListParagraph"/>
        <w:numPr>
          <w:ilvl w:val="0"/>
          <w:numId w:val="1"/>
        </w:numPr>
        <w:spacing w:after="100" w:line="280" w:lineRule="auto"/>
      </w:pPr>
      <w:r>
        <w:t>4 duplicate employee identifiers.</w:t>
      </w:r>
    </w:p>
    <w:p w14:paraId="0BEB976C" w14:textId="77777777" w:rsidR="00F4509E" w:rsidRDefault="00384877">
      <w:pPr>
        <w:pStyle w:val="ListParagraph"/>
        <w:numPr>
          <w:ilvl w:val="0"/>
          <w:numId w:val="1"/>
        </w:numPr>
        <w:spacing w:after="100" w:line="280" w:lineRule="auto"/>
      </w:pPr>
      <w:r>
        <w:t>7,192 records with a join date earlier than the graduation date.</w:t>
      </w:r>
    </w:p>
    <w:p w14:paraId="681CBF0F" w14:textId="77777777" w:rsidR="00F4509E" w:rsidRDefault="00384877">
      <w:pPr>
        <w:pStyle w:val="ListParagraph"/>
        <w:numPr>
          <w:ilvl w:val="0"/>
          <w:numId w:val="1"/>
        </w:numPr>
        <w:spacing w:after="100" w:line="280" w:lineRule="auto"/>
      </w:pPr>
      <w:r>
        <w:t>Invalid age values, including negative (-48) and zero (0) entries.</w:t>
      </w:r>
    </w:p>
    <w:p w14:paraId="31DA7E76" w14:textId="77777777" w:rsidR="00F4509E" w:rsidRDefault="00384877">
      <w:pPr>
        <w:pStyle w:val="ListParagraph"/>
        <w:numPr>
          <w:ilvl w:val="0"/>
          <w:numId w:val="1"/>
        </w:numPr>
        <w:spacing w:after="100" w:line="280" w:lineRule="auto"/>
      </w:pPr>
      <w:r>
        <w:t>Missing data recurring across several fields.</w:t>
      </w:r>
    </w:p>
    <w:p w14:paraId="263250CE" w14:textId="77777777" w:rsidR="00F4509E" w:rsidRDefault="00384877">
      <w:pPr>
        <w:pStyle w:val="ListParagraph"/>
        <w:numPr>
          <w:ilvl w:val="0"/>
          <w:numId w:val="1"/>
        </w:numPr>
        <w:spacing w:after="100" w:line="280" w:lineRule="auto"/>
      </w:pPr>
      <w:r>
        <w:t>A 0.45 gap between department-level and individual-level performance scores.</w:t>
      </w:r>
    </w:p>
    <w:p w14:paraId="7352C3CD" w14:textId="77777777" w:rsidR="00F4509E" w:rsidRDefault="00A825E0">
      <w:pPr>
        <w:spacing w:after="200" w:line="300" w:lineRule="auto"/>
        <w:jc w:val="both"/>
      </w:pPr>
      <w:r>
        <w:t>Despite these mishaps, none</w:t>
      </w:r>
      <w:r w:rsidR="00384877">
        <w:t xml:space="preserve"> of this invalidates the broader patterns reported elsewhere a correlation of 0.002 is still a correlation of 0.002 whether or not four records are duplicated</w:t>
      </w:r>
      <w:r>
        <w:t xml:space="preserve">. It only implies that </w:t>
      </w:r>
      <w:r w:rsidR="00384877">
        <w:t xml:space="preserve">the dataset </w:t>
      </w:r>
      <w:r>
        <w:t>requires a second look at in areas of</w:t>
      </w:r>
      <w:r w:rsidR="00384877">
        <w:t xml:space="preserve"> deduplication, validation rules on dates and ages, and a reconciliation of how performance is rolled up from the individual to the department level, before the </w:t>
      </w:r>
      <w:r>
        <w:t xml:space="preserve">management relies on it to make informed decision within the organisation. </w:t>
      </w:r>
      <w:r w:rsidR="00384877">
        <w:t xml:space="preserve"> </w:t>
      </w:r>
    </w:p>
    <w:p w14:paraId="492E8EED" w14:textId="77777777" w:rsidR="00F4509E" w:rsidRDefault="00384877">
      <w:pPr>
        <w:pStyle w:val="Heading1"/>
      </w:pPr>
      <w:r>
        <w:t>9. Findings and Recommended Management Actions</w:t>
      </w:r>
    </w:p>
    <w:p w14:paraId="1A2DF2E4" w14:textId="77777777" w:rsidR="00F4509E" w:rsidRDefault="00A85AB1">
      <w:pPr>
        <w:spacing w:after="200" w:line="300" w:lineRule="auto"/>
        <w:jc w:val="both"/>
      </w:pPr>
      <w:r>
        <w:t xml:space="preserve">This is a single </w:t>
      </w:r>
      <w:r w:rsidR="00384877">
        <w:t>decision framework for stakeholders</w:t>
      </w:r>
      <w:r>
        <w:t xml:space="preserve"> comprising of </w:t>
      </w:r>
      <w:r w:rsidR="00384877">
        <w:t xml:space="preserve">the finding, the action </w:t>
      </w:r>
      <w:r>
        <w:t>required</w:t>
      </w:r>
      <w:r w:rsidR="00384877">
        <w:t xml:space="preserve"> and the expected </w:t>
      </w:r>
      <w:r>
        <w:t xml:space="preserve">outcome </w:t>
      </w:r>
      <w:r w:rsidR="00384877">
        <w:t>if that action is taken. Every item below was rated High priority.</w:t>
      </w:r>
    </w:p>
    <w:tbl>
      <w:tblPr>
        <w:tblW w:w="91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200"/>
        <w:gridCol w:w="3200"/>
        <w:gridCol w:w="2760"/>
      </w:tblGrid>
      <w:tr w:rsidR="00F4509E" w14:paraId="16351E6B" w14:textId="77777777">
        <w:trPr>
          <w:tblHeader/>
        </w:trPr>
        <w:tc>
          <w:tcPr>
            <w:tcW w:w="3200" w:type="dxa"/>
            <w:shd w:val="clear" w:color="auto" w:fill="1F2C73"/>
            <w:tcMar>
              <w:top w:w="80" w:type="dxa"/>
              <w:left w:w="120" w:type="dxa"/>
              <w:bottom w:w="80" w:type="dxa"/>
              <w:right w:w="120" w:type="dxa"/>
            </w:tcMar>
            <w:vAlign w:val="center"/>
          </w:tcPr>
          <w:p w14:paraId="6FCBD1AB" w14:textId="77777777" w:rsidR="00F4509E" w:rsidRDefault="00384877">
            <w:pPr>
              <w:jc w:val="center"/>
            </w:pPr>
            <w:r>
              <w:rPr>
                <w:b/>
                <w:bCs/>
                <w:color w:val="FFFFFF"/>
                <w:sz w:val="19"/>
                <w:szCs w:val="19"/>
              </w:rPr>
              <w:t xml:space="preserve">Finding </w:t>
            </w:r>
          </w:p>
        </w:tc>
        <w:tc>
          <w:tcPr>
            <w:tcW w:w="3200" w:type="dxa"/>
            <w:shd w:val="clear" w:color="auto" w:fill="1F2C73"/>
            <w:tcMar>
              <w:top w:w="80" w:type="dxa"/>
              <w:left w:w="120" w:type="dxa"/>
              <w:bottom w:w="80" w:type="dxa"/>
              <w:right w:w="120" w:type="dxa"/>
            </w:tcMar>
            <w:vAlign w:val="center"/>
          </w:tcPr>
          <w:p w14:paraId="793779D7" w14:textId="77777777" w:rsidR="00F4509E" w:rsidRDefault="00384877">
            <w:pPr>
              <w:jc w:val="center"/>
            </w:pPr>
            <w:r>
              <w:rPr>
                <w:b/>
                <w:bCs/>
                <w:color w:val="FFFFFF"/>
                <w:sz w:val="19"/>
                <w:szCs w:val="19"/>
              </w:rPr>
              <w:t>Recommended action</w:t>
            </w:r>
          </w:p>
        </w:tc>
        <w:tc>
          <w:tcPr>
            <w:tcW w:w="2760" w:type="dxa"/>
            <w:shd w:val="clear" w:color="auto" w:fill="1F2C73"/>
            <w:tcMar>
              <w:top w:w="80" w:type="dxa"/>
              <w:left w:w="120" w:type="dxa"/>
              <w:bottom w:w="80" w:type="dxa"/>
              <w:right w:w="120" w:type="dxa"/>
            </w:tcMar>
            <w:vAlign w:val="center"/>
          </w:tcPr>
          <w:p w14:paraId="604A1C86" w14:textId="77777777" w:rsidR="00F4509E" w:rsidRDefault="00384877">
            <w:pPr>
              <w:jc w:val="center"/>
            </w:pPr>
            <w:r>
              <w:rPr>
                <w:b/>
                <w:bCs/>
                <w:color w:val="FFFFFF"/>
                <w:sz w:val="19"/>
                <w:szCs w:val="19"/>
              </w:rPr>
              <w:t xml:space="preserve">Expected </w:t>
            </w:r>
            <w:r w:rsidR="00A85AB1">
              <w:rPr>
                <w:b/>
                <w:bCs/>
                <w:color w:val="FFFFFF"/>
                <w:sz w:val="19"/>
                <w:szCs w:val="19"/>
              </w:rPr>
              <w:t>Outcome</w:t>
            </w:r>
          </w:p>
        </w:tc>
      </w:tr>
      <w:tr w:rsidR="00F4509E" w14:paraId="03263779" w14:textId="77777777">
        <w:tc>
          <w:tcPr>
            <w:tcW w:w="3200" w:type="dxa"/>
            <w:tcMar>
              <w:top w:w="80" w:type="dxa"/>
              <w:left w:w="120" w:type="dxa"/>
              <w:bottom w:w="80" w:type="dxa"/>
              <w:right w:w="120" w:type="dxa"/>
            </w:tcMar>
            <w:vAlign w:val="center"/>
          </w:tcPr>
          <w:p w14:paraId="0EDCAB44" w14:textId="77777777" w:rsidR="00F4509E" w:rsidRDefault="00384877">
            <w:r>
              <w:rPr>
                <w:color w:val="000000"/>
                <w:sz w:val="19"/>
                <w:szCs w:val="19"/>
              </w:rPr>
              <w:t>Workforce is broadly distributed across departments, but departmental margins range from 31.62% to 44.47% and cost growth outpaces revenue in Customer Support and Data &amp; Analytics.</w:t>
            </w:r>
          </w:p>
        </w:tc>
        <w:tc>
          <w:tcPr>
            <w:tcW w:w="3200" w:type="dxa"/>
            <w:tcMar>
              <w:top w:w="80" w:type="dxa"/>
              <w:left w:w="120" w:type="dxa"/>
              <w:bottom w:w="80" w:type="dxa"/>
              <w:right w:w="120" w:type="dxa"/>
            </w:tcMar>
            <w:vAlign w:val="center"/>
          </w:tcPr>
          <w:p w14:paraId="42A3129D" w14:textId="77777777" w:rsidR="00F4509E" w:rsidRDefault="00384877">
            <w:pPr>
              <w:jc w:val="center"/>
            </w:pPr>
            <w:r>
              <w:rPr>
                <w:color w:val="000000"/>
                <w:sz w:val="19"/>
                <w:szCs w:val="19"/>
              </w:rPr>
              <w:t>Align staffing and budgets with workload, cost, and departmental efficiency.</w:t>
            </w:r>
          </w:p>
        </w:tc>
        <w:tc>
          <w:tcPr>
            <w:tcW w:w="2760" w:type="dxa"/>
            <w:tcMar>
              <w:top w:w="80" w:type="dxa"/>
              <w:left w:w="120" w:type="dxa"/>
              <w:bottom w:w="80" w:type="dxa"/>
              <w:right w:w="120" w:type="dxa"/>
            </w:tcMar>
            <w:vAlign w:val="center"/>
          </w:tcPr>
          <w:p w14:paraId="050DF2BF" w14:textId="77777777" w:rsidR="00F4509E" w:rsidRDefault="00384877">
            <w:pPr>
              <w:jc w:val="center"/>
            </w:pPr>
            <w:r>
              <w:rPr>
                <w:color w:val="000000"/>
                <w:sz w:val="19"/>
                <w:szCs w:val="19"/>
              </w:rPr>
              <w:t>Better resource allocation and cost control.</w:t>
            </w:r>
          </w:p>
        </w:tc>
      </w:tr>
      <w:tr w:rsidR="00F4509E" w14:paraId="7D5ECFD9" w14:textId="77777777">
        <w:tc>
          <w:tcPr>
            <w:tcW w:w="3200" w:type="dxa"/>
            <w:shd w:val="clear" w:color="auto" w:fill="F2F4FB"/>
            <w:tcMar>
              <w:top w:w="80" w:type="dxa"/>
              <w:left w:w="120" w:type="dxa"/>
              <w:bottom w:w="80" w:type="dxa"/>
              <w:right w:w="120" w:type="dxa"/>
            </w:tcMar>
            <w:vAlign w:val="center"/>
          </w:tcPr>
          <w:p w14:paraId="6C2AC544" w14:textId="77777777" w:rsidR="00F4509E" w:rsidRDefault="00384877">
            <w:r>
              <w:rPr>
                <w:color w:val="000000"/>
                <w:sz w:val="19"/>
                <w:szCs w:val="19"/>
              </w:rPr>
              <w:t>Education explains only a 0.029-point spread in performance and does not track compensation.</w:t>
            </w:r>
          </w:p>
        </w:tc>
        <w:tc>
          <w:tcPr>
            <w:tcW w:w="3200" w:type="dxa"/>
            <w:shd w:val="clear" w:color="auto" w:fill="F2F4FB"/>
            <w:tcMar>
              <w:top w:w="80" w:type="dxa"/>
              <w:left w:w="120" w:type="dxa"/>
              <w:bottom w:w="80" w:type="dxa"/>
              <w:right w:w="120" w:type="dxa"/>
            </w:tcMar>
            <w:vAlign w:val="center"/>
          </w:tcPr>
          <w:p w14:paraId="3FDEB745" w14:textId="77777777" w:rsidR="00F4509E" w:rsidRDefault="00384877">
            <w:pPr>
              <w:jc w:val="center"/>
            </w:pPr>
            <w:r>
              <w:rPr>
                <w:color w:val="000000"/>
                <w:sz w:val="19"/>
                <w:szCs w:val="19"/>
              </w:rPr>
              <w:t>Use skills, experience, competencies, and performance for hiring, placement, and promotion.</w:t>
            </w:r>
          </w:p>
        </w:tc>
        <w:tc>
          <w:tcPr>
            <w:tcW w:w="2760" w:type="dxa"/>
            <w:shd w:val="clear" w:color="auto" w:fill="F2F4FB"/>
            <w:tcMar>
              <w:top w:w="80" w:type="dxa"/>
              <w:left w:w="120" w:type="dxa"/>
              <w:bottom w:w="80" w:type="dxa"/>
              <w:right w:w="120" w:type="dxa"/>
            </w:tcMar>
            <w:vAlign w:val="center"/>
          </w:tcPr>
          <w:p w14:paraId="5E299C52" w14:textId="77777777" w:rsidR="00F4509E" w:rsidRDefault="00384877">
            <w:pPr>
              <w:jc w:val="center"/>
            </w:pPr>
            <w:r>
              <w:rPr>
                <w:color w:val="000000"/>
                <w:sz w:val="19"/>
                <w:szCs w:val="19"/>
              </w:rPr>
              <w:t>Better talent-role fit and stronger hiring decisions.</w:t>
            </w:r>
          </w:p>
        </w:tc>
      </w:tr>
      <w:tr w:rsidR="00F4509E" w14:paraId="7F0E8822" w14:textId="77777777">
        <w:tc>
          <w:tcPr>
            <w:tcW w:w="3200" w:type="dxa"/>
            <w:tcMar>
              <w:top w:w="80" w:type="dxa"/>
              <w:left w:w="120" w:type="dxa"/>
              <w:bottom w:w="80" w:type="dxa"/>
              <w:right w:w="120" w:type="dxa"/>
            </w:tcMar>
            <w:vAlign w:val="center"/>
          </w:tcPr>
          <w:p w14:paraId="3958C4C6" w14:textId="77777777" w:rsidR="00F4509E" w:rsidRDefault="00384877">
            <w:r>
              <w:rPr>
                <w:color w:val="000000"/>
                <w:sz w:val="19"/>
                <w:szCs w:val="19"/>
              </w:rPr>
              <w:lastRenderedPageBreak/>
              <w:t>Performance has held at 3.60 for five straight years; training hours, attendance, and project counts all correlate with performance at essentially zero (r = 0.002, -0.001, -0.004).</w:t>
            </w:r>
          </w:p>
        </w:tc>
        <w:tc>
          <w:tcPr>
            <w:tcW w:w="3200" w:type="dxa"/>
            <w:tcMar>
              <w:top w:w="80" w:type="dxa"/>
              <w:left w:w="120" w:type="dxa"/>
              <w:bottom w:w="80" w:type="dxa"/>
              <w:right w:w="120" w:type="dxa"/>
            </w:tcMar>
            <w:vAlign w:val="center"/>
          </w:tcPr>
          <w:p w14:paraId="1D81AD09" w14:textId="77777777" w:rsidR="00F4509E" w:rsidRDefault="00384877">
            <w:pPr>
              <w:jc w:val="center"/>
            </w:pPr>
            <w:r>
              <w:rPr>
                <w:color w:val="000000"/>
                <w:sz w:val="19"/>
                <w:szCs w:val="19"/>
              </w:rPr>
              <w:t>Measure training outcomes and skill improvement, not hours alone.</w:t>
            </w:r>
          </w:p>
        </w:tc>
        <w:tc>
          <w:tcPr>
            <w:tcW w:w="2760" w:type="dxa"/>
            <w:tcMar>
              <w:top w:w="80" w:type="dxa"/>
              <w:left w:w="120" w:type="dxa"/>
              <w:bottom w:w="80" w:type="dxa"/>
              <w:right w:w="120" w:type="dxa"/>
            </w:tcMar>
            <w:vAlign w:val="center"/>
          </w:tcPr>
          <w:p w14:paraId="12D7E23A" w14:textId="77777777" w:rsidR="00F4509E" w:rsidRDefault="00384877">
            <w:pPr>
              <w:jc w:val="center"/>
            </w:pPr>
            <w:r>
              <w:rPr>
                <w:color w:val="000000"/>
                <w:sz w:val="19"/>
                <w:szCs w:val="19"/>
              </w:rPr>
              <w:t>More effective training investment and improved productivity.</w:t>
            </w:r>
          </w:p>
        </w:tc>
      </w:tr>
      <w:tr w:rsidR="00F4509E" w14:paraId="148F55E2" w14:textId="77777777">
        <w:tc>
          <w:tcPr>
            <w:tcW w:w="3200" w:type="dxa"/>
            <w:shd w:val="clear" w:color="auto" w:fill="F2F4FB"/>
            <w:tcMar>
              <w:top w:w="80" w:type="dxa"/>
              <w:left w:w="120" w:type="dxa"/>
              <w:bottom w:w="80" w:type="dxa"/>
              <w:right w:w="120" w:type="dxa"/>
            </w:tcMar>
            <w:vAlign w:val="center"/>
          </w:tcPr>
          <w:p w14:paraId="6B8981FA" w14:textId="77777777" w:rsidR="00F4509E" w:rsidRDefault="00384877">
            <w:r>
              <w:rPr>
                <w:color w:val="000000"/>
                <w:sz w:val="19"/>
                <w:szCs w:val="19"/>
              </w:rPr>
              <w:t>A third of insurance records are Pending and a third are Expired.</w:t>
            </w:r>
          </w:p>
        </w:tc>
        <w:tc>
          <w:tcPr>
            <w:tcW w:w="3200" w:type="dxa"/>
            <w:shd w:val="clear" w:color="auto" w:fill="F2F4FB"/>
            <w:tcMar>
              <w:top w:w="80" w:type="dxa"/>
              <w:left w:w="120" w:type="dxa"/>
              <w:bottom w:w="80" w:type="dxa"/>
              <w:right w:w="120" w:type="dxa"/>
            </w:tcMar>
            <w:vAlign w:val="center"/>
          </w:tcPr>
          <w:p w14:paraId="154C36F4" w14:textId="77777777" w:rsidR="00F4509E" w:rsidRDefault="00384877">
            <w:pPr>
              <w:jc w:val="center"/>
            </w:pPr>
            <w:r>
              <w:rPr>
                <w:color w:val="000000"/>
                <w:sz w:val="19"/>
                <w:szCs w:val="19"/>
              </w:rPr>
              <w:t>Strengthen insurance monitoring and renewal processes.</w:t>
            </w:r>
          </w:p>
        </w:tc>
        <w:tc>
          <w:tcPr>
            <w:tcW w:w="2760" w:type="dxa"/>
            <w:shd w:val="clear" w:color="auto" w:fill="F2F4FB"/>
            <w:tcMar>
              <w:top w:w="80" w:type="dxa"/>
              <w:left w:w="120" w:type="dxa"/>
              <w:bottom w:w="80" w:type="dxa"/>
              <w:right w:w="120" w:type="dxa"/>
            </w:tcMar>
            <w:vAlign w:val="center"/>
          </w:tcPr>
          <w:p w14:paraId="27E4EE1B" w14:textId="77777777" w:rsidR="00F4509E" w:rsidRDefault="00384877">
            <w:pPr>
              <w:jc w:val="center"/>
            </w:pPr>
            <w:r>
              <w:rPr>
                <w:color w:val="000000"/>
                <w:sz w:val="19"/>
                <w:szCs w:val="19"/>
              </w:rPr>
              <w:t>Reduced workforce risk and improved benefits management.</w:t>
            </w:r>
          </w:p>
        </w:tc>
      </w:tr>
      <w:tr w:rsidR="00F4509E" w14:paraId="709D23CE" w14:textId="77777777">
        <w:tc>
          <w:tcPr>
            <w:tcW w:w="3200" w:type="dxa"/>
            <w:tcMar>
              <w:top w:w="80" w:type="dxa"/>
              <w:left w:w="120" w:type="dxa"/>
              <w:bottom w:w="80" w:type="dxa"/>
              <w:right w:w="120" w:type="dxa"/>
            </w:tcMar>
            <w:vAlign w:val="center"/>
          </w:tcPr>
          <w:p w14:paraId="59DE6AEF" w14:textId="77777777" w:rsidR="00F4509E" w:rsidRDefault="00384877">
            <w:r>
              <w:rPr>
                <w:color w:val="000000"/>
                <w:sz w:val="19"/>
                <w:szCs w:val="19"/>
              </w:rPr>
              <w:t>Revenue grew 27.6% (2021–2025) but cumulative five-year cost ($65.51M) exceeds cumulative contribution ($38.56M) across departments.</w:t>
            </w:r>
          </w:p>
        </w:tc>
        <w:tc>
          <w:tcPr>
            <w:tcW w:w="3200" w:type="dxa"/>
            <w:tcMar>
              <w:top w:w="80" w:type="dxa"/>
              <w:left w:w="120" w:type="dxa"/>
              <w:bottom w:w="80" w:type="dxa"/>
              <w:right w:w="120" w:type="dxa"/>
            </w:tcMar>
            <w:vAlign w:val="center"/>
          </w:tcPr>
          <w:p w14:paraId="44B936A1" w14:textId="77777777" w:rsidR="00F4509E" w:rsidRDefault="00384877">
            <w:pPr>
              <w:jc w:val="center"/>
            </w:pPr>
            <w:r>
              <w:rPr>
                <w:color w:val="000000"/>
                <w:sz w:val="19"/>
                <w:szCs w:val="19"/>
              </w:rPr>
              <w:t xml:space="preserve">Use financial-efficiency KPIs </w:t>
            </w:r>
            <w:r w:rsidR="00A85AB1">
              <w:rPr>
                <w:color w:val="000000"/>
                <w:sz w:val="19"/>
                <w:szCs w:val="19"/>
              </w:rPr>
              <w:t xml:space="preserve">such as </w:t>
            </w:r>
            <w:r>
              <w:rPr>
                <w:color w:val="000000"/>
                <w:sz w:val="19"/>
                <w:szCs w:val="19"/>
              </w:rPr>
              <w:t>net contribution, revenue-to-cost ratio for planning and budgeting.</w:t>
            </w:r>
          </w:p>
        </w:tc>
        <w:tc>
          <w:tcPr>
            <w:tcW w:w="2760" w:type="dxa"/>
            <w:tcMar>
              <w:top w:w="80" w:type="dxa"/>
              <w:left w:w="120" w:type="dxa"/>
              <w:bottom w:w="80" w:type="dxa"/>
              <w:right w:w="120" w:type="dxa"/>
            </w:tcMar>
            <w:vAlign w:val="center"/>
          </w:tcPr>
          <w:p w14:paraId="1071963C" w14:textId="77777777" w:rsidR="00F4509E" w:rsidRDefault="00384877">
            <w:pPr>
              <w:jc w:val="center"/>
            </w:pPr>
            <w:r>
              <w:rPr>
                <w:color w:val="000000"/>
                <w:sz w:val="19"/>
                <w:szCs w:val="19"/>
              </w:rPr>
              <w:t>Improved budgeting and departmental cost efficiency.</w:t>
            </w:r>
          </w:p>
        </w:tc>
      </w:tr>
      <w:tr w:rsidR="00F4509E" w14:paraId="6292C347" w14:textId="77777777">
        <w:tc>
          <w:tcPr>
            <w:tcW w:w="3200" w:type="dxa"/>
            <w:shd w:val="clear" w:color="auto" w:fill="F2F4FB"/>
            <w:tcMar>
              <w:top w:w="80" w:type="dxa"/>
              <w:left w:w="120" w:type="dxa"/>
              <w:bottom w:w="80" w:type="dxa"/>
              <w:right w:w="120" w:type="dxa"/>
            </w:tcMar>
            <w:vAlign w:val="center"/>
          </w:tcPr>
          <w:p w14:paraId="577395E3" w14:textId="77777777" w:rsidR="00F4509E" w:rsidRDefault="00384877">
            <w:r>
              <w:rPr>
                <w:color w:val="000000"/>
                <w:sz w:val="19"/>
                <w:szCs w:val="19"/>
              </w:rPr>
              <w:t>Duplicate IDs, invalid dates, invalid ages, and a 0.45-point department/individual performance gap were found in the data.</w:t>
            </w:r>
          </w:p>
        </w:tc>
        <w:tc>
          <w:tcPr>
            <w:tcW w:w="3200" w:type="dxa"/>
            <w:shd w:val="clear" w:color="auto" w:fill="F2F4FB"/>
            <w:tcMar>
              <w:top w:w="80" w:type="dxa"/>
              <w:left w:w="120" w:type="dxa"/>
              <w:bottom w:w="80" w:type="dxa"/>
              <w:right w:w="120" w:type="dxa"/>
            </w:tcMar>
            <w:vAlign w:val="center"/>
          </w:tcPr>
          <w:p w14:paraId="084A0FA4" w14:textId="77777777" w:rsidR="00F4509E" w:rsidRDefault="00384877">
            <w:pPr>
              <w:jc w:val="center"/>
            </w:pPr>
            <w:r>
              <w:rPr>
                <w:color w:val="000000"/>
                <w:sz w:val="19"/>
                <w:szCs w:val="19"/>
              </w:rPr>
              <w:t>Improve data quality and governance, and prepare data for predictive modelling.</w:t>
            </w:r>
          </w:p>
        </w:tc>
        <w:tc>
          <w:tcPr>
            <w:tcW w:w="2760" w:type="dxa"/>
            <w:shd w:val="clear" w:color="auto" w:fill="F2F4FB"/>
            <w:tcMar>
              <w:top w:w="80" w:type="dxa"/>
              <w:left w:w="120" w:type="dxa"/>
              <w:bottom w:w="80" w:type="dxa"/>
              <w:right w:w="120" w:type="dxa"/>
            </w:tcMar>
            <w:vAlign w:val="center"/>
          </w:tcPr>
          <w:p w14:paraId="1C46C8D1" w14:textId="77777777" w:rsidR="00F4509E" w:rsidRDefault="00384877">
            <w:pPr>
              <w:jc w:val="center"/>
            </w:pPr>
            <w:r>
              <w:rPr>
                <w:color w:val="000000"/>
                <w:sz w:val="19"/>
                <w:szCs w:val="19"/>
              </w:rPr>
              <w:t>Reliable decision-making and readiness for future forecasting.</w:t>
            </w:r>
          </w:p>
        </w:tc>
      </w:tr>
    </w:tbl>
    <w:p w14:paraId="335A7454" w14:textId="77777777" w:rsidR="00F4509E" w:rsidRDefault="00384877">
      <w:pPr>
        <w:spacing w:before="80" w:after="260"/>
        <w:jc w:val="center"/>
      </w:pPr>
      <w:r>
        <w:rPr>
          <w:i/>
          <w:iCs/>
          <w:color w:val="595959"/>
          <w:sz w:val="18"/>
          <w:szCs w:val="18"/>
        </w:rPr>
        <w:t>Table 8. Consolidated findings, recommended actions, and expected impact.</w:t>
      </w:r>
    </w:p>
    <w:p w14:paraId="302D85D2" w14:textId="77777777" w:rsidR="00F4509E" w:rsidRDefault="00384877">
      <w:pPr>
        <w:pStyle w:val="Heading1"/>
      </w:pPr>
      <w:r>
        <w:t>10. Conclusion and Next Steps</w:t>
      </w:r>
    </w:p>
    <w:p w14:paraId="5D7391D1" w14:textId="77777777" w:rsidR="00F4509E" w:rsidRDefault="00384877">
      <w:pPr>
        <w:spacing w:after="200" w:line="300" w:lineRule="auto"/>
        <w:jc w:val="both"/>
      </w:pPr>
      <w:r>
        <w:t>T</w:t>
      </w:r>
      <w:r w:rsidR="00B87D6A">
        <w:t>o conclude</w:t>
      </w:r>
      <w:r>
        <w:t>, the numbers describe a</w:t>
      </w:r>
      <w:r w:rsidR="00B87D6A">
        <w:t xml:space="preserve"> fast growing</w:t>
      </w:r>
      <w:r>
        <w:t xml:space="preserve"> organisation </w:t>
      </w:r>
      <w:r w:rsidR="00B87D6A">
        <w:t>by a</w:t>
      </w:r>
      <w:r>
        <w:t xml:space="preserve"> revenue </w:t>
      </w:r>
      <w:r w:rsidR="00B87D6A">
        <w:t xml:space="preserve">of </w:t>
      </w:r>
      <w:r>
        <w:t>up 27.6 percent over five years</w:t>
      </w:r>
      <w:r w:rsidR="00B87D6A">
        <w:t>.</w:t>
      </w:r>
      <w:r>
        <w:t xml:space="preserve"> </w:t>
      </w:r>
      <w:r w:rsidR="00B87D6A">
        <w:t>However, it is difficult to tell why</w:t>
      </w:r>
      <w:r>
        <w:t>. Performance scores that never move, pay that barely varies, training investment with no measurable payoff, and two support functions whose costs are quietly outrunning the revenue they generate</w:t>
      </w:r>
      <w:r w:rsidR="00B87D6A">
        <w:t xml:space="preserve">. </w:t>
      </w:r>
      <w:r>
        <w:t>They require better measurement, mostly, and closer attention to a handful of departments and a third of the workforce whose insurance and status records currently sit outside what a healthy operation should tolerate.</w:t>
      </w:r>
    </w:p>
    <w:p w14:paraId="35ADF889" w14:textId="77777777" w:rsidR="00F4509E" w:rsidRDefault="00384877">
      <w:pPr>
        <w:spacing w:after="200" w:line="300" w:lineRule="auto"/>
        <w:jc w:val="both"/>
      </w:pPr>
      <w:r>
        <w:t xml:space="preserve">Group 12's own recommended next step is to strengthen data quality and expand what is tracked </w:t>
      </w:r>
      <w:r w:rsidR="00B87D6A">
        <w:t xml:space="preserve">thus </w:t>
      </w:r>
      <w:r>
        <w:t>skills, employee movement, workforce risk</w:t>
      </w:r>
      <w:r w:rsidR="00A85AB1">
        <w:t xml:space="preserve"> </w:t>
      </w:r>
      <w:r>
        <w:t>specifically to support predictive analytics going forward, including attrition forecasting. The framing the team used to close the presentation captures the intent well: moving from workforce data to workforce intelligence, so that talent, cost, and risk decisions are made on evidence rather than assumption.</w:t>
      </w:r>
    </w:p>
    <w:sectPr w:rsidR="00F4509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51725" w14:textId="77777777" w:rsidR="004E73D7" w:rsidRDefault="004E73D7">
      <w:r>
        <w:separator/>
      </w:r>
    </w:p>
  </w:endnote>
  <w:endnote w:type="continuationSeparator" w:id="0">
    <w:p w14:paraId="3241F424" w14:textId="77777777" w:rsidR="004E73D7" w:rsidRDefault="004E7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6C956" w14:textId="77777777" w:rsidR="00F4509E" w:rsidRDefault="00384877">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87D6A">
      <w:rPr>
        <w:noProof/>
        <w:color w:val="595959"/>
        <w:sz w:val="18"/>
        <w:szCs w:val="18"/>
      </w:rPr>
      <w:t>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6EAD8" w14:textId="77777777" w:rsidR="004E73D7" w:rsidRDefault="004E73D7">
      <w:r>
        <w:separator/>
      </w:r>
    </w:p>
  </w:footnote>
  <w:footnote w:type="continuationSeparator" w:id="0">
    <w:p w14:paraId="4135BA5F" w14:textId="77777777" w:rsidR="004E73D7" w:rsidRDefault="004E7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E56C0" w14:textId="77777777" w:rsidR="00F4509E" w:rsidRDefault="00384877">
    <w:pPr>
      <w:jc w:val="right"/>
    </w:pPr>
    <w:r>
      <w:rPr>
        <w:color w:val="595959"/>
        <w:sz w:val="16"/>
        <w:szCs w:val="16"/>
      </w:rPr>
      <w:t>Roblox Africa — Management Analytics &amp; Decision Support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A26B7"/>
    <w:multiLevelType w:val="hybridMultilevel"/>
    <w:tmpl w:val="D26E5098"/>
    <w:lvl w:ilvl="0" w:tplc="5D8C5CD4">
      <w:start w:val="1"/>
      <w:numFmt w:val="bullet"/>
      <w:lvlText w:val="●"/>
      <w:lvlJc w:val="left"/>
      <w:pPr>
        <w:ind w:left="720" w:hanging="360"/>
      </w:pPr>
    </w:lvl>
    <w:lvl w:ilvl="1" w:tplc="8ED863FC">
      <w:start w:val="1"/>
      <w:numFmt w:val="bullet"/>
      <w:lvlText w:val="○"/>
      <w:lvlJc w:val="left"/>
      <w:pPr>
        <w:ind w:left="1440" w:hanging="360"/>
      </w:pPr>
    </w:lvl>
    <w:lvl w:ilvl="2" w:tplc="2AF665B0">
      <w:start w:val="1"/>
      <w:numFmt w:val="bullet"/>
      <w:lvlText w:val="■"/>
      <w:lvlJc w:val="left"/>
      <w:pPr>
        <w:ind w:left="2160" w:hanging="360"/>
      </w:pPr>
    </w:lvl>
    <w:lvl w:ilvl="3" w:tplc="AA4CB8D0">
      <w:start w:val="1"/>
      <w:numFmt w:val="bullet"/>
      <w:lvlText w:val="●"/>
      <w:lvlJc w:val="left"/>
      <w:pPr>
        <w:ind w:left="2880" w:hanging="360"/>
      </w:pPr>
    </w:lvl>
    <w:lvl w:ilvl="4" w:tplc="A2FC37F2">
      <w:start w:val="1"/>
      <w:numFmt w:val="bullet"/>
      <w:lvlText w:val="○"/>
      <w:lvlJc w:val="left"/>
      <w:pPr>
        <w:ind w:left="3600" w:hanging="360"/>
      </w:pPr>
    </w:lvl>
    <w:lvl w:ilvl="5" w:tplc="A22E2FCE">
      <w:start w:val="1"/>
      <w:numFmt w:val="bullet"/>
      <w:lvlText w:val="■"/>
      <w:lvlJc w:val="left"/>
      <w:pPr>
        <w:ind w:left="4320" w:hanging="360"/>
      </w:pPr>
    </w:lvl>
    <w:lvl w:ilvl="6" w:tplc="4910775E">
      <w:start w:val="1"/>
      <w:numFmt w:val="bullet"/>
      <w:lvlText w:val="●"/>
      <w:lvlJc w:val="left"/>
      <w:pPr>
        <w:ind w:left="5040" w:hanging="360"/>
      </w:pPr>
    </w:lvl>
    <w:lvl w:ilvl="7" w:tplc="ECBA4220">
      <w:start w:val="1"/>
      <w:numFmt w:val="bullet"/>
      <w:lvlText w:val="●"/>
      <w:lvlJc w:val="left"/>
      <w:pPr>
        <w:ind w:left="5760" w:hanging="360"/>
      </w:pPr>
    </w:lvl>
    <w:lvl w:ilvl="8" w:tplc="35A45DD0">
      <w:start w:val="1"/>
      <w:numFmt w:val="bullet"/>
      <w:lvlText w:val="●"/>
      <w:lvlJc w:val="left"/>
      <w:pPr>
        <w:ind w:left="6480" w:hanging="360"/>
      </w:pPr>
    </w:lvl>
  </w:abstractNum>
  <w:num w:numId="1" w16cid:durableId="467744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09E"/>
    <w:rsid w:val="00384877"/>
    <w:rsid w:val="00396357"/>
    <w:rsid w:val="004D7075"/>
    <w:rsid w:val="004E73D7"/>
    <w:rsid w:val="00A825E0"/>
    <w:rsid w:val="00A85AB1"/>
    <w:rsid w:val="00B87D6A"/>
    <w:rsid w:val="00BF7E4F"/>
    <w:rsid w:val="00C564CA"/>
    <w:rsid w:val="00F17B8F"/>
    <w:rsid w:val="00F4509E"/>
    <w:rsid w:val="00FA4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AFBF8"/>
  <w15:docId w15:val="{96F049F4-BFEF-4509-8C69-5FA7E147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2C73"/>
      <w:sz w:val="30"/>
      <w:szCs w:val="30"/>
    </w:rPr>
  </w:style>
  <w:style w:type="paragraph" w:styleId="Heading2">
    <w:name w:val="heading 2"/>
    <w:uiPriority w:val="9"/>
    <w:semiHidden/>
    <w:unhideWhenUsed/>
    <w:qFormat/>
    <w:pPr>
      <w:keepNext/>
      <w:spacing w:before="260" w:after="120"/>
      <w:outlineLvl w:val="1"/>
    </w:pPr>
    <w:rPr>
      <w:b/>
      <w:bCs/>
      <w:color w:val="3355D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6357"/>
    <w:pPr>
      <w:tabs>
        <w:tab w:val="center" w:pos="4680"/>
        <w:tab w:val="right" w:pos="9360"/>
      </w:tabs>
    </w:pPr>
  </w:style>
  <w:style w:type="character" w:customStyle="1" w:styleId="HeaderChar">
    <w:name w:val="Header Char"/>
    <w:basedOn w:val="DefaultParagraphFont"/>
    <w:link w:val="Header"/>
    <w:uiPriority w:val="99"/>
    <w:rsid w:val="00396357"/>
  </w:style>
  <w:style w:type="paragraph" w:styleId="Footer">
    <w:name w:val="footer"/>
    <w:basedOn w:val="Normal"/>
    <w:link w:val="FooterChar"/>
    <w:uiPriority w:val="99"/>
    <w:unhideWhenUsed/>
    <w:rsid w:val="00396357"/>
    <w:pPr>
      <w:tabs>
        <w:tab w:val="center" w:pos="4680"/>
        <w:tab w:val="right" w:pos="9360"/>
      </w:tabs>
    </w:pPr>
  </w:style>
  <w:style w:type="character" w:customStyle="1" w:styleId="FooterChar">
    <w:name w:val="Footer Char"/>
    <w:basedOn w:val="DefaultParagraphFont"/>
    <w:link w:val="Footer"/>
    <w:uiPriority w:val="99"/>
    <w:rsid w:val="003963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10</Pages>
  <Words>2661</Words>
  <Characters>15171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manan</cp:lastModifiedBy>
  <cp:revision>5</cp:revision>
  <dcterms:created xsi:type="dcterms:W3CDTF">2026-08-09T21:06:00Z</dcterms:created>
  <dcterms:modified xsi:type="dcterms:W3CDTF">2026-09-10T09:16:00Z</dcterms:modified>
</cp:coreProperties>
</file>