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480"/>
        <w:jc w:val="center"/>
      </w:pPr>
      <w:r>
        <w:rPr>
          <w:rFonts w:ascii="Times New Roman" w:cs="Times New Roman" w:eastAsia="Times New Roman" w:hAnsi="Times New Roman"/>
          <w:b/>
          <w:bCs/>
          <w:sz w:val="32"/>
          <w:szCs w:val="32"/>
        </w:rPr>
        <w:t xml:space="preserve">CHAPTER V: DISCUSSION AND CONCLUSION</w:t>
      </w:r>
    </w:p>
    <w:p>
      <w:pPr>
        <w:spacing w:after="200" w:line="480"/>
        <w:jc w:val="center"/>
      </w:pPr>
      <w:r>
        <w:rPr>
          <w:rFonts w:ascii="Times New Roman" w:cs="Times New Roman" w:eastAsia="Times New Roman" w:hAnsi="Times New Roman"/>
          <w:i/>
          <w:iCs/>
          <w:sz w:val="24"/>
          <w:szCs w:val="24"/>
        </w:rPr>
        <w:t xml:space="preserve">(Mobile and Web Development based FYPs)</w:t>
      </w:r>
    </w:p>
    <w:p>
      <w:pPr>
        <w:spacing w:after="200" w:line="480"/>
        <w:jc w:val="left"/>
      </w:pPr>
      <w:r>
        <w:rPr>
          <w:rFonts w:ascii="Times New Roman" w:cs="Times New Roman" w:eastAsia="Times New Roman" w:hAnsi="Times New Roman"/>
          <w:b w:val="false"/>
          <w:bCs w:val="false"/>
          <w:i w:val="false"/>
          <w:iCs w:val="false"/>
          <w:sz w:val="24"/>
          <w:szCs w:val="24"/>
        </w:rPr>
        <w:t xml:space="preserve">Project Title: Design and Implementation of a Web-Based Research Management System for Jamhuriya University</w:t>
      </w:r>
    </w:p>
    <w:p>
      <w:pPr>
        <w:spacing w:after="200" w:line="480"/>
        <w:jc w:val="left"/>
      </w:pPr>
      <w:r>
        <w:rPr>
          <w:rFonts w:ascii="Times New Roman" w:cs="Times New Roman" w:eastAsia="Times New Roman" w:hAnsi="Times New Roman"/>
          <w:b w:val="false"/>
          <w:bCs w:val="false"/>
          <w:i w:val="false"/>
          <w:iCs w:val="false"/>
          <w:sz w:val="24"/>
          <w:szCs w:val="24"/>
        </w:rPr>
        <w:t xml:space="preserve">Specialization: Computer Applications (Mobile and Web based FYP)</w:t>
      </w:r>
    </w:p>
    <w:p>
      <w:pPr>
        <w:spacing w:after="200" w:line="480"/>
        <w:jc w:val="left"/>
      </w:pPr>
      <w:r>
        <w:rPr>
          <w:rFonts w:ascii="Times New Roman" w:cs="Times New Roman" w:eastAsia="Times New Roman" w:hAnsi="Times New Roman"/>
          <w:b w:val="false"/>
          <w:bCs w:val="false"/>
          <w:i w:val="false"/>
          <w:iCs w:val="false"/>
          <w:sz w:val="24"/>
          <w:szCs w:val="24"/>
        </w:rPr>
        <w:t xml:space="preserve">Faculty: Faculty of Computer and Information Technology</w:t>
      </w:r>
    </w:p>
    <w:p>
      <w:pPr>
        <w:spacing w:after="200" w:line="480"/>
        <w:jc w:val="left"/>
      </w:pPr>
      <w:r>
        <w:rPr>
          <w:rFonts w:ascii="Times New Roman" w:cs="Times New Roman" w:eastAsia="Times New Roman" w:hAnsi="Times New Roman"/>
          <w:b w:val="false"/>
          <w:bCs w:val="false"/>
          <w:i w:val="false"/>
          <w:iCs w:val="false"/>
          <w:sz w:val="24"/>
          <w:szCs w:val="24"/>
        </w:rPr>
        <w:t xml:space="preserve">University: Jamhuriya University of Science and Technology (JUST)</w:t>
      </w:r>
    </w:p>
    <w:p>
      <w:pPr>
        <w:pStyle w:val="Heading1"/>
        <w:spacing w:after="200" w:before="360" w:line="480"/>
      </w:pPr>
      <w:r>
        <w:rPr>
          <w:rFonts w:ascii="Times New Roman" w:cs="Times New Roman" w:eastAsia="Times New Roman" w:hAnsi="Times New Roman"/>
          <w:b/>
          <w:bCs/>
          <w:sz w:val="28"/>
          <w:szCs w:val="28"/>
        </w:rPr>
        <w:t xml:space="preserve">5.1 Introduction</w:t>
      </w:r>
    </w:p>
    <w:p>
      <w:pPr>
        <w:spacing w:after="200" w:line="480"/>
        <w:jc w:val="both"/>
      </w:pPr>
      <w:r>
        <w:rPr>
          <w:rFonts w:ascii="Times New Roman" w:cs="Times New Roman" w:eastAsia="Times New Roman" w:hAnsi="Times New Roman"/>
          <w:b w:val="false"/>
          <w:bCs w:val="false"/>
          <w:i w:val="false"/>
          <w:iCs w:val="false"/>
          <w:sz w:val="24"/>
          <w:szCs w:val="24"/>
        </w:rPr>
        <w:t xml:space="preserve">This chapter interprets the implementation results of the Jamhuriya Research Management System (JUST RMS), evaluates achievement of the research objectives, compares the work with related systems and local practice, states limitations, and recommends future improvements. It closes the Mobile and Web based Final Year Project report for the Computer Applications specialization.</w:t>
      </w:r>
    </w:p>
    <w:p>
      <w:pPr>
        <w:spacing w:after="200" w:line="480"/>
        <w:jc w:val="both"/>
      </w:pPr>
      <w:r>
        <w:rPr>
          <w:rFonts w:ascii="Times New Roman" w:cs="Times New Roman" w:eastAsia="Times New Roman" w:hAnsi="Times New Roman"/>
          <w:b w:val="false"/>
          <w:bCs w:val="false"/>
          <w:i w:val="false"/>
          <w:iCs w:val="false"/>
          <w:sz w:val="24"/>
          <w:szCs w:val="24"/>
        </w:rPr>
        <w:t xml:space="preserve">The discussion draws on the working MERN stack application documented in Chapter IV (implementation screenshots, functional tests, API design, and security controls). Chapter V therefore focuses on meaning, contribution, and next steps rather than repeating interface descriptions.</w:t>
      </w:r>
    </w:p>
    <w:p>
      <w:pPr>
        <w:pStyle w:val="Heading1"/>
        <w:spacing w:after="200" w:before="360" w:line="480"/>
      </w:pPr>
      <w:r>
        <w:rPr>
          <w:rFonts w:ascii="Times New Roman" w:cs="Times New Roman" w:eastAsia="Times New Roman" w:hAnsi="Times New Roman"/>
          <w:b/>
          <w:bCs/>
          <w:sz w:val="28"/>
          <w:szCs w:val="28"/>
        </w:rPr>
        <w:t xml:space="preserve">5.2 Discussion</w:t>
      </w:r>
    </w:p>
    <w:p>
      <w:pPr>
        <w:spacing w:after="200" w:line="480"/>
        <w:jc w:val="both"/>
      </w:pPr>
      <w:r>
        <w:rPr>
          <w:rFonts w:ascii="Times New Roman" w:cs="Times New Roman" w:eastAsia="Times New Roman" w:hAnsi="Times New Roman"/>
          <w:b w:val="false"/>
          <w:bCs w:val="false"/>
          <w:i w:val="false"/>
          <w:iCs w:val="false"/>
          <w:sz w:val="24"/>
          <w:szCs w:val="24"/>
        </w:rPr>
        <w:t xml:space="preserve">The implemented system demonstrates that a single web platform can replace fragmented paper and spreadsheet research administration for Jamhuriya University. Automation of project creation after proposal approval and structured finance workflows (grant authorization, purchase orders, and payments) reduces manual hand-offs and improves transparency for Directors, Coordinators, Finance officers, and researchers.</w:t>
      </w:r>
    </w:p>
    <w:p>
      <w:pPr>
        <w:spacing w:after="200" w:line="480"/>
        <w:jc w:val="both"/>
      </w:pPr>
      <w:r>
        <w:rPr>
          <w:rFonts w:ascii="Times New Roman" w:cs="Times New Roman" w:eastAsia="Times New Roman" w:hAnsi="Times New Roman"/>
          <w:b w:val="false"/>
          <w:bCs w:val="false"/>
          <w:i w:val="false"/>
          <w:iCs w:val="false"/>
          <w:sz w:val="24"/>
          <w:szCs w:val="24"/>
        </w:rPr>
        <w:t xml:space="preserve">Thesis supervision support (title workflow, chapter progress, meetings, and final manuscript upload in PDF or Word) extends the RMS beyond funded faculty research into undergraduate FYP group management. This aligns with Faculty of Computer and Information Technology practice, where supervisors and faculty coordinators must track student groups through title acceptance and final document submission.</w:t>
      </w:r>
    </w:p>
    <w:p>
      <w:pPr>
        <w:spacing w:after="200" w:line="480"/>
        <w:jc w:val="both"/>
      </w:pPr>
      <w:r>
        <w:rPr>
          <w:rFonts w:ascii="Times New Roman" w:cs="Times New Roman" w:eastAsia="Times New Roman" w:hAnsi="Times New Roman"/>
          <w:b w:val="false"/>
          <w:bCs w:val="false"/>
          <w:i w:val="false"/>
          <w:iCs w:val="false"/>
          <w:sz w:val="24"/>
          <w:szCs w:val="24"/>
        </w:rPr>
        <w:t xml:space="preserve">User-interface consistency (navy and sky theme, shared status badges, and role-filtered menus) improved clarity during testing. Removing unused HR Officer and Donor Agency logins reduced confusion and matched the institutional decision that the Research Director owns former HR visibility and external funding or donor reporting duties, while Finance owns purchase-order review.</w:t>
      </w:r>
    </w:p>
    <w:p>
      <w:pPr>
        <w:spacing w:after="200" w:line="480"/>
        <w:jc w:val="both"/>
      </w:pPr>
      <w:r>
        <w:rPr>
          <w:rFonts w:ascii="Times New Roman" w:cs="Times New Roman" w:eastAsia="Times New Roman" w:hAnsi="Times New Roman"/>
          <w:b w:val="false"/>
          <w:bCs w:val="false"/>
          <w:i w:val="false"/>
          <w:iCs w:val="false"/>
          <w:sz w:val="24"/>
          <w:szCs w:val="24"/>
        </w:rPr>
        <w:t xml:space="preserve">Unexpected findings during development included the need for strict program-tier headers on file downloads (for example, ethics certificates) and the importance of keeping legacy status strings (for example, historical procurement_approved) while changing live roles—so database history remains readable without breaking validation. Undergraduate and Postgraduate isolation via X-Program-Tier also required careful session handling so Director portal switches do not leak records across tiers.</w:t>
      </w:r>
    </w:p>
    <w:p>
      <w:pPr>
        <w:pStyle w:val="Heading2"/>
        <w:spacing w:after="200" w:before="360" w:line="480"/>
      </w:pPr>
      <w:r>
        <w:rPr>
          <w:rFonts w:ascii="Times New Roman" w:cs="Times New Roman" w:eastAsia="Times New Roman" w:hAnsi="Times New Roman"/>
          <w:b/>
          <w:bCs/>
          <w:sz w:val="26"/>
          <w:szCs w:val="26"/>
        </w:rPr>
        <w:t xml:space="preserve">5.2.1 Comparison with Existing Studies</w:t>
      </w:r>
    </w:p>
    <w:p>
      <w:pPr>
        <w:spacing w:after="200" w:line="480"/>
        <w:jc w:val="both"/>
      </w:pPr>
      <w:r>
        <w:rPr>
          <w:rFonts w:ascii="Times New Roman" w:cs="Times New Roman" w:eastAsia="Times New Roman" w:hAnsi="Times New Roman"/>
          <w:b w:val="false"/>
          <w:bCs w:val="false"/>
          <w:i w:val="false"/>
          <w:iCs w:val="false"/>
          <w:sz w:val="24"/>
          <w:szCs w:val="24"/>
        </w:rPr>
        <w:t xml:space="preserve">University research information systems internationally often cover proposals, ethics, grants, and repositories as separate products. Local practice at many Somali universities still relies on paper forms, email attachments, and spreadsheets. Table 5.1 summarizes how JUST RMS differs from that fragmented practice.</w:t>
      </w:r>
    </w:p>
    <w:p>
      <w:pPr>
        <w:spacing w:after="200" w:line="480"/>
        <w:jc w:val="left"/>
      </w:pPr>
      <w:r>
        <w:rPr>
          <w:rFonts w:ascii="Times New Roman" w:cs="Times New Roman" w:eastAsia="Times New Roman" w:hAnsi="Times New Roman"/>
          <w:b/>
          <w:bCs/>
          <w:i w:val="false"/>
          <w:iCs w:val="false"/>
          <w:sz w:val="24"/>
          <w:szCs w:val="24"/>
        </w:rPr>
        <w:t xml:space="preserve">Table 5.1 Comparison of typical practice and JUST RMS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bCs/>
                <w:sz w:val="20"/>
                <w:szCs w:val="20"/>
              </w:rPr>
              <w:t xml:space="preserve">Aspect</w:t>
            </w:r>
          </w:p>
        </w:tc>
        <w:tc>
          <w:tcPr>
            <w:tcW w:type="dxa" w:w="36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bCs/>
                <w:sz w:val="20"/>
                <w:szCs w:val="20"/>
              </w:rPr>
              <w:t xml:space="preserve">Typical manual / fragmented practice</w:t>
            </w:r>
          </w:p>
        </w:tc>
        <w:tc>
          <w:tcPr>
            <w:tcW w:type="dxa" w:w="36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bCs/>
                <w:sz w:val="20"/>
                <w:szCs w:val="20"/>
              </w:rPr>
              <w:t xml:space="preserve">JUST RMS (this study)</w:t>
            </w:r>
          </w:p>
        </w:tc>
      </w:tr>
      <w:tr>
        <w:tc>
          <w:tcPr>
            <w:tcW w:type="dxa" w:w="1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Proposal tracking</w:t>
            </w:r>
          </w:p>
        </w:tc>
        <w:tc>
          <w:tcPr>
            <w:tcW w:type="dxa" w:w="36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Email and hard copies</w:t>
            </w:r>
          </w:p>
        </w:tc>
        <w:tc>
          <w:tcPr>
            <w:tcW w:type="dxa" w:w="36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Online drafts, versions, multi-stage review</w:t>
            </w:r>
          </w:p>
        </w:tc>
      </w:tr>
      <w:tr>
        <w:tc>
          <w:tcPr>
            <w:tcW w:type="dxa" w:w="1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Ethics</w:t>
            </w:r>
          </w:p>
        </w:tc>
        <w:tc>
          <w:tcPr>
            <w:tcW w:type="dxa" w:w="36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Separate committee paperwork</w:t>
            </w:r>
          </w:p>
        </w:tc>
        <w:tc>
          <w:tcPr>
            <w:tcW w:type="dxa" w:w="36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Integrated JUREC path; Director decision and certificate</w:t>
            </w:r>
          </w:p>
        </w:tc>
      </w:tr>
      <w:tr>
        <w:tc>
          <w:tcPr>
            <w:tcW w:type="dxa" w:w="1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Project creation</w:t>
            </w:r>
          </w:p>
        </w:tc>
        <w:tc>
          <w:tcPr>
            <w:tcW w:type="dxa" w:w="36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Manual after approval</w:t>
            </w:r>
          </w:p>
        </w:tc>
        <w:tc>
          <w:tcPr>
            <w:tcW w:type="dxa" w:w="36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Automatic on Director approval</w:t>
            </w:r>
          </w:p>
        </w:tc>
      </w:tr>
      <w:tr>
        <w:tc>
          <w:tcPr>
            <w:tcW w:type="dxa" w:w="1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Finance</w:t>
            </w:r>
          </w:p>
        </w:tc>
        <w:tc>
          <w:tcPr>
            <w:tcW w:type="dxa" w:w="36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Spreadsheets</w:t>
            </w:r>
          </w:p>
        </w:tc>
        <w:tc>
          <w:tcPr>
            <w:tcW w:type="dxa" w:w="36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Budgets, PO pipeline, payments in one portal</w:t>
            </w:r>
          </w:p>
        </w:tc>
      </w:tr>
      <w:tr>
        <w:tc>
          <w:tcPr>
            <w:tcW w:type="dxa" w:w="1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Thesis groups</w:t>
            </w:r>
          </w:p>
        </w:tc>
        <w:tc>
          <w:tcPr>
            <w:tcW w:type="dxa" w:w="36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Offline supervisor notes</w:t>
            </w:r>
          </w:p>
        </w:tc>
        <w:tc>
          <w:tcPr>
            <w:tcW w:type="dxa" w:w="36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Structured groups, meetings, final upload</w:t>
            </w:r>
          </w:p>
        </w:tc>
      </w:tr>
      <w:tr>
        <w:tc>
          <w:tcPr>
            <w:tcW w:type="dxa" w:w="1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Portals</w:t>
            </w:r>
          </w:p>
        </w:tc>
        <w:tc>
          <w:tcPr>
            <w:tcW w:type="dxa" w:w="36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Mixed UG/PG files</w:t>
            </w:r>
          </w:p>
        </w:tc>
        <w:tc>
          <w:tcPr>
            <w:tcW w:type="dxa" w:w="36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Isolated Undergraduate and Postgraduate data</w:t>
            </w:r>
          </w:p>
        </w:tc>
      </w:tr>
    </w:tbl>
    <w:p>
      <w:pPr>
        <w:spacing w:after="200"/>
      </w:pPr>
    </w:p>
    <w:p>
      <w:pPr>
        <w:spacing w:after="200" w:line="480"/>
        <w:jc w:val="both"/>
      </w:pPr>
      <w:r>
        <w:rPr>
          <w:rFonts w:ascii="Times New Roman" w:cs="Times New Roman" w:eastAsia="Times New Roman" w:hAnsi="Times New Roman"/>
          <w:b w:val="false"/>
          <w:bCs w:val="false"/>
          <w:i w:val="false"/>
          <w:iCs w:val="false"/>
          <w:sz w:val="24"/>
          <w:szCs w:val="24"/>
        </w:rPr>
        <w:t xml:space="preserve">Compared with generic project tools (for example, Trello or Google Drive alone), JUST RMS is domain-specific: it encodes Jamhuriya roles, funding-call applications, ethics clearance, and thesis rules. Compared with heavy commercial ERPs, it is lighter, open to student maintenance, and tailored to Jamhuriya’s two-portal (Undergraduate / Postgraduate) model. The contribution of this FYP is therefore a working, role-aware institutional prototype rather than a general-purpose task board.</w:t>
      </w:r>
    </w:p>
    <w:p>
      <w:pPr>
        <w:pStyle w:val="Heading1"/>
        <w:spacing w:after="200" w:before="360" w:line="480"/>
      </w:pPr>
      <w:r>
        <w:rPr>
          <w:rFonts w:ascii="Times New Roman" w:cs="Times New Roman" w:eastAsia="Times New Roman" w:hAnsi="Times New Roman"/>
          <w:b/>
          <w:bCs/>
          <w:sz w:val="28"/>
          <w:szCs w:val="28"/>
        </w:rPr>
        <w:t xml:space="preserve">5.3 Conclusion</w:t>
      </w:r>
    </w:p>
    <w:p>
      <w:pPr>
        <w:spacing w:after="200" w:line="480"/>
        <w:jc w:val="both"/>
      </w:pPr>
      <w:r>
        <w:rPr>
          <w:rFonts w:ascii="Times New Roman" w:cs="Times New Roman" w:eastAsia="Times New Roman" w:hAnsi="Times New Roman"/>
          <w:b w:val="false"/>
          <w:bCs w:val="false"/>
          <w:i w:val="false"/>
          <w:iCs w:val="false"/>
          <w:sz w:val="24"/>
          <w:szCs w:val="24"/>
        </w:rPr>
        <w:t xml:space="preserve">This FYP successfully designed and implemented a web-based Research Management System for Jamhuriya University using the MERN stack (MongoDB, Express.js, React.js, and Node.js). The system digitizes the research lifecycle, supports role-based access control, isolates Undergraduate and Postgraduate portals, and includes thesis supervision features required for faculty practice. Testing confirmed that core workflows—from proposal submission through ethics, approval, project creation, finance, publications, and thesis final upload—operate as intended.</w:t>
      </w:r>
    </w:p>
    <w:p>
      <w:pPr>
        <w:spacing w:after="200" w:line="480"/>
        <w:jc w:val="both"/>
      </w:pPr>
      <w:r>
        <w:rPr>
          <w:rFonts w:ascii="Times New Roman" w:cs="Times New Roman" w:eastAsia="Times New Roman" w:hAnsi="Times New Roman"/>
          <w:b w:val="false"/>
          <w:bCs w:val="false"/>
          <w:i w:val="false"/>
          <w:iCs w:val="false"/>
          <w:sz w:val="24"/>
          <w:szCs w:val="24"/>
        </w:rPr>
        <w:t xml:space="preserve">In practical terms, JUST RMS provides one institutional portal where Research Directors, Faculty Coordinators, Finance officers, University Leadership, and Researchers (principal investigators / supervisors) can complete their duties without relying on disconnected paper trails. Screenshots and test results in Chapter IV document that the delivered interfaces and APIs match these goals.</w:t>
      </w:r>
    </w:p>
    <w:p>
      <w:pPr>
        <w:pStyle w:val="Heading2"/>
        <w:spacing w:after="200" w:before="360" w:line="480"/>
      </w:pPr>
      <w:r>
        <w:rPr>
          <w:rFonts w:ascii="Times New Roman" w:cs="Times New Roman" w:eastAsia="Times New Roman" w:hAnsi="Times New Roman"/>
          <w:b/>
          <w:bCs/>
          <w:sz w:val="26"/>
          <w:szCs w:val="26"/>
        </w:rPr>
        <w:t xml:space="preserve">5.3.1 Achievement of the Objectives</w:t>
      </w:r>
    </w:p>
    <w:p>
      <w:pPr>
        <w:spacing w:after="200" w:line="480"/>
        <w:jc w:val="both"/>
      </w:pPr>
      <w:r>
        <w:rPr>
          <w:rFonts w:ascii="Times New Roman" w:cs="Times New Roman" w:eastAsia="Times New Roman" w:hAnsi="Times New Roman"/>
          <w:b w:val="false"/>
          <w:bCs w:val="false"/>
          <w:i w:val="false"/>
          <w:iCs w:val="false"/>
          <w:sz w:val="24"/>
          <w:szCs w:val="24"/>
        </w:rPr>
        <w:t xml:space="preserve">Table 5.2 maps the project objectives to achievement status and evidence. Labels should be aligned with Chapter I wording if the official objective list differs slightly.</w:t>
      </w:r>
    </w:p>
    <w:p>
      <w:pPr>
        <w:spacing w:after="200" w:line="480"/>
        <w:jc w:val="left"/>
      </w:pPr>
      <w:r>
        <w:rPr>
          <w:rFonts w:ascii="Times New Roman" w:cs="Times New Roman" w:eastAsia="Times New Roman" w:hAnsi="Times New Roman"/>
          <w:b/>
          <w:bCs/>
          <w:i w:val="false"/>
          <w:iCs w:val="false"/>
          <w:sz w:val="24"/>
          <w:szCs w:val="24"/>
        </w:rPr>
        <w:t xml:space="preserve">Table 5.2 Achievement of research objectives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bCs/>
                <w:sz w:val="20"/>
                <w:szCs w:val="20"/>
              </w:rPr>
              <w:t xml:space="preserve">#</w:t>
            </w:r>
          </w:p>
        </w:tc>
        <w:tc>
          <w:tcPr>
            <w:tcW w:type="dxa" w:w="3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bCs/>
                <w:sz w:val="20"/>
                <w:szCs w:val="20"/>
              </w:rPr>
              <w:t xml:space="preserve">Objective</w:t>
            </w:r>
          </w:p>
        </w:tc>
        <w:tc>
          <w:tcPr>
            <w:tcW w:type="dxa" w:w="16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bCs/>
                <w:sz w:val="20"/>
                <w:szCs w:val="20"/>
              </w:rPr>
              <w:t xml:space="preserve">Achievement</w:t>
            </w:r>
          </w:p>
        </w:tc>
        <w:tc>
          <w:tcPr>
            <w:tcW w:type="dxa" w:w="36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bCs/>
                <w:sz w:val="20"/>
                <w:szCs w:val="20"/>
              </w:rPr>
              <w:t xml:space="preserve">Evidence</w:t>
            </w:r>
          </w:p>
        </w:tc>
      </w:tr>
      <w:tr>
        <w:tc>
          <w:tcPr>
            <w:tcW w:type="dxa" w:w="6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1</w:t>
            </w:r>
          </w:p>
        </w:tc>
        <w:tc>
          <w:tcPr>
            <w:tcW w:type="dxa" w:w="3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Digitize proposal submission and review</w:t>
            </w:r>
          </w:p>
        </w:tc>
        <w:tc>
          <w:tcPr>
            <w:tcW w:type="dxa" w:w="16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Fully achieved</w:t>
            </w:r>
          </w:p>
        </w:tc>
        <w:tc>
          <w:tcPr>
            <w:tcW w:type="dxa" w:w="36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Proposal forms, documents, multi-stage review UI/API</w:t>
            </w:r>
          </w:p>
        </w:tc>
      </w:tr>
      <w:tr>
        <w:tc>
          <w:tcPr>
            <w:tcW w:type="dxa" w:w="6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2</w:t>
            </w:r>
          </w:p>
        </w:tc>
        <w:tc>
          <w:tcPr>
            <w:tcW w:type="dxa" w:w="3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Automate project creation after Director approval</w:t>
            </w:r>
          </w:p>
        </w:tc>
        <w:tc>
          <w:tcPr>
            <w:tcW w:type="dxa" w:w="16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Fully achieved</w:t>
            </w:r>
          </w:p>
        </w:tc>
        <w:tc>
          <w:tcPr>
            <w:tcW w:type="dxa" w:w="36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Project record created on approval</w:t>
            </w:r>
          </w:p>
        </w:tc>
      </w:tr>
      <w:tr>
        <w:tc>
          <w:tcPr>
            <w:tcW w:type="dxa" w:w="6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3</w:t>
            </w:r>
          </w:p>
        </w:tc>
        <w:tc>
          <w:tcPr>
            <w:tcW w:type="dxa" w:w="3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Manage grants, budgets, payments, and POs (Finance)</w:t>
            </w:r>
          </w:p>
        </w:tc>
        <w:tc>
          <w:tcPr>
            <w:tcW w:type="dxa" w:w="16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Fully achieved</w:t>
            </w:r>
          </w:p>
        </w:tc>
        <w:tc>
          <w:tcPr>
            <w:tcW w:type="dxa" w:w="36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Funding calls, grants, budgets, Finance PO review, payments</w:t>
            </w:r>
          </w:p>
        </w:tc>
      </w:tr>
      <w:tr>
        <w:tc>
          <w:tcPr>
            <w:tcW w:type="dxa" w:w="6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4</w:t>
            </w:r>
          </w:p>
        </w:tc>
        <w:tc>
          <w:tcPr>
            <w:tcW w:type="dxa" w:w="3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Track publications and repository assets</w:t>
            </w:r>
          </w:p>
        </w:tc>
        <w:tc>
          <w:tcPr>
            <w:tcW w:type="dxa" w:w="16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Fully achieved</w:t>
            </w:r>
          </w:p>
        </w:tc>
        <w:tc>
          <w:tcPr>
            <w:tcW w:type="dxa" w:w="36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Publications and repository modules</w:t>
            </w:r>
          </w:p>
        </w:tc>
      </w:tr>
      <w:tr>
        <w:tc>
          <w:tcPr>
            <w:tcW w:type="dxa" w:w="6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5</w:t>
            </w:r>
          </w:p>
        </w:tc>
        <w:tc>
          <w:tcPr>
            <w:tcW w:type="dxa" w:w="3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Provide role-based dashboards and reports</w:t>
            </w:r>
          </w:p>
        </w:tc>
        <w:tc>
          <w:tcPr>
            <w:tcW w:type="dxa" w:w="16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Fully achieved</w:t>
            </w:r>
          </w:p>
        </w:tc>
        <w:tc>
          <w:tcPr>
            <w:tcW w:type="dxa" w:w="36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Director/Finance/Coordinator/KPI dashboards; analytics PDF where implemented</w:t>
            </w:r>
          </w:p>
        </w:tc>
      </w:tr>
      <w:tr>
        <w:tc>
          <w:tcPr>
            <w:tcW w:type="dxa" w:w="6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6</w:t>
            </w:r>
          </w:p>
        </w:tc>
        <w:tc>
          <w:tcPr>
            <w:tcW w:type="dxa" w:w="3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Support UG and PG portals</w:t>
            </w:r>
          </w:p>
        </w:tc>
        <w:tc>
          <w:tcPr>
            <w:tcW w:type="dxa" w:w="16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Fully achieved</w:t>
            </w:r>
          </w:p>
        </w:tc>
        <w:tc>
          <w:tcPr>
            <w:tcW w:type="dxa" w:w="36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Tier middleware, Director portal switch, seed accounts per portal</w:t>
            </w:r>
          </w:p>
        </w:tc>
      </w:tr>
    </w:tbl>
    <w:p>
      <w:pPr>
        <w:spacing w:after="200"/>
      </w:pPr>
    </w:p>
    <w:p>
      <w:pPr>
        <w:spacing w:after="200" w:line="480"/>
        <w:jc w:val="both"/>
      </w:pPr>
      <w:r>
        <w:rPr>
          <w:rFonts w:ascii="Times New Roman" w:cs="Times New Roman" w:eastAsia="Times New Roman" w:hAnsi="Times New Roman"/>
          <w:b w:val="false"/>
          <w:bCs w:val="false"/>
          <w:i w:val="false"/>
          <w:iCs w:val="false"/>
          <w:sz w:val="24"/>
          <w:szCs w:val="24"/>
        </w:rPr>
        <w:t xml:space="preserve">Additional delivered scope beyond the six aims includes Ethics (JUREC) clearance with certificate download, Thesis groups (including final PDF/Word upload by supervisors), and role simplification (Finance owns purchase-order review; Director owns former HR and donor reporting duties).</w:t>
      </w:r>
    </w:p>
    <w:p>
      <w:pPr>
        <w:pStyle w:val="Heading1"/>
        <w:spacing w:after="200" w:before="360" w:line="480"/>
      </w:pPr>
      <w:r>
        <w:rPr>
          <w:rFonts w:ascii="Times New Roman" w:cs="Times New Roman" w:eastAsia="Times New Roman" w:hAnsi="Times New Roman"/>
          <w:b/>
          <w:bCs/>
          <w:sz w:val="28"/>
          <w:szCs w:val="28"/>
        </w:rPr>
        <w:t xml:space="preserve">5.4 Limitations</w:t>
      </w:r>
    </w:p>
    <w:p>
      <w:pPr>
        <w:spacing w:after="200" w:line="480"/>
        <w:jc w:val="both"/>
      </w:pPr>
      <w:r>
        <w:rPr>
          <w:rFonts w:ascii="Times New Roman" w:cs="Times New Roman" w:eastAsia="Times New Roman" w:hAnsi="Times New Roman"/>
          <w:b w:val="false"/>
          <w:bCs w:val="false"/>
          <w:i w:val="false"/>
          <w:iCs w:val="false"/>
          <w:sz w:val="24"/>
          <w:szCs w:val="24"/>
        </w:rPr>
        <w:t xml:space="preserve">Despite successful delivery of the core system, the following limitations remain:</w:t>
      </w:r>
    </w:p>
    <w:p>
      <w:pPr>
        <w:spacing w:after="160" w:line="480"/>
        <w:ind w:left="360"/>
      </w:pPr>
      <w:r>
        <w:rPr>
          <w:rFonts w:ascii="Times New Roman" w:cs="Times New Roman" w:eastAsia="Times New Roman" w:hAnsi="Times New Roman"/>
          <w:sz w:val="24"/>
          <w:szCs w:val="24"/>
        </w:rPr>
        <w:t xml:space="preserve">1. No native mobile application was developed; access on phones and tablets is through the responsive web interface only.</w:t>
      </w:r>
    </w:p>
    <w:p>
      <w:pPr>
        <w:spacing w:after="160" w:line="480"/>
        <w:ind w:left="360"/>
      </w:pPr>
      <w:r>
        <w:rPr>
          <w:rFonts w:ascii="Times New Roman" w:cs="Times New Roman" w:eastAsia="Times New Roman" w:hAnsi="Times New Roman"/>
          <w:sz w:val="24"/>
          <w:szCs w:val="24"/>
        </w:rPr>
        <w:t xml:space="preserve">2. Email and SMS notifications are limited; in-app notifications are the primary channel.</w:t>
      </w:r>
    </w:p>
    <w:p>
      <w:pPr>
        <w:spacing w:after="160" w:line="480"/>
        <w:ind w:left="360"/>
      </w:pPr>
      <w:r>
        <w:rPr>
          <w:rFonts w:ascii="Times New Roman" w:cs="Times New Roman" w:eastAsia="Times New Roman" w:hAnsi="Times New Roman"/>
          <w:sz w:val="24"/>
          <w:szCs w:val="24"/>
        </w:rPr>
        <w:t xml:space="preserve">3. A full professional penetration test (for example, OWASP ZAP or Burp Suite full scan) was not completed within the FYP timeframe.</w:t>
      </w:r>
    </w:p>
    <w:p>
      <w:pPr>
        <w:spacing w:after="160" w:line="480"/>
        <w:ind w:left="360"/>
      </w:pPr>
      <w:r>
        <w:rPr>
          <w:rFonts w:ascii="Times New Roman" w:cs="Times New Roman" w:eastAsia="Times New Roman" w:hAnsi="Times New Roman"/>
          <w:sz w:val="24"/>
          <w:szCs w:val="24"/>
        </w:rPr>
        <w:t xml:space="preserve">4. External email delivery and calendar integration were not built.</w:t>
      </w:r>
    </w:p>
    <w:p>
      <w:pPr>
        <w:spacing w:after="160" w:line="480"/>
        <w:ind w:left="360"/>
      </w:pPr>
      <w:r>
        <w:rPr>
          <w:rFonts w:ascii="Times New Roman" w:cs="Times New Roman" w:eastAsia="Times New Roman" w:hAnsi="Times New Roman"/>
          <w:sz w:val="24"/>
          <w:szCs w:val="24"/>
        </w:rPr>
        <w:t xml:space="preserve">5. Multi-campus or multi-university tenancy is out of scope; the system targets Jamhuriya University with UG/PG portals.</w:t>
      </w:r>
    </w:p>
    <w:p>
      <w:pPr>
        <w:spacing w:after="160" w:line="480"/>
        <w:ind w:left="360"/>
      </w:pPr>
      <w:r>
        <w:rPr>
          <w:rFonts w:ascii="Times New Roman" w:cs="Times New Roman" w:eastAsia="Times New Roman" w:hAnsi="Times New Roman"/>
          <w:sz w:val="24"/>
          <w:szCs w:val="24"/>
        </w:rPr>
        <w:t xml:space="preserve">6. Some historical demo and probe scripts exist in the repository for development only and are not part of the production user experience.</w:t>
      </w:r>
    </w:p>
    <w:p>
      <w:pPr>
        <w:spacing w:after="160" w:line="480"/>
        <w:ind w:left="360"/>
      </w:pPr>
      <w:r>
        <w:rPr>
          <w:rFonts w:ascii="Times New Roman" w:cs="Times New Roman" w:eastAsia="Times New Roman" w:hAnsi="Times New Roman"/>
          <w:sz w:val="24"/>
          <w:szCs w:val="24"/>
        </w:rPr>
        <w:t xml:space="preserve">7. Production hosting, institutional SSL certificates, and long-term backup policies depend on university IT after handover.</w:t>
      </w:r>
    </w:p>
    <w:p>
      <w:pPr>
        <w:pStyle w:val="Heading1"/>
        <w:spacing w:after="200" w:before="360" w:line="480"/>
      </w:pPr>
      <w:r>
        <w:rPr>
          <w:rFonts w:ascii="Times New Roman" w:cs="Times New Roman" w:eastAsia="Times New Roman" w:hAnsi="Times New Roman"/>
          <w:b/>
          <w:bCs/>
          <w:sz w:val="28"/>
          <w:szCs w:val="28"/>
        </w:rPr>
        <w:t xml:space="preserve">5.5 Recommendations</w:t>
      </w:r>
    </w:p>
    <w:p>
      <w:pPr>
        <w:spacing w:after="200" w:line="480"/>
        <w:jc w:val="both"/>
      </w:pPr>
      <w:r>
        <w:rPr>
          <w:rFonts w:ascii="Times New Roman" w:cs="Times New Roman" w:eastAsia="Times New Roman" w:hAnsi="Times New Roman"/>
          <w:b w:val="false"/>
          <w:bCs w:val="false"/>
          <w:i w:val="false"/>
          <w:iCs w:val="false"/>
          <w:sz w:val="24"/>
          <w:szCs w:val="24"/>
        </w:rPr>
        <w:t xml:space="preserve">Based on the results and limitations, the following recommendations are proposed:</w:t>
      </w:r>
    </w:p>
    <w:p>
      <w:pPr>
        <w:spacing w:after="160" w:line="480"/>
        <w:ind w:left="360"/>
      </w:pPr>
      <w:r>
        <w:rPr>
          <w:rFonts w:ascii="Times New Roman" w:cs="Times New Roman" w:eastAsia="Times New Roman" w:hAnsi="Times New Roman"/>
          <w:sz w:val="24"/>
          <w:szCs w:val="24"/>
        </w:rPr>
        <w:t xml:space="preserve">1. Develop a native application or Progressive Web App for supervisors and students who primarily work on mobile devices.</w:t>
      </w:r>
    </w:p>
    <w:p>
      <w:pPr>
        <w:spacing w:after="160" w:line="480"/>
        <w:ind w:left="360"/>
      </w:pPr>
      <w:r>
        <w:rPr>
          <w:rFonts w:ascii="Times New Roman" w:cs="Times New Roman" w:eastAsia="Times New Roman" w:hAnsi="Times New Roman"/>
          <w:sz w:val="24"/>
          <w:szCs w:val="24"/>
        </w:rPr>
        <w:t xml:space="preserve">2. Add reliable email notifications for title decisions, ethics outcomes, funding-call publish events, and payment status changes.</w:t>
      </w:r>
    </w:p>
    <w:p>
      <w:pPr>
        <w:spacing w:after="160" w:line="480"/>
        <w:ind w:left="360"/>
      </w:pPr>
      <w:r>
        <w:rPr>
          <w:rFonts w:ascii="Times New Roman" w:cs="Times New Roman" w:eastAsia="Times New Roman" w:hAnsi="Times New Roman"/>
          <w:sz w:val="24"/>
          <w:szCs w:val="24"/>
        </w:rPr>
        <w:t xml:space="preserve">3. Conduct a formal security audit and harden production configuration (headers, rate limits, secrets management, and backup drills).</w:t>
      </w:r>
    </w:p>
    <w:p>
      <w:pPr>
        <w:spacing w:after="160" w:line="480"/>
        <w:ind w:left="360"/>
      </w:pPr>
      <w:r>
        <w:rPr>
          <w:rFonts w:ascii="Times New Roman" w:cs="Times New Roman" w:eastAsia="Times New Roman" w:hAnsi="Times New Roman"/>
          <w:sz w:val="24"/>
          <w:szCs w:val="24"/>
        </w:rPr>
        <w:t xml:space="preserve">4. Integrate Turnitin or other plagiarism reporting links into the thesis final-document workflow.</w:t>
      </w:r>
    </w:p>
    <w:p>
      <w:pPr>
        <w:spacing w:after="160" w:line="480"/>
        <w:ind w:left="360"/>
      </w:pPr>
      <w:r>
        <w:rPr>
          <w:rFonts w:ascii="Times New Roman" w:cs="Times New Roman" w:eastAsia="Times New Roman" w:hAnsi="Times New Roman"/>
          <w:sz w:val="24"/>
          <w:szCs w:val="24"/>
        </w:rPr>
        <w:t xml:space="preserve">5. Expand analytics dashboards for faculty accreditation and annual research reporting.</w:t>
      </w:r>
    </w:p>
    <w:p>
      <w:pPr>
        <w:spacing w:after="160" w:line="480"/>
        <w:ind w:left="360"/>
      </w:pPr>
      <w:r>
        <w:rPr>
          <w:rFonts w:ascii="Times New Roman" w:cs="Times New Roman" w:eastAsia="Times New Roman" w:hAnsi="Times New Roman"/>
          <w:sz w:val="24"/>
          <w:szCs w:val="24"/>
        </w:rPr>
        <w:t xml:space="preserve">6. Train Directors, Coordinators, and Finance officers using an institutional user guide before full campus rollout.</w:t>
      </w:r>
    </w:p>
    <w:p>
      <w:pPr>
        <w:spacing w:after="160" w:line="480"/>
        <w:ind w:left="360"/>
      </w:pPr>
      <w:r>
        <w:rPr>
          <w:rFonts w:ascii="Times New Roman" w:cs="Times New Roman" w:eastAsia="Times New Roman" w:hAnsi="Times New Roman"/>
          <w:sz w:val="24"/>
          <w:szCs w:val="24"/>
        </w:rPr>
        <w:t xml:space="preserve">7. Keep seed data and production data separate; run database seed scripts only in controlled development or staging environments.</w:t>
      </w:r>
    </w:p>
    <w:p>
      <w:pPr>
        <w:pStyle w:val="Heading1"/>
        <w:spacing w:after="200" w:before="360" w:line="480"/>
      </w:pPr>
      <w:r>
        <w:rPr>
          <w:rFonts w:ascii="Times New Roman" w:cs="Times New Roman" w:eastAsia="Times New Roman" w:hAnsi="Times New Roman"/>
          <w:b/>
          <w:bCs/>
          <w:sz w:val="28"/>
          <w:szCs w:val="28"/>
        </w:rPr>
        <w:t xml:space="preserve">5.6 Closing Remarks</w:t>
      </w:r>
    </w:p>
    <w:p>
      <w:pPr>
        <w:spacing w:after="200" w:line="480"/>
        <w:jc w:val="both"/>
      </w:pPr>
      <w:r>
        <w:rPr>
          <w:rFonts w:ascii="Times New Roman" w:cs="Times New Roman" w:eastAsia="Times New Roman" w:hAnsi="Times New Roman"/>
          <w:b w:val="false"/>
          <w:bCs w:val="false"/>
          <w:i w:val="false"/>
          <w:iCs w:val="false"/>
          <w:sz w:val="24"/>
          <w:szCs w:val="24"/>
        </w:rPr>
        <w:t xml:space="preserve">JUST RMS shows that a focused student FYP can deliver a usable institutional research portal when requirements are grounded in real university roles and workflows. The MERN implementation is maintainable, the Undergraduate/Postgraduate split protects data boundaries, and thesis final-document upload closes an important gap for undergraduate supervision. With the recommendations above—especially mobile access, email alerts, and security hardening—the prototype is ready to evolve into a production service under Jamhuriya University IT and Research Office governance.</w:t>
      </w:r>
    </w:p>
    <w:p>
      <w:pPr>
        <w:spacing w:after="200" w:before="400" w:line="480"/>
        <w:jc w:val="center"/>
      </w:pPr>
      <w:r>
        <w:rPr>
          <w:rFonts w:ascii="Times New Roman" w:cs="Times New Roman" w:eastAsia="Times New Roman" w:hAnsi="Times New Roman"/>
          <w:i/>
          <w:iCs/>
          <w:sz w:val="24"/>
          <w:szCs w:val="24"/>
        </w:rPr>
        <w:t xml:space="preserve">End of Chapter V — JUST RMS Mobile/Web FYP</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66666"/>
        <w:sz w:val="18"/>
        <w:szCs w:val="18"/>
      </w:rPr>
      <w:t xml:space="preserve">JUST RMS — Chapter V</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2026-07-24T14:56:30.956Z</dcterms:created>
  <dcterms:modified xsi:type="dcterms:W3CDTF">2026-07-24T14:56:30.957Z</dcterms:modified>
</cp:coreProperties>
</file>

<file path=docProps/custom.xml><?xml version="1.0" encoding="utf-8"?>
<Properties xmlns="http://schemas.openxmlformats.org/officeDocument/2006/custom-properties" xmlns:vt="http://schemas.openxmlformats.org/officeDocument/2006/docPropsVTypes"/>
</file>