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667" w:rsidRPr="00A10E06" w:rsidRDefault="009466D8">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A10E06">
        <w:rPr>
          <w:rFonts w:ascii="Times New Roman" w:hAnsi="Times New Roman" w:cs="Times New Roman"/>
          <w:b/>
          <w:bCs/>
          <w:sz w:val="24"/>
          <w:szCs w:val="24"/>
        </w:rPr>
        <w:t>CHAPTER TWO</w:t>
      </w:r>
    </w:p>
    <w:p w:rsidR="00933667" w:rsidRDefault="009466D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LITERATURE REVIEW</w:t>
      </w:r>
    </w:p>
    <w:p w:rsidR="00933667" w:rsidRDefault="009466D8">
      <w:pPr>
        <w:pStyle w:val="Heading2"/>
        <w:spacing w:line="360" w:lineRule="auto"/>
        <w:rPr>
          <w:rFonts w:ascii="Times New Roman" w:hAnsi="Times New Roman" w:cs="Times New Roman"/>
          <w:color w:val="auto"/>
          <w:sz w:val="24"/>
          <w:szCs w:val="24"/>
        </w:rPr>
      </w:pPr>
      <w:bookmarkStart w:id="0" w:name="_Toc140501975"/>
      <w:r>
        <w:rPr>
          <w:rFonts w:ascii="Times New Roman" w:hAnsi="Times New Roman" w:cs="Times New Roman"/>
          <w:color w:val="auto"/>
          <w:sz w:val="24"/>
          <w:szCs w:val="24"/>
        </w:rPr>
        <w:t>2.0 Introduction</w:t>
      </w:r>
      <w:bookmarkEnd w:id="0"/>
    </w:p>
    <w:p w:rsidR="00933667" w:rsidRDefault="009466D8">
      <w:pPr>
        <w:tabs>
          <w:tab w:val="left" w:pos="279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chapter contains different literatures related to the Tetanus </w:t>
      </w:r>
      <w:r>
        <w:rPr>
          <w:rFonts w:ascii="Times New Roman" w:hAnsi="Times New Roman" w:cs="Times New Roman"/>
          <w:sz w:val="24"/>
          <w:szCs w:val="24"/>
        </w:rPr>
        <w:t>toxoid vaccine uptake and associated factors among pregnant women. These literatures have been retrieved from various articles, journals and studies related to the same problem under investigation.</w:t>
      </w:r>
    </w:p>
    <w:p w:rsidR="00933667" w:rsidRDefault="009466D8">
      <w:pPr>
        <w:pStyle w:val="Heading2"/>
        <w:spacing w:line="360" w:lineRule="auto"/>
        <w:rPr>
          <w:rFonts w:ascii="Times New Roman" w:hAnsi="Times New Roman" w:cs="Times New Roman"/>
          <w:color w:val="auto"/>
          <w:sz w:val="24"/>
          <w:szCs w:val="24"/>
        </w:rPr>
      </w:pPr>
      <w:bookmarkStart w:id="1" w:name="_Toc140501976"/>
      <w:r>
        <w:rPr>
          <w:rFonts w:ascii="Times New Roman" w:hAnsi="Times New Roman" w:cs="Times New Roman"/>
          <w:color w:val="auto"/>
          <w:sz w:val="24"/>
          <w:szCs w:val="24"/>
        </w:rPr>
        <w:t>2.1 TT vaccination uptake among pregnant women</w:t>
      </w:r>
      <w:bookmarkEnd w:id="1"/>
      <w:r>
        <w:rPr>
          <w:rFonts w:ascii="Times New Roman" w:hAnsi="Times New Roman" w:cs="Times New Roman"/>
          <w:color w:val="auto"/>
          <w:sz w:val="24"/>
          <w:szCs w:val="24"/>
        </w:rPr>
        <w:t xml:space="preserve"> </w:t>
      </w:r>
    </w:p>
    <w:p w:rsidR="00933667" w:rsidRDefault="009466D8">
      <w:pPr>
        <w:pStyle w:val="Heading2"/>
        <w:spacing w:line="360" w:lineRule="auto"/>
        <w:rPr>
          <w:rFonts w:ascii="Times New Roman" w:hAnsi="Times New Roman" w:cs="Times New Roman"/>
          <w:color w:val="auto"/>
          <w:sz w:val="24"/>
          <w:szCs w:val="24"/>
        </w:rPr>
      </w:pPr>
      <w:bookmarkStart w:id="2" w:name="_Toc140501977"/>
      <w:r>
        <w:rPr>
          <w:rFonts w:ascii="Times New Roman" w:hAnsi="Times New Roman" w:cs="Times New Roman"/>
          <w:color w:val="auto"/>
          <w:sz w:val="24"/>
          <w:szCs w:val="24"/>
        </w:rPr>
        <w:t xml:space="preserve">2.2 </w:t>
      </w:r>
      <w:r>
        <w:rPr>
          <w:rFonts w:ascii="Times New Roman" w:hAnsi="Times New Roman" w:cs="Times New Roman"/>
          <w:color w:val="auto"/>
          <w:sz w:val="24"/>
          <w:szCs w:val="24"/>
        </w:rPr>
        <w:t>TT vaccination awareness among pregnant women</w:t>
      </w:r>
      <w:bookmarkEnd w:id="2"/>
    </w:p>
    <w:p w:rsidR="00933667" w:rsidRDefault="009466D8">
      <w:pPr>
        <w:pStyle w:val="Heading2"/>
        <w:spacing w:line="360" w:lineRule="auto"/>
        <w:rPr>
          <w:rFonts w:ascii="Times New Roman" w:hAnsi="Times New Roman" w:cs="Times New Roman"/>
          <w:color w:val="auto"/>
          <w:sz w:val="24"/>
          <w:szCs w:val="24"/>
        </w:rPr>
      </w:pPr>
      <w:bookmarkStart w:id="3" w:name="_Toc140501978"/>
      <w:r>
        <w:rPr>
          <w:rFonts w:ascii="Times New Roman" w:hAnsi="Times New Roman" w:cs="Times New Roman"/>
          <w:color w:val="auto"/>
          <w:sz w:val="24"/>
          <w:szCs w:val="24"/>
        </w:rPr>
        <w:t>2.3 Demographic characteristics of TT vaccination among pregnant women</w:t>
      </w:r>
      <w:bookmarkEnd w:id="3"/>
      <w:r>
        <w:rPr>
          <w:rFonts w:ascii="Times New Roman" w:hAnsi="Times New Roman" w:cs="Times New Roman"/>
          <w:color w:val="auto"/>
          <w:sz w:val="24"/>
          <w:szCs w:val="24"/>
        </w:rPr>
        <w:t xml:space="preserve"> </w:t>
      </w:r>
    </w:p>
    <w:p w:rsidR="00933667" w:rsidRDefault="009466D8">
      <w:pPr>
        <w:pStyle w:val="Heading2"/>
        <w:spacing w:line="360" w:lineRule="auto"/>
        <w:rPr>
          <w:rFonts w:ascii="Times New Roman" w:hAnsi="Times New Roman" w:cs="Times New Roman"/>
          <w:color w:val="auto"/>
          <w:sz w:val="24"/>
          <w:szCs w:val="24"/>
        </w:rPr>
      </w:pPr>
      <w:bookmarkStart w:id="4" w:name="_Toc140501979"/>
      <w:r>
        <w:rPr>
          <w:rFonts w:ascii="Times New Roman" w:hAnsi="Times New Roman" w:cs="Times New Roman"/>
          <w:color w:val="auto"/>
          <w:sz w:val="24"/>
          <w:szCs w:val="24"/>
        </w:rPr>
        <w:t>2.4 Obstetric related factors of TT vaccine among pregnant women</w:t>
      </w:r>
      <w:bookmarkEnd w:id="4"/>
      <w:r>
        <w:rPr>
          <w:rFonts w:ascii="Times New Roman" w:hAnsi="Times New Roman" w:cs="Times New Roman"/>
          <w:color w:val="auto"/>
          <w:sz w:val="24"/>
          <w:szCs w:val="24"/>
        </w:rPr>
        <w:t xml:space="preserve"> </w:t>
      </w:r>
    </w:p>
    <w:p w:rsidR="00933667" w:rsidRPr="00C13CBE" w:rsidRDefault="009466D8">
      <w:pPr>
        <w:tabs>
          <w:tab w:val="left" w:pos="279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Overall, various obstetric factors can affect tetanus toxoid vaccine </w:t>
      </w:r>
      <w:r>
        <w:rPr>
          <w:rFonts w:ascii="Times New Roman" w:hAnsi="Times New Roman" w:cs="Times New Roman"/>
          <w:sz w:val="24"/>
          <w:szCs w:val="24"/>
        </w:rPr>
        <w:t>uptake among pregnant women in Somalia. It is crucial to identify and address these factors to improve vaccine uptake and prevent maternal and neonatal tetanus. Additionally, community-based interventions that focus on raising awareness about the importanc</w:t>
      </w:r>
      <w:r>
        <w:rPr>
          <w:rFonts w:ascii="Times New Roman" w:hAnsi="Times New Roman" w:cs="Times New Roman"/>
          <w:sz w:val="24"/>
          <w:szCs w:val="24"/>
        </w:rPr>
        <w:t>e of ANC visits and vaccination, expanding access to vaccine service</w:t>
      </w:r>
      <w:bookmarkStart w:id="5" w:name="_GoBack"/>
      <w:bookmarkEnd w:id="5"/>
      <w:r>
        <w:rPr>
          <w:rFonts w:ascii="Times New Roman" w:hAnsi="Times New Roman" w:cs="Times New Roman"/>
          <w:sz w:val="24"/>
          <w:szCs w:val="24"/>
        </w:rPr>
        <w:t>s, and promoting health education could help improve vaccine uptake rates in this population.</w:t>
      </w:r>
      <w:r w:rsidRPr="00C13CBE">
        <w:rPr>
          <w:rFonts w:ascii="Times New Roman" w:hAnsi="Times New Roman" w:cs="Times New Roman"/>
          <w:b/>
          <w:sz w:val="24"/>
          <w:szCs w:val="24"/>
        </w:rPr>
        <w:fldChar w:fldCharType="begin" w:fldLock="1"/>
      </w:r>
      <w:r w:rsidRPr="00C13CBE">
        <w:rPr>
          <w:rFonts w:ascii="Times New Roman" w:hAnsi="Times New Roman" w:cs="Times New Roman"/>
          <w:b/>
          <w:sz w:val="24"/>
          <w:szCs w:val="24"/>
        </w:rPr>
        <w:instrText>ADDIN CSL_CITATION {"citationItems":[{"id":"ITEM-1","itemData":{"DOI":"10.1155/2021/5529315","I</w:instrText>
      </w:r>
      <w:r w:rsidRPr="00C13CBE">
        <w:rPr>
          <w:rFonts w:ascii="Times New Roman" w:hAnsi="Times New Roman" w:cs="Times New Roman"/>
          <w:b/>
          <w:sz w:val="24"/>
          <w:szCs w:val="24"/>
        </w:rPr>
        <w:instrText>SSN":"23146141","PMID":"34790820","abstract":"Background. Tetanus is a bacterial disease caused by the Clostridium tetani, which is a highly fatal, noncommunicable, and toxin-mediated disease. Globally, maternal and neonatal tetanus is a public health prob</w:instrText>
      </w:r>
      <w:r w:rsidRPr="00C13CBE">
        <w:rPr>
          <w:rFonts w:ascii="Times New Roman" w:hAnsi="Times New Roman" w:cs="Times New Roman"/>
          <w:b/>
          <w:sz w:val="24"/>
          <w:szCs w:val="24"/>
        </w:rPr>
        <w:instrText>lem due to low maternal tetanus toxoid immunization. Ethiopia has the highest neonatal mortality and morbidity related to tetanus due to low tetanus toxoid immunization and the high number of home deliveries. The main objective of this systematic review an</w:instrText>
      </w:r>
      <w:r w:rsidRPr="00C13CBE">
        <w:rPr>
          <w:rFonts w:ascii="Times New Roman" w:hAnsi="Times New Roman" w:cs="Times New Roman"/>
          <w:b/>
          <w:sz w:val="24"/>
          <w:szCs w:val="24"/>
        </w:rPr>
        <w:instrText xml:space="preserve">d meta-analysis was to estimate the pooled coverage of at least two doses of tetanus toxoid immunization, and the pooled effect sizes of associated factors in Ethiopia. Methods. Primary studies for this review were searched from the PubMed/MEDLINE online, </w:instrText>
      </w:r>
      <w:r w:rsidRPr="00C13CBE">
        <w:rPr>
          <w:rFonts w:ascii="Times New Roman" w:hAnsi="Times New Roman" w:cs="Times New Roman"/>
          <w:b/>
          <w:sz w:val="24"/>
          <w:szCs w:val="24"/>
        </w:rPr>
        <w:instrText>ScienceDirect, Hinari, Google, and Google Scholar databases. Primary articles published from 2010 up to August 30, 2020, were included in this meta-analysis. Data were extracted in Microsoft Excel format and exported to STATA Version 14.0. A random-effects</w:instrText>
      </w:r>
      <w:r w:rsidRPr="00C13CBE">
        <w:rPr>
          <w:rFonts w:ascii="Times New Roman" w:hAnsi="Times New Roman" w:cs="Times New Roman"/>
          <w:b/>
          <w:sz w:val="24"/>
          <w:szCs w:val="24"/>
        </w:rPr>
        <w:instrText xml:space="preserve"> meta-analysis model was used to estimate the pooled coverage of two or more tetanus toxoid immunizations and its associated factors. Heterogeneity was evaluated by the I2 test. Egger's weighted regression test was used to assess publication bias. Results.</w:instrText>
      </w:r>
      <w:r w:rsidRPr="00C13CBE">
        <w:rPr>
          <w:rFonts w:ascii="Times New Roman" w:hAnsi="Times New Roman" w:cs="Times New Roman"/>
          <w:b/>
          <w:sz w:val="24"/>
          <w:szCs w:val="24"/>
        </w:rPr>
        <w:instrText xml:space="preserve"> We retrieved 212 records; of these, 199 articles were excluded for reasons. Finally, 14 studies were included in this meta-analysis. The pooled estimate of receiving at least two doses of tetanus toxoid immunization coverage in Ethiopia was 52.2% (95% CI:</w:instrText>
      </w:r>
      <w:r w:rsidRPr="00C13CBE">
        <w:rPr>
          <w:rFonts w:ascii="Times New Roman" w:hAnsi="Times New Roman" w:cs="Times New Roman"/>
          <w:b/>
          <w:sz w:val="24"/>
          <w:szCs w:val="24"/>
        </w:rPr>
        <w:instrText xml:space="preserve"> 42.47-61.93, I2=98.4%). Antenatal care (OR=7.8 (95% CI: 3.2, 19.2), I2=96.3%), media exposure (OR=8.3 (95% CI: 2.1, 33.3), I2=98.1%), distance from the health facility (OR=2.64 (95% CI: 1.1, 6.6), I2=94.1%), educational status of women (OR=4.7 (95% CI: 2.</w:instrText>
      </w:r>
      <w:r w:rsidRPr="00C13CBE">
        <w:rPr>
          <w:rFonts w:ascii="Times New Roman" w:hAnsi="Times New Roman" w:cs="Times New Roman"/>
          <w:b/>
          <w:sz w:val="24"/>
          <w:szCs w:val="24"/>
        </w:rPr>
        <w:instrText>07, 9.56), I2=94.2%), and educational status of husbands (OR=2.995 (95% CI: 1.194, 7.512), I2=92.5%) were factors significantly associated with receiving at least two doses of tetanus toxoid immunization coverage in Ethiopia. Conclusions. The coverage of t</w:instrText>
      </w:r>
      <w:r w:rsidRPr="00C13CBE">
        <w:rPr>
          <w:rFonts w:ascii="Times New Roman" w:hAnsi="Times New Roman" w:cs="Times New Roman"/>
          <w:b/>
          <w:sz w:val="24"/>
          <w:szCs w:val="24"/>
        </w:rPr>
        <w:instrText>etanus toxoid immunization among childbearing women was low in Ethiopia. Strengthening maternal health service utilization (antinatal care and institutional delivery) to the nearest health facility even in health posts and empowering education for both wom</w:instrText>
      </w:r>
      <w:r w:rsidRPr="00C13CBE">
        <w:rPr>
          <w:rFonts w:ascii="Times New Roman" w:hAnsi="Times New Roman" w:cs="Times New Roman"/>
          <w:b/>
          <w:sz w:val="24"/>
          <w:szCs w:val="24"/>
        </w:rPr>
        <w:instrText>en and their husbands is recommended to increase tetanus toxoid immunization coverage in Ethiopia.","author":[{"dropping-particle":"","family":"Nigussie","given":"Jemberu","non-dropping-particle":"","parse-names":false,"suffix":""},{"dropping-particle":"",</w:instrText>
      </w:r>
      <w:r w:rsidRPr="00C13CBE">
        <w:rPr>
          <w:rFonts w:ascii="Times New Roman" w:hAnsi="Times New Roman" w:cs="Times New Roman"/>
          <w:b/>
          <w:sz w:val="24"/>
          <w:szCs w:val="24"/>
        </w:rPr>
        <w:instrText>"family":"Girma","given":"Bekahegn","non-dropping-particle":"","parse-names":false,"suffix":""},{"dropping-particle":"","family":"Molla","given":"Alemayehu","non-dropping-particle":"","parse-names":false,"suffix":""},{"dropping-particle":"","family":"Mareg</w:instrText>
      </w:r>
      <w:r w:rsidRPr="00C13CBE">
        <w:rPr>
          <w:rFonts w:ascii="Times New Roman" w:hAnsi="Times New Roman" w:cs="Times New Roman"/>
          <w:b/>
          <w:sz w:val="24"/>
          <w:szCs w:val="24"/>
        </w:rPr>
        <w:instrText>","given":"Moges","non-dropping-particle":"","parse-names":false,"suffix":""}],"container-title":"BioMed Research International","id":"ITEM-1","issued":{"date-parts":[["2021"]]},"publisher":"Hindawi Limited","title":"Tetanus Toxoid Vaccination Coverage and</w:instrText>
      </w:r>
      <w:r w:rsidRPr="00C13CBE">
        <w:rPr>
          <w:rFonts w:ascii="Times New Roman" w:hAnsi="Times New Roman" w:cs="Times New Roman"/>
          <w:b/>
          <w:sz w:val="24"/>
          <w:szCs w:val="24"/>
        </w:rPr>
        <w:instrText xml:space="preserve"> Associated Factors among Childbearing Women in Ethiopia: A Systematic Review and Meta-Analysis","type":"article-journal","volume":"2021"},"uris":["http://www.mendeley.com/documents/?uuid=0c4d7f47-5124-3f50-9754-41a9a78f18c5"]}],"mendeley":{"formattedCitat</w:instrText>
      </w:r>
      <w:r w:rsidRPr="00C13CBE">
        <w:rPr>
          <w:rFonts w:ascii="Times New Roman" w:hAnsi="Times New Roman" w:cs="Times New Roman"/>
          <w:b/>
          <w:sz w:val="24"/>
          <w:szCs w:val="24"/>
        </w:rPr>
        <w:instrText>ion":"(Nigussie et al., 2021)","plainTextFormattedCitation":"(Nigussie et al., 2021)","previouslyFormattedCitation":"(Nigussie et al., 2021)"},"properties":{"noteIndex":0},"schema":"https://github.com/citation-style-language/schema/raw/master/csl-citation.</w:instrText>
      </w:r>
      <w:r w:rsidRPr="00C13CBE">
        <w:rPr>
          <w:rFonts w:ascii="Times New Roman" w:hAnsi="Times New Roman" w:cs="Times New Roman"/>
          <w:b/>
          <w:sz w:val="24"/>
          <w:szCs w:val="24"/>
        </w:rPr>
        <w:instrText>json"}</w:instrText>
      </w:r>
      <w:r w:rsidRPr="00C13CBE">
        <w:rPr>
          <w:rFonts w:ascii="Times New Roman" w:hAnsi="Times New Roman" w:cs="Times New Roman"/>
          <w:b/>
          <w:sz w:val="24"/>
          <w:szCs w:val="24"/>
        </w:rPr>
        <w:fldChar w:fldCharType="separate"/>
      </w:r>
      <w:r w:rsidRPr="00C13CBE">
        <w:rPr>
          <w:rFonts w:ascii="Times New Roman" w:hAnsi="Times New Roman" w:cs="Times New Roman"/>
          <w:b/>
          <w:sz w:val="24"/>
          <w:szCs w:val="24"/>
        </w:rPr>
        <w:t>(Nigussie et al., 2021)</w:t>
      </w:r>
      <w:r w:rsidRPr="00C13CBE">
        <w:rPr>
          <w:rFonts w:ascii="Times New Roman" w:hAnsi="Times New Roman" w:cs="Times New Roman"/>
          <w:b/>
          <w:sz w:val="24"/>
          <w:szCs w:val="24"/>
        </w:rPr>
        <w:fldChar w:fldCharType="end"/>
      </w:r>
    </w:p>
    <w:p w:rsidR="00933667" w:rsidRDefault="009466D8">
      <w:pPr>
        <w:tabs>
          <w:tab w:val="left" w:pos="279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KNOWLEDGE</w:t>
      </w:r>
    </w:p>
    <w:p w:rsidR="00933667" w:rsidRDefault="00933667">
      <w:pPr>
        <w:spacing w:line="360" w:lineRule="auto"/>
        <w:jc w:val="both"/>
        <w:rPr>
          <w:rFonts w:ascii="Times New Roman" w:eastAsia="SimSun" w:hAnsi="Times New Roman" w:cs="Times New Roman"/>
          <w:b/>
          <w:bCs/>
          <w:color w:val="222222"/>
          <w:sz w:val="24"/>
          <w:szCs w:val="24"/>
          <w:shd w:val="clear" w:color="auto" w:fill="FFFFFF"/>
        </w:rPr>
      </w:pPr>
    </w:p>
    <w:sectPr w:rsidR="00933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6D8" w:rsidRDefault="009466D8">
      <w:pPr>
        <w:spacing w:line="240" w:lineRule="auto"/>
      </w:pPr>
      <w:r>
        <w:separator/>
      </w:r>
    </w:p>
  </w:endnote>
  <w:endnote w:type="continuationSeparator" w:id="0">
    <w:p w:rsidR="009466D8" w:rsidRDefault="00946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6D8" w:rsidRDefault="009466D8">
      <w:pPr>
        <w:spacing w:after="0"/>
      </w:pPr>
      <w:r>
        <w:separator/>
      </w:r>
    </w:p>
  </w:footnote>
  <w:footnote w:type="continuationSeparator" w:id="0">
    <w:p w:rsidR="009466D8" w:rsidRDefault="009466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0C"/>
    <w:rsid w:val="00166599"/>
    <w:rsid w:val="00303CBD"/>
    <w:rsid w:val="00347342"/>
    <w:rsid w:val="00386ECD"/>
    <w:rsid w:val="00443F0C"/>
    <w:rsid w:val="00802CF6"/>
    <w:rsid w:val="00933667"/>
    <w:rsid w:val="00945814"/>
    <w:rsid w:val="009466D8"/>
    <w:rsid w:val="00A10E06"/>
    <w:rsid w:val="00C13CBE"/>
    <w:rsid w:val="17B57BF4"/>
    <w:rsid w:val="407D24AB"/>
    <w:rsid w:val="4CA81B90"/>
    <w:rsid w:val="4CD32F17"/>
    <w:rsid w:val="52C37030"/>
    <w:rsid w:val="5BC6167E"/>
    <w:rsid w:val="60B707B9"/>
    <w:rsid w:val="755C3F1C"/>
    <w:rsid w:val="7BC778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80D"/>
  <w15:docId w15:val="{89C5B99B-E6E2-4E0D-A914-F94EA57F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unhideWhenUsed/>
    <w:qFormat/>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rPr>
      <w:sz w:val="24"/>
      <w:szCs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Tuuneey</dc:creator>
  <cp:lastModifiedBy>HP</cp:lastModifiedBy>
  <cp:revision>3</cp:revision>
  <dcterms:created xsi:type="dcterms:W3CDTF">2025-04-01T16:12:00Z</dcterms:created>
  <dcterms:modified xsi:type="dcterms:W3CDTF">2025-04-03T20:50:00Z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C0F92C37F34643448C93EC7596E4F7A3_13</vt:lpwstr>
  </property>
</Properties>
</file>