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Arial" w:cs="Arial" w:eastAsia="Arial" w:hAnsi="Arial"/>
          <w:b/>
          <w:bCs/>
          <w:color w:val="B87F1E"/>
          <w:spacing w:val="120"/>
          <w:sz w:val="18"/>
          <w:szCs w:val="18"/>
        </w:rPr>
        <w:t xml:space="preserve">PRODUCTION BRIEF</w:t>
      </w:r>
    </w:p>
    <w:p>
      <w:pPr>
        <w:spacing w:after="0" w:before="40"/>
      </w:pPr>
      <w:r>
        <w:rPr>
          <w:rFonts w:ascii="Cambria" w:cs="Cambria" w:eastAsia="Cambria" w:hAnsi="Cambria"/>
          <w:b/>
          <w:bCs/>
          <w:color w:val="12171F"/>
          <w:sz w:val="46"/>
          <w:szCs w:val="46"/>
        </w:rPr>
        <w:t xml:space="preserve">Sawt al-Nahr — Documentary Series</w:t>
      </w:r>
    </w:p>
    <w:p>
      <w:pPr>
        <w:bidi/>
        <w:spacing w:after="60"/>
        <w:jc w:val="left"/>
      </w:pPr>
      <w:r>
        <w:rPr>
          <w:rFonts w:ascii="Arial" w:cs="Arial" w:hAnsi="Arial"/>
          <w:color w:val="2E7D74"/>
          <w:sz w:val="34"/>
          <w:szCs w:val="34"/>
          <w:rtl/>
        </w:rPr>
        <w:t xml:space="preserve">صوت النهر — سلسلة وثائقية</w:t>
      </w:r>
    </w:p>
    <w:p>
      <w:pPr>
        <w:pBdr>
          <w:bottom w:val="single" w:color="B87F1E" w:sz="12" w:space="8"/>
        </w:pBdr>
        <w:spacing w:after="300"/>
      </w:pPr>
      <w:r>
        <w:rPr>
          <w:rFonts w:ascii="Arial" w:cs="Arial" w:eastAsia="Arial" w:hAnsi="Arial"/>
          <w:color w:val="5B6470"/>
          <w:sz w:val="19"/>
          <w:szCs w:val="19"/>
        </w:rPr>
        <w:t xml:space="preserve">Season 2  ·  Episodes 04–06  ·  Draft 3.1  ·  Revised 12 May 2026</w:t>
      </w:r>
    </w:p>
    <w:tbl>
      <w:tblPr>
        <w:tblW w:type="dxa" w:w="9120"/>
        <w:tblBorders>
          <w:top w:val="single" w:color="D8D3C9" w:sz="4"/>
          <w:left w:val="single" w:color="D8D3C9" w:sz="4"/>
          <w:bottom w:val="single" w:color="D8D3C9" w:sz="4"/>
          <w:right w:val="single" w:color="D8D3C9" w:sz="4"/>
          <w:insideH w:val="single" w:color="D8D3C9" w:sz="2"/>
          <w:insideV w:val="single" w:color="D8D3C9" w:sz="2"/>
        </w:tblBorders>
      </w:tblPr>
      <w:tblGrid>
        <w:gridCol w:w="2600"/>
        <w:gridCol w:w="6520"/>
      </w:tblGrid>
      <w:tr>
        <w:tc>
          <w:tcPr>
            <w:tcW w:type="dxa" w:w="2600"/>
            <w:shd w:fill="F4F1EC" w:color="auto" w:val="clear"/>
            <w:tcMar>
              <w:top w:type="dxa" w:w="80"/>
              <w:left w:type="dxa" w:w="120"/>
              <w:bottom w:type="dxa" w:w="80"/>
              <w:right w:type="dxa" w:w="120"/>
            </w:tcMar>
            <w:vAlign w:val="center"/>
          </w:tcPr>
          <w:p>
            <w:r>
              <w:rPr>
                <w:rFonts w:ascii="Arial" w:cs="Arial" w:eastAsia="Arial" w:hAnsi="Arial"/>
                <w:b/>
                <w:bCs/>
                <w:color w:val="12171F"/>
                <w:sz w:val="18"/>
                <w:szCs w:val="18"/>
              </w:rPr>
              <w:t xml:space="preserve">Client</w:t>
            </w:r>
          </w:p>
          <w:p>
            <w:pPr>
              <w:bidi/>
              <w:jc w:val="left"/>
            </w:pPr>
            <w:r>
              <w:rPr>
                <w:rFonts w:ascii="Arial" w:cs="Arial" w:hAnsi="Arial"/>
                <w:color w:val="5B6470"/>
                <w:sz w:val="18"/>
                <w:szCs w:val="18"/>
                <w:rtl/>
              </w:rPr>
              <w:t xml:space="preserve">العميل</w:t>
            </w:r>
          </w:p>
        </w:tc>
        <w:tc>
          <w:tcPr>
            <w:tcW w:type="dxa" w:w="6520"/>
            <w:tcMar>
              <w:top w:type="dxa" w:w="80"/>
              <w:left w:type="dxa" w:w="120"/>
              <w:bottom w:type="dxa" w:w="80"/>
              <w:right w:type="dxa" w:w="120"/>
            </w:tcMar>
            <w:vAlign w:val="center"/>
          </w:tcPr>
          <w:p>
            <w:r>
              <w:rPr>
                <w:rFonts w:ascii="Arial" w:cs="Arial" w:eastAsia="Arial" w:hAnsi="Arial"/>
                <w:sz w:val="21"/>
                <w:szCs w:val="21"/>
              </w:rPr>
              <w:t xml:space="preserve">Nile Heritage Foundation / مؤسسة تراث النيل</w:t>
            </w:r>
          </w:p>
        </w:tc>
      </w:tr>
      <w:tr>
        <w:tc>
          <w:tcPr>
            <w:tcW w:type="dxa" w:w="2600"/>
            <w:shd w:fill="F4F1EC" w:color="auto" w:val="clear"/>
            <w:tcMar>
              <w:top w:type="dxa" w:w="80"/>
              <w:left w:type="dxa" w:w="120"/>
              <w:bottom w:type="dxa" w:w="80"/>
              <w:right w:type="dxa" w:w="120"/>
            </w:tcMar>
            <w:vAlign w:val="center"/>
          </w:tcPr>
          <w:p>
            <w:r>
              <w:rPr>
                <w:rFonts w:ascii="Arial" w:cs="Arial" w:eastAsia="Arial" w:hAnsi="Arial"/>
                <w:b/>
                <w:bCs/>
                <w:color w:val="12171F"/>
                <w:sz w:val="18"/>
                <w:szCs w:val="18"/>
              </w:rPr>
              <w:t xml:space="preserve">Director</w:t>
            </w:r>
          </w:p>
          <w:p>
            <w:pPr>
              <w:bidi/>
              <w:jc w:val="left"/>
            </w:pPr>
            <w:r>
              <w:rPr>
                <w:rFonts w:ascii="Arial" w:cs="Arial" w:hAnsi="Arial"/>
                <w:color w:val="5B6470"/>
                <w:sz w:val="18"/>
                <w:szCs w:val="18"/>
                <w:rtl/>
              </w:rPr>
              <w:t xml:space="preserve">المخرج</w:t>
            </w:r>
          </w:p>
        </w:tc>
        <w:tc>
          <w:tcPr>
            <w:tcW w:type="dxa" w:w="6520"/>
            <w:tcMar>
              <w:top w:type="dxa" w:w="80"/>
              <w:left w:type="dxa" w:w="120"/>
              <w:bottom w:type="dxa" w:w="80"/>
              <w:right w:type="dxa" w:w="120"/>
            </w:tcMar>
            <w:vAlign w:val="center"/>
          </w:tcPr>
          <w:p>
            <w:pPr>
              <w:bidi/>
              <w:jc w:val="right"/>
            </w:pPr>
            <w:r>
              <w:rPr>
                <w:rFonts w:ascii="Arial" w:cs="Arial" w:hAnsi="Arial"/>
                <w:sz w:val="22"/>
                <w:szCs w:val="22"/>
                <w:rtl/>
              </w:rPr>
              <w:t xml:space="preserve">ليلى عبد الرحمن</w:t>
            </w:r>
          </w:p>
        </w:tc>
      </w:tr>
      <w:tr>
        <w:tc>
          <w:tcPr>
            <w:tcW w:type="dxa" w:w="2600"/>
            <w:shd w:fill="F4F1EC" w:color="auto" w:val="clear"/>
            <w:tcMar>
              <w:top w:type="dxa" w:w="80"/>
              <w:left w:type="dxa" w:w="120"/>
              <w:bottom w:type="dxa" w:w="80"/>
              <w:right w:type="dxa" w:w="120"/>
            </w:tcMar>
            <w:vAlign w:val="center"/>
          </w:tcPr>
          <w:p>
            <w:r>
              <w:rPr>
                <w:rFonts w:ascii="Arial" w:cs="Arial" w:eastAsia="Arial" w:hAnsi="Arial"/>
                <w:b/>
                <w:bCs/>
                <w:color w:val="12171F"/>
                <w:sz w:val="18"/>
                <w:szCs w:val="18"/>
              </w:rPr>
              <w:t xml:space="preserve">Editor</w:t>
            </w:r>
          </w:p>
          <w:p>
            <w:pPr>
              <w:bidi/>
              <w:jc w:val="left"/>
            </w:pPr>
            <w:r>
              <w:rPr>
                <w:rFonts w:ascii="Arial" w:cs="Arial" w:hAnsi="Arial"/>
                <w:color w:val="5B6470"/>
                <w:sz w:val="18"/>
                <w:szCs w:val="18"/>
                <w:rtl/>
              </w:rPr>
              <w:t xml:space="preserve">المونتير</w:t>
            </w:r>
          </w:p>
        </w:tc>
        <w:tc>
          <w:tcPr>
            <w:tcW w:type="dxa" w:w="6520"/>
            <w:tcMar>
              <w:top w:type="dxa" w:w="80"/>
              <w:left w:type="dxa" w:w="120"/>
              <w:bottom w:type="dxa" w:w="80"/>
              <w:right w:type="dxa" w:w="120"/>
            </w:tcMar>
            <w:vAlign w:val="center"/>
          </w:tcPr>
          <w:p>
            <w:r>
              <w:rPr>
                <w:rFonts w:ascii="Arial" w:cs="Arial" w:eastAsia="Arial" w:hAnsi="Arial"/>
                <w:sz w:val="21"/>
                <w:szCs w:val="21"/>
              </w:rPr>
              <w:t xml:space="preserve">Karim Fahmy  —  Premiere Pro 2026 / DaVinci Resolve 20</w:t>
            </w:r>
          </w:p>
        </w:tc>
      </w:tr>
      <w:tr>
        <w:tc>
          <w:tcPr>
            <w:tcW w:type="dxa" w:w="2600"/>
            <w:shd w:fill="F4F1EC" w:color="auto" w:val="clear"/>
            <w:tcMar>
              <w:top w:type="dxa" w:w="80"/>
              <w:left w:type="dxa" w:w="120"/>
              <w:bottom w:type="dxa" w:w="80"/>
              <w:right w:type="dxa" w:w="120"/>
            </w:tcMar>
            <w:vAlign w:val="center"/>
          </w:tcPr>
          <w:p>
            <w:r>
              <w:rPr>
                <w:rFonts w:ascii="Arial" w:cs="Arial" w:eastAsia="Arial" w:hAnsi="Arial"/>
                <w:b/>
                <w:bCs/>
                <w:color w:val="12171F"/>
                <w:sz w:val="18"/>
                <w:szCs w:val="18"/>
              </w:rPr>
              <w:t xml:space="preserve">Delivery</w:t>
            </w:r>
          </w:p>
          <w:p>
            <w:pPr>
              <w:bidi/>
              <w:jc w:val="left"/>
            </w:pPr>
            <w:r>
              <w:rPr>
                <w:rFonts w:ascii="Arial" w:cs="Arial" w:hAnsi="Arial"/>
                <w:color w:val="5B6470"/>
                <w:sz w:val="18"/>
                <w:szCs w:val="18"/>
                <w:rtl/>
              </w:rPr>
              <w:t xml:space="preserve">التسليم</w:t>
            </w:r>
          </w:p>
        </w:tc>
        <w:tc>
          <w:tcPr>
            <w:tcW w:type="dxa" w:w="6520"/>
            <w:tcMar>
              <w:top w:type="dxa" w:w="80"/>
              <w:left w:type="dxa" w:w="120"/>
              <w:bottom w:type="dxa" w:w="80"/>
              <w:right w:type="dxa" w:w="120"/>
            </w:tcMar>
            <w:vAlign w:val="center"/>
          </w:tcPr>
          <w:p>
            <w:r>
              <w:rPr>
                <w:rFonts w:ascii="Arial" w:cs="Arial" w:eastAsia="Arial" w:hAnsi="Arial"/>
                <w:sz w:val="21"/>
                <w:szCs w:val="21"/>
              </w:rPr>
              <w:t xml:space="preserve">3 × 26 min  ·  UHD 3840×2160  ·  25 fps  ·  Rec.709</w:t>
            </w:r>
          </w:p>
        </w:tc>
      </w:tr>
    </w:tbl>
    <w:p>
      <w:pPr>
        <w:spacing w:after="80" w:before="320"/>
      </w:pPr>
      <w:r>
        <w:rPr>
          <w:rFonts w:ascii="Cambria" w:cs="Cambria" w:eastAsia="Cambria" w:hAnsi="Cambria"/>
          <w:b/>
          <w:bCs/>
          <w:color w:val="12171F"/>
          <w:sz w:val="24"/>
          <w:szCs w:val="24"/>
        </w:rPr>
        <w:t xml:space="preserve">Contents / المحتويات</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60" w:before="360"/>
      </w:pPr>
      <w:r>
        <w:rPr>
          <w:rFonts w:ascii="Cambria" w:cs="Cambria" w:eastAsia="Cambria" w:hAnsi="Cambria"/>
          <w:b/>
          <w:bCs/>
          <w:color w:val="12171F"/>
          <w:sz w:val="30"/>
          <w:szCs w:val="30"/>
        </w:rPr>
        <w:t xml:space="preserve">1. Project Overview</w:t>
      </w:r>
    </w:p>
    <w:p>
      <w:pPr>
        <w:pBdr>
          <w:bottom w:val="single" w:color="D8D3C9" w:sz="6" w:space="6"/>
        </w:pBdr>
        <w:bidi/>
        <w:spacing w:after="200"/>
        <w:jc w:val="right"/>
      </w:pPr>
      <w:r>
        <w:rPr>
          <w:rFonts w:ascii="Arial" w:cs="Arial" w:hAnsi="Arial"/>
          <w:b/>
          <w:bCs/>
          <w:color w:val="B87F1E"/>
          <w:sz w:val="26"/>
          <w:szCs w:val="26"/>
          <w:rtl/>
        </w:rPr>
        <w:t xml:space="preserve">١. نظرة عامة على المشروع</w:t>
      </w:r>
    </w:p>
    <w:p>
      <w:pPr>
        <w:spacing w:after="120" w:line="300"/>
        <w:jc w:val="both"/>
      </w:pPr>
      <w:r>
        <w:rPr>
          <w:rFonts w:ascii="Arial" w:cs="Arial" w:eastAsia="Arial" w:hAnsi="Arial"/>
          <w:sz w:val="21"/>
          <w:szCs w:val="21"/>
        </w:rPr>
        <w:t xml:space="preserve">Sawt al-Nahr follows three families whose livelihoods depend on the Nile between Aswan and Rosetta. Episodes 04–06 move the series from portraiture into argument: each cut should carry one clear question and answer it with images before anyone speaks. The offline edit is built in Premiere Pro; the conform, grade and deliverables happen in DaVinci Resolve.</w:t>
      </w:r>
    </w:p>
    <w:p>
      <w:pPr>
        <w:bidi/>
        <w:spacing w:after="200" w:line="320"/>
        <w:jc w:val="right"/>
      </w:pPr>
      <w:r>
        <w:rPr>
          <w:rFonts w:ascii="Arial" w:cs="Arial" w:hAnsi="Arial"/>
          <w:sz w:val="22"/>
          <w:szCs w:val="22"/>
          <w:rtl/>
        </w:rPr>
        <w:t xml:space="preserve">تتابع سلسلة «صوت النهر» ثلاث عائلات ترتبط معيشتها بالنيل بين أسوان ورشيد. تنتقل الحلقات من الرابعة إلى السادسة من التصوير الشخصي إلى الطرح والتحليل، بحيث تحمل كل حلقة سؤالًا واضحًا وتجيب عنه بالصورة قبل الكلام. يجري المونتاج الأولي على برنامج بريمير برو، بينما تتم عمليات التجميع النهائي وتصحيح الألوان والتسليم على دافينشي ريزولف.</w:t>
      </w:r>
    </w:p>
    <w:p>
      <w:pPr>
        <w:pStyle w:val="Heading2"/>
        <w:spacing w:after="100" w:before="260"/>
      </w:pPr>
      <w:r>
        <w:rPr>
          <w:rFonts w:ascii="Cambria" w:cs="Cambria" w:eastAsia="Cambria" w:hAnsi="Cambria"/>
          <w:b/>
          <w:bCs/>
          <w:color w:val="12171F"/>
          <w:sz w:val="24"/>
          <w:szCs w:val="24"/>
        </w:rPr>
        <w:t xml:space="preserve">1.1 Objectives</w:t>
      </w:r>
      <w:r>
        <w:rPr>
          <w:rFonts w:ascii="Arial" w:cs="Arial" w:eastAsia="Arial" w:hAnsi="Arial"/>
          <w:sz w:val="24"/>
          <w:szCs w:val="24"/>
        </w:rPr>
        <w:t xml:space="preserve">   </w:t>
      </w:r>
      <w:r>
        <w:rPr>
          <w:rFonts w:ascii="Arial" w:cs="Arial" w:eastAsia="Arial" w:hAnsi="Arial"/>
          <w:color w:val="5B6470"/>
          <w:sz w:val="22"/>
          <w:szCs w:val="22"/>
          <w:rtl/>
        </w:rPr>
        <w:t xml:space="preserve">الأهداف</w:t>
      </w:r>
    </w:p>
    <w:p>
      <w:pPr>
        <w:pStyle w:val="ListParagraph"/>
        <w:numPr>
          <w:ilvl w:val="0"/>
          <w:numId w:val="2"/>
        </w:numPr>
        <w:spacing w:after="60"/>
      </w:pPr>
      <w:r>
        <w:rPr>
          <w:rFonts w:ascii="Arial" w:cs="Arial" w:eastAsia="Arial" w:hAnsi="Arial"/>
          <w:sz w:val="21"/>
          <w:szCs w:val="21"/>
        </w:rPr>
        <w:t xml:space="preserve">Hold the audience through a six-minute cold open with no narration.</w:t>
      </w:r>
    </w:p>
    <w:p>
      <w:pPr>
        <w:pStyle w:val="ListParagraph"/>
        <w:numPr>
          <w:ilvl w:val="0"/>
          <w:numId w:val="2"/>
        </w:numPr>
        <w:spacing w:after="60"/>
      </w:pPr>
      <w:r>
        <w:rPr>
          <w:rFonts w:ascii="Arial" w:cs="Arial" w:eastAsia="Arial" w:hAnsi="Arial"/>
          <w:sz w:val="21"/>
          <w:szCs w:val="21"/>
        </w:rPr>
        <w:t xml:space="preserve">Keep archive material under 20% of running time.</w:t>
      </w:r>
    </w:p>
    <w:p>
      <w:pPr>
        <w:pStyle w:val="ListParagraph"/>
        <w:numPr>
          <w:ilvl w:val="1"/>
          <w:numId w:val="2"/>
        </w:numPr>
        <w:spacing w:after="60"/>
      </w:pPr>
      <w:r>
        <w:rPr>
          <w:rFonts w:ascii="Arial" w:cs="Arial" w:eastAsia="Arial" w:hAnsi="Arial"/>
          <w:sz w:val="21"/>
          <w:szCs w:val="21"/>
        </w:rPr>
        <w:t xml:space="preserve">Prefer 1970s 16 mm over broadcast news where both exist.</w:t>
      </w:r>
    </w:p>
    <w:p>
      <w:pPr>
        <w:pStyle w:val="ListParagraph"/>
        <w:numPr>
          <w:ilvl w:val="0"/>
          <w:numId w:val="2"/>
        </w:numPr>
        <w:spacing w:after="200"/>
      </w:pPr>
      <w:r>
        <w:rPr>
          <w:rFonts w:ascii="Arial" w:cs="Arial" w:eastAsia="Arial" w:hAnsi="Arial"/>
          <w:sz w:val="21"/>
          <w:szCs w:val="21"/>
        </w:rPr>
        <w:t xml:space="preserve">Deliver a clean textless master alongside every subtitled version.</w:t>
      </w:r>
    </w:p>
    <w:p>
      <w:pPr>
        <w:pStyle w:val="ListParagraph"/>
        <w:numPr>
          <w:ilvl w:val="0"/>
          <w:numId w:val="2"/>
        </w:numPr>
        <w:bidi/>
        <w:spacing w:after="60"/>
        <w:jc w:val="right"/>
      </w:pPr>
      <w:r>
        <w:rPr>
          <w:rFonts w:ascii="Arial" w:cs="Arial" w:hAnsi="Arial"/>
          <w:sz w:val="22"/>
          <w:szCs w:val="22"/>
          <w:rtl/>
        </w:rPr>
        <w:t xml:space="preserve">الحفاظ على انتباه المشاهد خلال افتتاحية مدتها ست دقائق بلا تعليق صوتي.</w:t>
      </w:r>
    </w:p>
    <w:p>
      <w:pPr>
        <w:pStyle w:val="ListParagraph"/>
        <w:numPr>
          <w:ilvl w:val="0"/>
          <w:numId w:val="2"/>
        </w:numPr>
        <w:bidi/>
        <w:spacing w:after="60"/>
        <w:jc w:val="right"/>
      </w:pPr>
      <w:r>
        <w:rPr>
          <w:rFonts w:ascii="Arial" w:cs="Arial" w:hAnsi="Arial"/>
          <w:sz w:val="22"/>
          <w:szCs w:val="22"/>
          <w:rtl/>
        </w:rPr>
        <w:t xml:space="preserve">ألا تتجاوز مواد الأرشيف عشرين بالمئة من زمن الحلقة.</w:t>
      </w:r>
    </w:p>
    <w:p>
      <w:pPr>
        <w:pStyle w:val="ListParagraph"/>
        <w:numPr>
          <w:ilvl w:val="0"/>
          <w:numId w:val="2"/>
        </w:numPr>
        <w:bidi/>
        <w:spacing w:after="200"/>
        <w:jc w:val="right"/>
      </w:pPr>
      <w:r>
        <w:rPr>
          <w:rFonts w:ascii="Arial" w:cs="Arial" w:hAnsi="Arial"/>
          <w:sz w:val="22"/>
          <w:szCs w:val="22"/>
          <w:rtl/>
        </w:rPr>
        <w:t xml:space="preserve">تسليم نسخة نظيفة بلا نصوص مع كل نسخة مترجمة.</w:t>
      </w:r>
    </w:p>
    <w:p>
      <w:pPr>
        <w:pStyle w:val="Heading2"/>
        <w:spacing w:after="100" w:before="260"/>
      </w:pPr>
      <w:r>
        <w:rPr>
          <w:rFonts w:ascii="Cambria" w:cs="Cambria" w:eastAsia="Cambria" w:hAnsi="Cambria"/>
          <w:b/>
          <w:bCs/>
          <w:color w:val="12171F"/>
          <w:sz w:val="24"/>
          <w:szCs w:val="24"/>
        </w:rPr>
        <w:t xml:space="preserve">1.2 Deliverables</w:t>
      </w:r>
      <w:r>
        <w:rPr>
          <w:rFonts w:ascii="Arial" w:cs="Arial" w:eastAsia="Arial" w:hAnsi="Arial"/>
          <w:sz w:val="24"/>
          <w:szCs w:val="24"/>
        </w:rPr>
        <w:t xml:space="preserve">   </w:t>
      </w:r>
      <w:r>
        <w:rPr>
          <w:rFonts w:ascii="Arial" w:cs="Arial" w:eastAsia="Arial" w:hAnsi="Arial"/>
          <w:color w:val="5B6470"/>
          <w:sz w:val="22"/>
          <w:szCs w:val="22"/>
          <w:rtl/>
        </w:rPr>
        <w:t xml:space="preserve">المخرجات</w:t>
      </w:r>
    </w:p>
    <w:p>
      <w:pPr>
        <w:pStyle w:val="ListParagraph"/>
        <w:numPr>
          <w:ilvl w:val="0"/>
          <w:numId w:val="3"/>
        </w:numPr>
        <w:spacing w:after="60"/>
      </w:pPr>
      <w:r>
        <w:rPr>
          <w:rFonts w:ascii="Arial" w:cs="Arial" w:eastAsia="Arial" w:hAnsi="Arial"/>
          <w:sz w:val="21"/>
          <w:szCs w:val="21"/>
        </w:rPr>
        <w:t xml:space="preserve">Broadcast master, per the specification in </w:t>
      </w:r>
      <w:hyperlink w:history="1" w:anchor="specs">
        <w:r>
          <w:rPr>
            <w:rFonts w:ascii="Arial" w:cs="Arial" w:eastAsia="Arial" w:hAnsi="Arial"/>
            <w:color w:val="1155CC"/>
            <w:sz w:val="21"/>
            <w:szCs w:val="21"/>
            <w:u w:val="single"/>
          </w:rPr>
          <w:t xml:space="preserve">Section 2</w:t>
        </w:r>
      </w:hyperlink>
      <w:r>
        <w:rPr>
          <w:rFonts w:ascii="Arial" w:cs="Arial" w:eastAsia="Arial" w:hAnsi="Arial"/>
          <w:sz w:val="21"/>
          <w:szCs w:val="21"/>
        </w:rPr>
        <w:t xml:space="preserve">.</w:t>
      </w:r>
    </w:p>
    <w:p>
      <w:pPr>
        <w:pStyle w:val="ListParagraph"/>
        <w:numPr>
          <w:ilvl w:val="0"/>
          <w:numId w:val="3"/>
        </w:numPr>
        <w:spacing w:after="60"/>
      </w:pPr>
      <w:r>
        <w:rPr>
          <w:rFonts w:ascii="Arial" w:cs="Arial" w:eastAsia="Arial" w:hAnsi="Arial"/>
          <w:sz w:val="21"/>
          <w:szCs w:val="21"/>
        </w:rPr>
        <w:t xml:space="preserve">Web cut with burned-in Arabic subtitles.</w:t>
      </w:r>
    </w:p>
    <w:p>
      <w:pPr>
        <w:pStyle w:val="ListParagraph"/>
        <w:numPr>
          <w:ilvl w:val="1"/>
          <w:numId w:val="3"/>
        </w:numPr>
        <w:spacing w:after="60"/>
      </w:pPr>
      <w:r>
        <w:rPr>
          <w:rFonts w:ascii="Arial" w:cs="Arial" w:eastAsia="Arial" w:hAnsi="Arial"/>
          <w:sz w:val="21"/>
          <w:szCs w:val="21"/>
        </w:rPr>
        <w:t xml:space="preserve">Vertical 9:16 trailer, 45 seconds, for social.</w:t>
      </w:r>
    </w:p>
    <w:p>
      <w:pPr>
        <w:pStyle w:val="ListParagraph"/>
        <w:numPr>
          <w:ilvl w:val="1"/>
          <w:numId w:val="3"/>
        </w:numPr>
        <w:spacing w:after="60"/>
      </w:pPr>
      <w:r>
        <w:rPr>
          <w:rFonts w:ascii="Arial" w:cs="Arial" w:eastAsia="Arial" w:hAnsi="Arial"/>
          <w:sz w:val="21"/>
          <w:szCs w:val="21"/>
        </w:rPr>
        <w:t xml:space="preserve">Six still frames at full resolution for press.</w:t>
      </w:r>
    </w:p>
    <w:p>
      <w:pPr>
        <w:pStyle w:val="ListParagraph"/>
        <w:numPr>
          <w:ilvl w:val="0"/>
          <w:numId w:val="3"/>
        </w:numPr>
        <w:spacing w:after="240"/>
      </w:pPr>
      <w:r>
        <w:rPr>
          <w:rFonts w:ascii="Arial" w:cs="Arial" w:eastAsia="Arial" w:hAnsi="Arial"/>
          <w:sz w:val="21"/>
          <w:szCs w:val="21"/>
        </w:rPr>
        <w:t xml:space="preserve">Archive package: project files, LUTs, and a bin-by-bin media report.</w:t>
      </w:r>
    </w:p>
    <w:p>
      <w:pPr>
        <w:pBdr>
          <w:left w:val="single" w:color="B87F1E" w:sz="18" w:space="14"/>
        </w:pBdr>
        <w:spacing w:after="240" w:before="60"/>
        <w:ind w:left="360"/>
      </w:pPr>
      <w:r>
        <w:rPr>
          <w:rFonts w:ascii="Cambria" w:cs="Cambria" w:eastAsia="Cambria" w:hAnsi="Cambria"/>
          <w:i/>
          <w:iCs/>
          <w:color w:val="12171F"/>
          <w:sz w:val="24"/>
          <w:szCs w:val="24"/>
        </w:rPr>
        <w:t xml:space="preserve">“Cut on the movement, not on the word.”</w:t>
      </w:r>
      <w:r>
        <w:rPr>
          <w:rFonts w:ascii="Arial" w:cs="Arial" w:eastAsia="Arial" w:hAnsi="Arial"/>
          <w:color w:val="5B6470"/>
          <w:sz w:val="20"/>
          <w:szCs w:val="20"/>
        </w:rPr>
        <w:t xml:space="preserve">  —  </w:t>
      </w:r>
      <w:r>
        <w:rPr>
          <w:rFonts w:ascii="Arial" w:cs="Arial" w:eastAsia="Arial" w:hAnsi="Arial"/>
          <w:color w:val="5B6470"/>
          <w:sz w:val="21"/>
          <w:szCs w:val="21"/>
          <w:rtl/>
        </w:rPr>
        <w:t xml:space="preserve">«اقطع على الحركة، لا على الكلمة.»</w:t>
      </w:r>
    </w:p>
    <w:p>
      <w:pPr>
        <w:pStyle w:val="Heading1"/>
        <w:spacing w:after="60" w:before="360"/>
      </w:pPr>
      <w:r>
        <w:rPr>
          <w:rFonts w:ascii="Cambria" w:cs="Cambria" w:eastAsia="Cambria" w:hAnsi="Cambria"/>
          <w:b/>
          <w:bCs/>
          <w:color w:val="12171F"/>
          <w:sz w:val="30"/>
          <w:szCs w:val="30"/>
        </w:rPr>
        <w:t xml:space="preserve">2. Technical Specifications</w:t>
      </w:r>
    </w:p>
    <w:p>
      <w:pPr>
        <w:pBdr>
          <w:bottom w:val="single" w:color="D8D3C9" w:sz="6" w:space="6"/>
        </w:pBdr>
        <w:bidi/>
        <w:spacing w:after="200"/>
        <w:jc w:val="right"/>
      </w:pPr>
      <w:r>
        <w:rPr>
          <w:rFonts w:ascii="Arial" w:cs="Arial" w:hAnsi="Arial"/>
          <w:b/>
          <w:bCs/>
          <w:color w:val="B87F1E"/>
          <w:sz w:val="26"/>
          <w:szCs w:val="26"/>
          <w:rtl/>
        </w:rPr>
        <w:t xml:space="preserve">٢. المواصفات الفنية</w:t>
      </w:r>
    </w:p>
    <w:p>
      <w:pPr>
        <w:spacing w:after="160"/>
      </w:pPr>
      <w:bookmarkStart w:name="specs" w:id="1"/>
      <w:r>
        <w:rPr>
          <w:rFonts w:ascii="Arial" w:cs="Arial" w:eastAsia="Arial" w:hAnsi="Arial"/>
          <w:sz w:val="21"/>
          <w:szCs w:val="21"/>
        </w:rPr>
        <w:t xml:space="preserve">All versions are graded from the same Rec.709 timeline. Anything </w:t>
      </w:r>
      <w:bookmarkEnd w:id="1"/>
      <w:r>
        <w:rPr>
          <w:rFonts w:ascii="Arial" w:cs="Arial" w:eastAsia="Arial" w:hAnsi="Arial"/>
          <w:b/>
          <w:bCs/>
          <w:sz w:val="21"/>
          <w:szCs w:val="21"/>
        </w:rPr>
        <w:t xml:space="preserve">bold</w:t>
      </w:r>
      <w:r>
        <w:rPr>
          <w:rFonts w:ascii="Arial" w:cs="Arial" w:eastAsia="Arial" w:hAnsi="Arial"/>
          <w:sz w:val="21"/>
          <w:szCs w:val="21"/>
        </w:rPr>
        <w:t xml:space="preserve">, </w:t>
      </w:r>
      <w:r>
        <w:rPr>
          <w:rFonts w:ascii="Arial" w:cs="Arial" w:eastAsia="Arial" w:hAnsi="Arial"/>
          <w:i/>
          <w:iCs/>
          <w:sz w:val="21"/>
          <w:szCs w:val="21"/>
        </w:rPr>
        <w:t xml:space="preserve">italic</w:t>
      </w:r>
      <w:r>
        <w:rPr>
          <w:rFonts w:ascii="Arial" w:cs="Arial" w:eastAsia="Arial" w:hAnsi="Arial"/>
          <w:sz w:val="21"/>
          <w:szCs w:val="21"/>
        </w:rPr>
        <w:t xml:space="preserve">, </w:t>
      </w:r>
      <w:r>
        <w:rPr>
          <w:rFonts w:ascii="Arial" w:cs="Arial" w:eastAsia="Arial" w:hAnsi="Arial"/>
          <w:sz w:val="21"/>
          <w:szCs w:val="21"/>
          <w:u w:val="single" w:color="2E7D74"/>
        </w:rPr>
        <w:t xml:space="preserve">underlined</w:t>
      </w:r>
      <w:r>
        <w:rPr>
          <w:rFonts w:ascii="Arial" w:cs="Arial" w:eastAsia="Arial" w:hAnsi="Arial"/>
          <w:sz w:val="21"/>
          <w:szCs w:val="21"/>
        </w:rPr>
        <w:t xml:space="preserve">, </w:t>
      </w:r>
      <w:r>
        <w:rPr>
          <w:rFonts w:ascii="Arial" w:cs="Arial" w:eastAsia="Arial" w:hAnsi="Arial"/>
          <w:strike/>
          <w:sz w:val="21"/>
          <w:szCs w:val="21"/>
        </w:rPr>
        <w:t xml:space="preserve">struck through</w:t>
      </w:r>
      <w:r>
        <w:rPr>
          <w:rFonts w:ascii="Arial" w:cs="Arial" w:eastAsia="Arial" w:hAnsi="Arial"/>
          <w:sz w:val="21"/>
          <w:szCs w:val="21"/>
        </w:rPr>
        <w:t xml:space="preserve">, or </w:t>
      </w:r>
      <w:r>
        <w:rPr>
          <w:rFonts w:ascii="Arial" w:cs="Arial" w:eastAsia="Arial" w:hAnsi="Arial"/>
          <w:sz w:val="21"/>
          <w:szCs w:val="21"/>
          <w:highlight w:val="yellow"/>
          <w:highlightCs w:val="yellow"/>
        </w:rPr>
        <w:t xml:space="preserve">highlighted</w:t>
      </w:r>
      <w:r>
        <w:rPr>
          <w:rFonts w:ascii="Arial" w:cs="Arial" w:eastAsia="Arial" w:hAnsi="Arial"/>
          <w:sz w:val="21"/>
          <w:szCs w:val="21"/>
        </w:rPr>
        <w:t xml:space="preserve"> below marks a change since draft 2.9. Frame rate is 25p</w:t>
      </w:r>
      <w:r>
        <w:rPr>
          <w:rFonts w:ascii="Arial" w:cs="Arial" w:eastAsia="Arial" w:hAnsi="Arial"/>
          <w:sz w:val="21"/>
          <w:szCs w:val="21"/>
          <w:vertAlign w:val="superscript"/>
        </w:rPr>
        <w:t xml:space="preserve">PAL</w:t>
      </w:r>
      <w:r>
        <w:rPr>
          <w:rFonts w:ascii="Arial" w:cs="Arial" w:eastAsia="Arial" w:hAnsi="Arial"/>
          <w:sz w:val="21"/>
          <w:szCs w:val="21"/>
        </w:rPr>
        <w:t xml:space="preserve">; timecode starts at 10:00:00:00.</w:t>
      </w:r>
    </w:p>
    <w:tbl>
      <w:tblPr>
        <w:tblW w:type="dxa" w:w="9120"/>
        <w:tblBorders>
          <w:top w:val="single" w:color="D8D3C9" w:sz="4"/>
          <w:left w:val="single" w:color="D8D3C9" w:sz="4"/>
          <w:bottom w:val="single" w:color="D8D3C9" w:sz="4"/>
          <w:right w:val="single" w:color="D8D3C9" w:sz="4"/>
          <w:insideH w:val="single" w:color="D8D3C9" w:sz="2"/>
          <w:insideV w:val="single" w:color="D8D3C9" w:sz="2"/>
        </w:tblBorders>
      </w:tblPr>
      <w:tblGrid>
        <w:gridCol w:w="2200"/>
        <w:gridCol w:w="2200"/>
        <w:gridCol w:w="2360"/>
        <w:gridCol w:w="2360"/>
      </w:tblGrid>
      <w:tr>
        <w:trPr>
          <w:tblHeader/>
        </w:trPr>
        <w:tc>
          <w:tcPr>
            <w:tcW w:type="dxa" w:w="2200"/>
            <w:shd w:fill="12171F"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 / المعيار</w:t>
            </w:r>
          </w:p>
        </w:tc>
        <w:tc>
          <w:tcPr>
            <w:tcW w:type="dxa" w:w="4560"/>
            <w:gridSpan w:val="2"/>
            <w:shd w:fill="12171F"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Picture — الصورة</w:t>
            </w:r>
          </w:p>
        </w:tc>
        <w:tc>
          <w:tcPr>
            <w:tcW w:type="dxa" w:w="2360"/>
            <w:shd w:fill="12171F" w:color="auto"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Sound — الصوت</w:t>
            </w:r>
          </w:p>
        </w:tc>
      </w:tr>
      <w:tr>
        <w:trPr>
          <w:tblHeader/>
        </w:trPr>
        <w:tc>
          <w:tcPr>
            <w:tcW w:type="dxa" w:w="2200"/>
            <w:shd w:fill="F4F1EC" w:color="auto" w:val="clear"/>
            <w:tcMar>
              <w:top w:type="dxa" w:w="80"/>
              <w:left w:type="dxa" w:w="120"/>
              <w:bottom w:type="dxa" w:w="80"/>
              <w:right w:type="dxa" w:w="120"/>
            </w:tcMar>
            <w:vAlign w:val="center"/>
          </w:tcPr>
          <w:p>
            <w:r>
              <w:rPr>
                <w:rFonts w:ascii="Arial" w:cs="Arial" w:eastAsia="Arial" w:hAnsi="Arial"/>
                <w:sz w:val="21"/>
                <w:szCs w:val="21"/>
              </w:rPr>
              <w:t xml:space="preserve"/>
            </w:r>
          </w:p>
        </w:tc>
        <w:tc>
          <w:tcPr>
            <w:tcW w:type="dxa" w:w="2200"/>
            <w:shd w:fill="F4F1EC" w:color="auto"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Master</w:t>
            </w:r>
          </w:p>
        </w:tc>
        <w:tc>
          <w:tcPr>
            <w:tcW w:type="dxa" w:w="2360"/>
            <w:shd w:fill="F4F1EC" w:color="auto"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Web cut</w:t>
            </w:r>
          </w:p>
        </w:tc>
        <w:tc>
          <w:tcPr>
            <w:tcW w:type="dxa" w:w="2360"/>
            <w:shd w:fill="F4F1EC" w:color="auto" w:val="clear"/>
            <w:tcMar>
              <w:top w:type="dxa" w:w="80"/>
              <w:left w:type="dxa" w:w="120"/>
              <w:bottom w:type="dxa" w:w="80"/>
              <w:right w:type="dxa" w:w="120"/>
            </w:tcMar>
            <w:vAlign w:val="center"/>
          </w:tcPr>
          <w:p>
            <w:pPr>
              <w:jc w:val="center"/>
            </w:pPr>
            <w:r>
              <w:rPr>
                <w:rFonts w:ascii="Arial" w:cs="Arial" w:eastAsia="Arial" w:hAnsi="Arial"/>
                <w:b/>
                <w:bCs/>
                <w:sz w:val="21"/>
                <w:szCs w:val="21"/>
              </w:rPr>
              <w:t xml:space="preserve">All versions</w:t>
            </w:r>
          </w:p>
        </w:tc>
      </w:tr>
      <w:tr>
        <w:tc>
          <w:tcPr>
            <w:tcW w:type="dxa" w:w="2200"/>
            <w:tcMar>
              <w:top w:type="dxa" w:w="80"/>
              <w:left w:type="dxa" w:w="120"/>
              <w:bottom w:type="dxa" w:w="80"/>
              <w:right w:type="dxa" w:w="120"/>
            </w:tcMar>
            <w:vAlign w:val="center"/>
          </w:tcPr>
          <w:p>
            <w:r>
              <w:rPr>
                <w:rFonts w:ascii="Arial" w:cs="Arial" w:eastAsia="Arial" w:hAnsi="Arial"/>
                <w:b/>
                <w:bCs/>
                <w:sz w:val="21"/>
                <w:szCs w:val="21"/>
              </w:rPr>
              <w:t xml:space="preserve">Codec / الترميز</w:t>
            </w:r>
          </w:p>
        </w:tc>
        <w:tc>
          <w:tcPr>
            <w:tcW w:type="dxa" w:w="2200"/>
            <w:tcMar>
              <w:top w:type="dxa" w:w="80"/>
              <w:left w:type="dxa" w:w="120"/>
              <w:bottom w:type="dxa" w:w="80"/>
              <w:right w:type="dxa" w:w="120"/>
            </w:tcMar>
            <w:vAlign w:val="center"/>
          </w:tcPr>
          <w:p>
            <w:r>
              <w:rPr>
                <w:rFonts w:ascii="Arial" w:cs="Arial" w:eastAsia="Arial" w:hAnsi="Arial"/>
                <w:sz w:val="21"/>
                <w:szCs w:val="21"/>
              </w:rPr>
              <w:t xml:space="preserve">ProRes 422 HQ</w:t>
            </w:r>
          </w:p>
        </w:tc>
        <w:tc>
          <w:tcPr>
            <w:tcW w:type="dxa" w:w="2360"/>
            <w:tcMar>
              <w:top w:type="dxa" w:w="80"/>
              <w:left w:type="dxa" w:w="120"/>
              <w:bottom w:type="dxa" w:w="80"/>
              <w:right w:type="dxa" w:w="120"/>
            </w:tcMar>
            <w:vAlign w:val="center"/>
          </w:tcPr>
          <w:p>
            <w:r>
              <w:rPr>
                <w:rFonts w:ascii="Arial" w:cs="Arial" w:eastAsia="Arial" w:hAnsi="Arial"/>
                <w:sz w:val="21"/>
                <w:szCs w:val="21"/>
              </w:rPr>
              <w:t xml:space="preserve">H.264, 24 Mb/s</w:t>
            </w:r>
          </w:p>
        </w:tc>
        <w:tc>
          <w:tcPr>
            <w:tcW w:type="dxa" w:w="2360"/>
            <w:vMerge w:val="restart"/>
            <w:shd w:fill="FBF7F0" w:color="auto" w:val="clear"/>
            <w:tcMar>
              <w:top w:type="dxa" w:w="80"/>
              <w:left w:type="dxa" w:w="120"/>
              <w:bottom w:type="dxa" w:w="80"/>
              <w:right w:type="dxa" w:w="120"/>
            </w:tcMar>
            <w:vAlign w:val="center"/>
          </w:tcPr>
          <w:p>
            <w:r>
              <w:rPr>
                <w:rFonts w:ascii="Arial" w:cs="Arial" w:eastAsia="Arial" w:hAnsi="Arial"/>
                <w:sz w:val="21"/>
                <w:szCs w:val="21"/>
              </w:rPr>
              <w:t xml:space="preserve">WAV 48 kHz / 24-bit</w:t>
            </w:r>
          </w:p>
        </w:tc>
      </w:tr>
      <w:tr>
        <w:tc>
          <w:tcPr>
            <w:tcW w:type="dxa" w:w="2200"/>
            <w:tcMar>
              <w:top w:type="dxa" w:w="80"/>
              <w:left w:type="dxa" w:w="120"/>
              <w:bottom w:type="dxa" w:w="80"/>
              <w:right w:type="dxa" w:w="120"/>
            </w:tcMar>
            <w:vAlign w:val="center"/>
          </w:tcPr>
          <w:p>
            <w:r>
              <w:rPr>
                <w:rFonts w:ascii="Arial" w:cs="Arial" w:eastAsia="Arial" w:hAnsi="Arial"/>
                <w:b/>
                <w:bCs/>
                <w:sz w:val="21"/>
                <w:szCs w:val="21"/>
              </w:rPr>
              <w:t xml:space="preserve">Resolution / الدقة</w:t>
            </w:r>
          </w:p>
        </w:tc>
        <w:tc>
          <w:tcPr>
            <w:tcW w:type="dxa" w:w="2200"/>
            <w:tcMar>
              <w:top w:type="dxa" w:w="80"/>
              <w:left w:type="dxa" w:w="120"/>
              <w:bottom w:type="dxa" w:w="80"/>
              <w:right w:type="dxa" w:w="120"/>
            </w:tcMar>
            <w:vAlign w:val="center"/>
          </w:tcPr>
          <w:p>
            <w:r>
              <w:rPr>
                <w:rFonts w:ascii="Arial" w:cs="Arial" w:eastAsia="Arial" w:hAnsi="Arial"/>
                <w:sz w:val="21"/>
                <w:szCs w:val="21"/>
              </w:rPr>
              <w:t xml:space="preserve">3840 × 2160</w:t>
            </w:r>
          </w:p>
        </w:tc>
        <w:tc>
          <w:tcPr>
            <w:tcW w:type="dxa" w:w="2360"/>
            <w:tcMar>
              <w:top w:type="dxa" w:w="80"/>
              <w:left w:type="dxa" w:w="120"/>
              <w:bottom w:type="dxa" w:w="80"/>
              <w:right w:type="dxa" w:w="120"/>
            </w:tcMar>
            <w:vAlign w:val="center"/>
          </w:tcPr>
          <w:p>
            <w:r>
              <w:rPr>
                <w:rFonts w:ascii="Arial" w:cs="Arial" w:eastAsia="Arial" w:hAnsi="Arial"/>
                <w:sz w:val="21"/>
                <w:szCs w:val="21"/>
              </w:rPr>
              <w:t xml:space="preserve">1920 × 1080</w:t>
            </w:r>
          </w:p>
        </w:tc>
        <w:tc>
          <w:tcPr>
            <w:vMerge w:val="continue"/>
          </w:tcPr>
          <w:p/>
        </w:tc>
      </w:tr>
      <w:tr>
        <w:tc>
          <w:tcPr>
            <w:tcW w:type="dxa" w:w="2200"/>
            <w:tcMar>
              <w:top w:type="dxa" w:w="80"/>
              <w:left w:type="dxa" w:w="120"/>
              <w:bottom w:type="dxa" w:w="80"/>
              <w:right w:type="dxa" w:w="120"/>
            </w:tcMar>
            <w:vAlign w:val="center"/>
          </w:tcPr>
          <w:p>
            <w:r>
              <w:rPr>
                <w:rFonts w:ascii="Arial" w:cs="Arial" w:eastAsia="Arial" w:hAnsi="Arial"/>
                <w:b/>
                <w:bCs/>
                <w:sz w:val="21"/>
                <w:szCs w:val="21"/>
              </w:rPr>
              <w:t xml:space="preserve">Loudness / الجهارة</w:t>
            </w:r>
          </w:p>
        </w:tc>
        <w:tc>
          <w:tcPr>
            <w:tcW w:type="dxa" w:w="2200"/>
            <w:tcMar>
              <w:top w:type="dxa" w:w="80"/>
              <w:left w:type="dxa" w:w="120"/>
              <w:bottom w:type="dxa" w:w="80"/>
              <w:right w:type="dxa" w:w="120"/>
            </w:tcMar>
            <w:vAlign w:val="center"/>
          </w:tcPr>
          <w:p>
            <w:r>
              <w:rPr>
                <w:rFonts w:ascii="Arial" w:cs="Arial" w:eastAsia="Arial" w:hAnsi="Arial"/>
                <w:sz w:val="21"/>
                <w:szCs w:val="21"/>
              </w:rPr>
              <w:t xml:space="preserve">−23 LUFS </w:t>
            </w:r>
            <w:r>
              <w:rPr>
                <w:rStyle w:val="FootnoteReference"/>
              </w:rPr>
              <w:footnoteReference w:id="1"/>
            </w:r>
          </w:p>
        </w:tc>
        <w:tc>
          <w:tcPr>
            <w:tcW w:type="dxa" w:w="2360"/>
            <w:tcMar>
              <w:top w:type="dxa" w:w="80"/>
              <w:left w:type="dxa" w:w="120"/>
              <w:bottom w:type="dxa" w:w="80"/>
              <w:right w:type="dxa" w:w="120"/>
            </w:tcMar>
            <w:vAlign w:val="center"/>
          </w:tcPr>
          <w:p>
            <w:r>
              <w:rPr>
                <w:rFonts w:ascii="Arial" w:cs="Arial" w:eastAsia="Arial" w:hAnsi="Arial"/>
                <w:sz w:val="21"/>
                <w:szCs w:val="21"/>
              </w:rPr>
              <w:t xml:space="preserve">−16 LUFS</w:t>
            </w:r>
          </w:p>
        </w:tc>
        <w:tc>
          <w:tcPr>
            <w:tcW w:type="dxa" w:w="2360"/>
            <w:tcMar>
              <w:top w:type="dxa" w:w="80"/>
              <w:left w:type="dxa" w:w="120"/>
              <w:bottom w:type="dxa" w:w="80"/>
              <w:right w:type="dxa" w:w="120"/>
            </w:tcMar>
            <w:vAlign w:val="center"/>
          </w:tcPr>
          <w:p>
            <w:r>
              <w:rPr>
                <w:rFonts w:ascii="Arial" w:cs="Arial" w:eastAsia="Arial" w:hAnsi="Arial"/>
                <w:sz w:val="21"/>
                <w:szCs w:val="21"/>
              </w:rPr>
              <w:t xml:space="preserve">True peak ≤ −1 dBTP</w:t>
            </w:r>
          </w:p>
        </w:tc>
      </w:tr>
      <w:tr>
        <w:tc>
          <w:tcPr>
            <w:tcW w:type="dxa" w:w="2200"/>
            <w:tcMar>
              <w:top w:type="dxa" w:w="80"/>
              <w:left w:type="dxa" w:w="120"/>
              <w:bottom w:type="dxa" w:w="80"/>
              <w:right w:type="dxa" w:w="120"/>
            </w:tcMar>
            <w:vAlign w:val="center"/>
          </w:tcPr>
          <w:p>
            <w:r>
              <w:rPr>
                <w:rFonts w:ascii="Arial" w:cs="Arial" w:eastAsia="Arial" w:hAnsi="Arial"/>
                <w:b/>
                <w:bCs/>
                <w:sz w:val="21"/>
                <w:szCs w:val="21"/>
              </w:rPr>
              <w:t xml:space="preserve">Subtitles / الترجمة</w:t>
            </w:r>
          </w:p>
        </w:tc>
        <w:tc>
          <w:tcPr>
            <w:tcW w:type="dxa" w:w="2200"/>
            <w:tcMar>
              <w:top w:type="dxa" w:w="80"/>
              <w:left w:type="dxa" w:w="120"/>
              <w:bottom w:type="dxa" w:w="80"/>
              <w:right w:type="dxa" w:w="120"/>
            </w:tcMar>
            <w:vAlign w:val="center"/>
          </w:tcPr>
          <w:p>
            <w:pPr>
              <w:bidi/>
              <w:jc w:val="right"/>
            </w:pPr>
            <w:r>
              <w:rPr>
                <w:rFonts w:ascii="Arial" w:cs="Arial" w:hAnsi="Arial"/>
                <w:sz w:val="22"/>
                <w:szCs w:val="22"/>
                <w:rtl/>
              </w:rPr>
              <w:t xml:space="preserve">عربي + إنجليزي</w:t>
            </w:r>
          </w:p>
        </w:tc>
        <w:tc>
          <w:tcPr>
            <w:tcW w:type="dxa" w:w="2360"/>
            <w:tcMar>
              <w:top w:type="dxa" w:w="80"/>
              <w:left w:type="dxa" w:w="120"/>
              <w:bottom w:type="dxa" w:w="80"/>
              <w:right w:type="dxa" w:w="120"/>
            </w:tcMar>
            <w:vAlign w:val="center"/>
          </w:tcPr>
          <w:p>
            <w:pPr>
              <w:bidi/>
              <w:jc w:val="right"/>
            </w:pPr>
            <w:r>
              <w:rPr>
                <w:rFonts w:ascii="Arial" w:cs="Arial" w:hAnsi="Arial"/>
                <w:sz w:val="22"/>
                <w:szCs w:val="22"/>
                <w:rtl/>
              </w:rPr>
              <w:t xml:space="preserve">عربي فقط</w:t>
            </w:r>
          </w:p>
        </w:tc>
        <w:tc>
          <w:tcPr>
            <w:tcW w:type="dxa" w:w="2360"/>
            <w:tcMar>
              <w:top w:type="dxa" w:w="80"/>
              <w:left w:type="dxa" w:w="120"/>
              <w:bottom w:type="dxa" w:w="80"/>
              <w:right w:type="dxa" w:w="120"/>
            </w:tcMar>
            <w:vAlign w:val="center"/>
          </w:tcPr>
          <w:p>
            <w:r>
              <w:rPr>
                <w:rFonts w:ascii="Arial" w:cs="Arial" w:eastAsia="Arial" w:hAnsi="Arial"/>
                <w:sz w:val="21"/>
                <w:szCs w:val="21"/>
              </w:rPr>
              <w:t xml:space="preserve">SRT + burned-in</w:t>
            </w:r>
          </w:p>
        </w:tc>
      </w:tr>
    </w:tbl>
    <w:p>
      <w:pPr>
        <w:spacing w:after="240" w:before="80"/>
        <w:jc w:val="center"/>
      </w:pPr>
      <w:r>
        <w:rPr>
          <w:rFonts w:ascii="Arial" w:cs="Arial" w:eastAsia="Arial" w:hAnsi="Arial"/>
          <w:i/>
          <w:iCs/>
          <w:color w:val="5B6470"/>
          <w:sz w:val="17"/>
          <w:szCs w:val="17"/>
        </w:rPr>
        <w:t xml:space="preserve">Table 1 — Delivery specification by version</w:t>
      </w:r>
      <w:r>
        <w:rPr>
          <w:rFonts w:ascii="Arial" w:cs="Arial" w:eastAsia="Arial" w:hAnsi="Arial"/>
          <w:color w:val="5B6470"/>
          <w:sz w:val="17"/>
          <w:szCs w:val="17"/>
        </w:rPr>
        <w:t xml:space="preserve">  •  </w:t>
      </w:r>
      <w:r>
        <w:rPr>
          <w:rFonts w:ascii="Arial" w:cs="Arial" w:eastAsia="Arial" w:hAnsi="Arial"/>
          <w:color w:val="5B6470"/>
          <w:sz w:val="18"/>
          <w:szCs w:val="18"/>
          <w:rtl/>
        </w:rPr>
        <w:t xml:space="preserve">الجدول ١ — مواصفات التسليم لكل نسخة</w:t>
      </w:r>
    </w:p>
    <w:p>
      <w:pPr>
        <w:spacing w:before="120"/>
        <w:jc w:val="center"/>
      </w:pPr>
      <w:r>
        <w:drawing>
          <wp:inline distT="0" distB="0" distL="0" distR="0">
            <wp:extent cx="43815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000125"/>
                    </a:xfrm>
                    <a:prstGeom prst="rect">
                      <a:avLst/>
                    </a:prstGeom>
                  </pic:spPr>
                </pic:pic>
              </a:graphicData>
            </a:graphic>
          </wp:inline>
        </w:drawing>
      </w:r>
    </w:p>
    <w:p>
      <w:pPr>
        <w:spacing w:after="240" w:before="80"/>
        <w:jc w:val="center"/>
      </w:pPr>
      <w:r>
        <w:rPr>
          <w:rFonts w:ascii="Arial" w:cs="Arial" w:eastAsia="Arial" w:hAnsi="Arial"/>
          <w:i/>
          <w:iCs/>
          <w:color w:val="5B6470"/>
          <w:sz w:val="17"/>
          <w:szCs w:val="17"/>
        </w:rPr>
        <w:t xml:space="preserve">Figure 1 — Calibration strip shipped at the head of every master</w:t>
      </w:r>
      <w:r>
        <w:rPr>
          <w:rFonts w:ascii="Arial" w:cs="Arial" w:eastAsia="Arial" w:hAnsi="Arial"/>
          <w:color w:val="5B6470"/>
          <w:sz w:val="17"/>
          <w:szCs w:val="17"/>
        </w:rPr>
        <w:t xml:space="preserve">  •  </w:t>
      </w:r>
      <w:r>
        <w:rPr>
          <w:rFonts w:ascii="Arial" w:cs="Arial" w:eastAsia="Arial" w:hAnsi="Arial"/>
          <w:color w:val="5B6470"/>
          <w:sz w:val="18"/>
          <w:szCs w:val="18"/>
          <w:rtl/>
        </w:rPr>
        <w:t xml:space="preserve">الشكل ١ — شريط المعايرة في بداية كل نسخة رئيسية</w:t>
      </w:r>
    </w:p>
    <w:p>
      <w:pPr>
        <w:pStyle w:val="Heading1"/>
        <w:spacing w:after="60" w:before="360"/>
      </w:pPr>
      <w:r>
        <w:rPr>
          <w:rFonts w:ascii="Cambria" w:cs="Cambria" w:eastAsia="Cambria" w:hAnsi="Cambria"/>
          <w:b/>
          <w:bCs/>
          <w:color w:val="12171F"/>
          <w:sz w:val="30"/>
          <w:szCs w:val="30"/>
        </w:rPr>
        <w:t xml:space="preserve">3. Schedule</w:t>
      </w:r>
    </w:p>
    <w:p>
      <w:pPr>
        <w:pBdr>
          <w:bottom w:val="single" w:color="D8D3C9" w:sz="6" w:space="6"/>
        </w:pBdr>
        <w:bidi/>
        <w:spacing w:after="200"/>
        <w:jc w:val="right"/>
      </w:pPr>
      <w:r>
        <w:rPr>
          <w:rFonts w:ascii="Arial" w:cs="Arial" w:hAnsi="Arial"/>
          <w:b/>
          <w:bCs/>
          <w:color w:val="B87F1E"/>
          <w:sz w:val="26"/>
          <w:szCs w:val="26"/>
          <w:rtl/>
        </w:rPr>
        <w:t xml:space="preserve">٣. الجدول الزمني</w:t>
      </w:r>
    </w:p>
    <w:p>
      <w:pPr>
        <w:spacing w:after="120" w:line="300"/>
        <w:jc w:val="both"/>
      </w:pPr>
      <w:r>
        <w:rPr>
          <w:rFonts w:ascii="Arial" w:cs="Arial" w:eastAsia="Arial" w:hAnsi="Arial"/>
          <w:sz w:val="21"/>
          <w:szCs w:val="21"/>
        </w:rPr>
        <w:t xml:space="preserve">Dates below are hard for the picture lock and soft for everything upstream of it. If an interview slips, the assembly absorbs it; the lock does not move.</w:t>
      </w:r>
    </w:p>
    <w:p>
      <w:pPr>
        <w:tabs>
          <w:tab w:val="right" w:pos="9026" w:leader="dot"/>
        </w:tabs>
        <w:spacing w:after="60"/>
      </w:pPr>
      <w:r>
        <w:rPr>
          <w:rFonts w:ascii="Arial" w:cs="Arial" w:eastAsia="Arial" w:hAnsi="Arial"/>
          <w:sz w:val="21"/>
          <w:szCs w:val="21"/>
        </w:rPr>
        <w:t xml:space="preserve">Assembly cut delivered to director</w:t>
      </w:r>
      <w:r>
        <w:rPr>
          <w:rFonts w:ascii="Arial" w:cs="Arial" w:eastAsia="Arial" w:hAnsi="Arial"/>
        </w:rPr>
        <w:t xml:space="preserve">	</w:t>
      </w:r>
      <w:r>
        <w:rPr>
          <w:rFonts w:ascii="Arial" w:cs="Arial" w:eastAsia="Arial" w:hAnsi="Arial"/>
          <w:b/>
          <w:bCs/>
          <w:color w:val="12171F"/>
          <w:sz w:val="21"/>
          <w:szCs w:val="21"/>
        </w:rPr>
        <w:t xml:space="preserve">18 May 2026</w:t>
      </w:r>
    </w:p>
    <w:p>
      <w:pPr>
        <w:tabs>
          <w:tab w:val="right" w:pos="9026" w:leader="dot"/>
        </w:tabs>
        <w:spacing w:after="60"/>
      </w:pPr>
      <w:r>
        <w:rPr>
          <w:rFonts w:ascii="Arial" w:cs="Arial" w:eastAsia="Arial" w:hAnsi="Arial"/>
          <w:sz w:val="21"/>
          <w:szCs w:val="21"/>
        </w:rPr>
        <w:t xml:space="preserve">Rough cut review — round 1</w:t>
      </w:r>
      <w:r>
        <w:rPr>
          <w:rFonts w:ascii="Arial" w:cs="Arial" w:eastAsia="Arial" w:hAnsi="Arial"/>
        </w:rPr>
        <w:t xml:space="preserve">	</w:t>
      </w:r>
      <w:r>
        <w:rPr>
          <w:rFonts w:ascii="Arial" w:cs="Arial" w:eastAsia="Arial" w:hAnsi="Arial"/>
          <w:b/>
          <w:bCs/>
          <w:color w:val="12171F"/>
          <w:sz w:val="21"/>
          <w:szCs w:val="21"/>
        </w:rPr>
        <w:t xml:space="preserve">26 May 2026</w:t>
      </w:r>
    </w:p>
    <w:p>
      <w:pPr>
        <w:tabs>
          <w:tab w:val="right" w:pos="9026" w:leader="dot"/>
        </w:tabs>
        <w:spacing w:after="60"/>
      </w:pPr>
      <w:r>
        <w:rPr>
          <w:rFonts w:ascii="Arial" w:cs="Arial" w:eastAsia="Arial" w:hAnsi="Arial"/>
          <w:sz w:val="21"/>
          <w:szCs w:val="21"/>
        </w:rPr>
        <w:t xml:space="preserve">Fine cut approved by client</w:t>
      </w:r>
      <w:r>
        <w:rPr>
          <w:rFonts w:ascii="Arial" w:cs="Arial" w:eastAsia="Arial" w:hAnsi="Arial"/>
        </w:rPr>
        <w:t xml:space="preserve">	</w:t>
      </w:r>
      <w:r>
        <w:rPr>
          <w:rFonts w:ascii="Arial" w:cs="Arial" w:eastAsia="Arial" w:hAnsi="Arial"/>
          <w:b/>
          <w:bCs/>
          <w:color w:val="12171F"/>
          <w:sz w:val="21"/>
          <w:szCs w:val="21"/>
        </w:rPr>
        <w:t xml:space="preserve">09 Jun 2026</w:t>
      </w:r>
    </w:p>
    <w:p>
      <w:pPr>
        <w:tabs>
          <w:tab w:val="right" w:pos="9026" w:leader="dot"/>
        </w:tabs>
        <w:spacing w:after="60"/>
      </w:pPr>
      <w:r>
        <w:rPr>
          <w:rFonts w:ascii="Arial" w:cs="Arial" w:eastAsia="Arial" w:hAnsi="Arial"/>
          <w:sz w:val="21"/>
          <w:szCs w:val="21"/>
        </w:rPr>
        <w:t xml:space="preserve">Picture lock</w:t>
      </w:r>
      <w:r>
        <w:rPr>
          <w:rStyle w:val="FootnoteReference"/>
        </w:rPr>
        <w:footnoteReference w:id="2"/>
      </w:r>
      <w:r>
        <w:rPr>
          <w:rFonts w:ascii="Arial" w:cs="Arial" w:eastAsia="Arial" w:hAnsi="Arial"/>
        </w:rPr>
        <w:t xml:space="preserve">	</w:t>
      </w:r>
      <w:r>
        <w:rPr>
          <w:rFonts w:ascii="Arial" w:cs="Arial" w:eastAsia="Arial" w:hAnsi="Arial"/>
          <w:b/>
          <w:bCs/>
          <w:color w:val="B24830"/>
          <w:sz w:val="21"/>
          <w:szCs w:val="21"/>
        </w:rPr>
        <w:t xml:space="preserve">16 Jun 2026</w:t>
      </w:r>
    </w:p>
    <w:p>
      <w:pPr>
        <w:tabs>
          <w:tab w:val="right" w:pos="9026" w:leader="dot"/>
        </w:tabs>
        <w:spacing w:after="60"/>
      </w:pPr>
      <w:r>
        <w:rPr>
          <w:rFonts w:ascii="Arial" w:cs="Arial" w:eastAsia="Arial" w:hAnsi="Arial"/>
          <w:sz w:val="21"/>
          <w:szCs w:val="21"/>
        </w:rPr>
        <w:t xml:space="preserve">Grade, mix and delivery</w:t>
      </w:r>
      <w:r>
        <w:rPr>
          <w:rFonts w:ascii="Arial" w:cs="Arial" w:eastAsia="Arial" w:hAnsi="Arial"/>
        </w:rPr>
        <w:t xml:space="preserve">	</w:t>
      </w:r>
      <w:r>
        <w:rPr>
          <w:rFonts w:ascii="Arial" w:cs="Arial" w:eastAsia="Arial" w:hAnsi="Arial"/>
          <w:b/>
          <w:bCs/>
          <w:color w:val="12171F"/>
          <w:sz w:val="21"/>
          <w:szCs w:val="21"/>
        </w:rPr>
        <w:t xml:space="preserve">30 Jun 2026</w:t>
      </w:r>
    </w:p>
    <w:p>
      <w:pPr>
        <w:bidi/>
        <w:spacing w:after="120" w:before="200"/>
        <w:jc w:val="right"/>
      </w:pPr>
      <w:r>
        <w:rPr>
          <w:rFonts w:ascii="Arial" w:cs="Arial" w:hAnsi="Arial"/>
          <w:sz w:val="22"/>
          <w:szCs w:val="22"/>
          <w:rtl/>
        </w:rPr>
        <w:t xml:space="preserve">مواعيد ما قبل التثبيت النهائي للصورة قابلة للتعديل، أما موعد التثبيت نفسه فغير قابل للتأجيل.</w:t>
      </w:r>
    </w:p>
    <w:p>
      <w:pPr>
        <w:pStyle w:val="Heading1"/>
        <w:spacing w:after="60" w:before="360"/>
      </w:pPr>
      <w:r>
        <w:rPr>
          <w:rFonts w:ascii="Cambria" w:cs="Cambria" w:eastAsia="Cambria" w:hAnsi="Cambria"/>
          <w:b/>
          <w:bCs/>
          <w:color w:val="12171F"/>
          <w:sz w:val="30"/>
          <w:szCs w:val="30"/>
        </w:rPr>
        <w:t xml:space="preserve">4. Contacts</w:t>
      </w:r>
    </w:p>
    <w:p>
      <w:pPr>
        <w:pBdr>
          <w:bottom w:val="single" w:color="D8D3C9" w:sz="6" w:space="6"/>
        </w:pBdr>
        <w:bidi/>
        <w:spacing w:after="200"/>
        <w:jc w:val="right"/>
      </w:pPr>
      <w:r>
        <w:rPr>
          <w:rFonts w:ascii="Arial" w:cs="Arial" w:hAnsi="Arial"/>
          <w:b/>
          <w:bCs/>
          <w:color w:val="B87F1E"/>
          <w:sz w:val="26"/>
          <w:szCs w:val="26"/>
          <w:rtl/>
        </w:rPr>
        <w:t xml:space="preserve">٤. جهات الاتصال</w:t>
      </w:r>
    </w:p>
    <w:p>
      <w:pPr>
        <w:spacing w:after="80"/>
      </w:pPr>
      <w:r>
        <w:rPr>
          <w:rFonts w:ascii="Arial" w:cs="Arial" w:eastAsia="Arial" w:hAnsi="Arial"/>
          <w:sz w:val="21"/>
          <w:szCs w:val="21"/>
        </w:rPr>
        <w:t xml:space="preserve">Post-production questions go to the edit desk first: </w:t>
      </w:r>
      <w:hyperlink w:history="1" r:id="rId85q75gyrahrmigdcr13l_">
        <w:r>
          <w:rPr>
            <w:rFonts w:ascii="Arial" w:cs="Arial" w:eastAsia="Arial" w:hAnsi="Arial"/>
            <w:color w:val="1155CC"/>
            <w:sz w:val="21"/>
            <w:szCs w:val="21"/>
            <w:u w:val="single"/>
          </w:rPr>
          <w:t xml:space="preserve">post@nileframe.example</w:t>
        </w:r>
      </w:hyperlink>
      <w:r>
        <w:rPr>
          <w:rFonts w:ascii="Arial" w:cs="Arial" w:eastAsia="Arial" w:hAnsi="Arial"/>
          <w:sz w:val="21"/>
          <w:szCs w:val="21"/>
        </w:rPr>
        <w:t xml:space="preserve">. Style rules and the LUT pack live on the </w:t>
      </w:r>
      <w:hyperlink w:history="1" r:id="rIdg_bgirspwm9lblvslsmta">
        <w:r>
          <w:rPr>
            <w:rFonts w:ascii="Arial" w:cs="Arial" w:eastAsia="Arial" w:hAnsi="Arial"/>
            <w:color w:val="1155CC"/>
            <w:sz w:val="21"/>
            <w:szCs w:val="21"/>
            <w:u w:val="single"/>
          </w:rPr>
          <w:t xml:space="preserve">studio handbook</w:t>
        </w:r>
      </w:hyperlink>
      <w:r>
        <w:rPr>
          <w:rFonts w:ascii="Arial" w:cs="Arial" w:eastAsia="Arial" w:hAnsi="Arial"/>
          <w:sz w:val="21"/>
          <w:szCs w:val="21"/>
        </w:rPr>
        <w:t xml:space="preserve">.</w:t>
      </w:r>
    </w:p>
    <w:p>
      <w:pPr>
        <w:bidi/>
        <w:spacing w:after="200" w:line="320"/>
        <w:jc w:val="right"/>
      </w:pPr>
      <w:r>
        <w:rPr>
          <w:rFonts w:ascii="Arial" w:cs="Arial" w:hAnsi="Arial"/>
          <w:sz w:val="22"/>
          <w:szCs w:val="22"/>
          <w:rtl/>
        </w:rPr>
        <w:t xml:space="preserve">توجَّه استفسارات ما بعد الإنتاج إلى قسم المونتاج أولًا، ثم إلى منسق الإنتاج عند الحاجة.</w:t>
      </w:r>
    </w:p>
    <w:p>
      <w:pPr>
        <w:sectPr>
          <w:headerReference w:type="default" r:id="rId7"/>
          <w:footerReference w:type="default" r:id="rId8"/>
          <w:pgSz w:w="11906" w:h="16838" w:orient="portrait"/>
          <w:pgMar w:top="1100" w:right="1160" w:bottom="1000" w:left="1160" w:header="708" w:footer="708" w:gutter="0"/>
          <w:pgNumType/>
          <w:docGrid w:linePitch="360"/>
        </w:sectPr>
      </w:pPr>
    </w:p>
    <w:p>
      <w:pPr>
        <w:pStyle w:val="Heading1"/>
        <w:spacing w:after="60" w:before="360"/>
      </w:pPr>
      <w:r>
        <w:rPr>
          <w:rFonts w:ascii="Cambria" w:cs="Cambria" w:eastAsia="Cambria" w:hAnsi="Cambria"/>
          <w:b/>
          <w:bCs/>
          <w:color w:val="12171F"/>
          <w:sz w:val="30"/>
          <w:szCs w:val="30"/>
        </w:rPr>
        <w:t xml:space="preserve">Appendix A — Shot List, Episode 04</w:t>
      </w:r>
    </w:p>
    <w:p>
      <w:pPr>
        <w:pBdr>
          <w:bottom w:val="single" w:color="D8D3C9" w:sz="6" w:space="6"/>
        </w:pBdr>
        <w:bidi/>
        <w:spacing w:after="200"/>
        <w:jc w:val="right"/>
      </w:pPr>
      <w:r>
        <w:rPr>
          <w:rFonts w:ascii="Arial" w:cs="Arial" w:hAnsi="Arial"/>
          <w:b/>
          <w:bCs/>
          <w:color w:val="B87F1E"/>
          <w:sz w:val="26"/>
          <w:szCs w:val="26"/>
          <w:rtl/>
        </w:rPr>
        <w:t xml:space="preserve">الملحق أ — قائمة اللقطات، الحلقة الرابعة</w:t>
      </w:r>
    </w:p>
    <w:tbl>
      <w:tblPr>
        <w:tblW w:type="dxa" w:w="13400"/>
        <w:tblBorders>
          <w:top w:val="single" w:color="D8D3C9" w:sz="4"/>
          <w:left w:val="single" w:color="D8D3C9" w:sz="4"/>
          <w:bottom w:val="single" w:color="D8D3C9" w:sz="4"/>
          <w:right w:val="single" w:color="D8D3C9" w:sz="4"/>
          <w:insideH w:val="single" w:color="D8D3C9" w:sz="2"/>
          <w:insideV w:val="single" w:color="D8D3C9" w:sz="2"/>
        </w:tblBorders>
      </w:tblPr>
      <w:tblGrid>
        <w:gridCol w:w="900"/>
        <w:gridCol w:w="3400"/>
        <w:gridCol w:w="3400"/>
        <w:gridCol w:w="1400"/>
        <w:gridCol w:w="1500"/>
        <w:gridCol w:w="2800"/>
      </w:tblGrid>
      <w:tr>
        <w:trPr>
          <w:tblHeader/>
        </w:trPr>
        <w:tc>
          <w:tcPr>
            <w:tcW w:type="dxa" w:w="9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w:t>
            </w:r>
          </w:p>
        </w:tc>
        <w:tc>
          <w:tcPr>
            <w:tcW w:type="dxa" w:w="34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Scene</w:t>
            </w:r>
          </w:p>
        </w:tc>
        <w:tc>
          <w:tcPr>
            <w:tcW w:type="dxa" w:w="34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المشهد</w:t>
            </w:r>
          </w:p>
        </w:tc>
        <w:tc>
          <w:tcPr>
            <w:tcW w:type="dxa" w:w="14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Duration</w:t>
            </w:r>
          </w:p>
        </w:tc>
        <w:tc>
          <w:tcPr>
            <w:tcW w:type="dxa" w:w="15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Lens</w:t>
            </w:r>
          </w:p>
        </w:tc>
        <w:tc>
          <w:tcPr>
            <w:tcW w:type="dxa" w:w="2800"/>
            <w:shd w:fill="2E7D74" w:color="auto" w:val="clear"/>
            <w:tcMar>
              <w:top w:type="dxa" w:w="80"/>
              <w:left w:type="dxa" w:w="120"/>
              <w:bottom w:type="dxa" w:w="80"/>
              <w:right w:type="dxa" w:w="120"/>
            </w:tcMar>
            <w:vAlign w:val="center"/>
          </w:tcPr>
          <w:p>
            <w:r>
              <w:rPr>
                <w:rFonts w:ascii="Arial" w:cs="Arial" w:eastAsia="Arial" w:hAnsi="Arial"/>
                <w:b/>
                <w:bCs/>
                <w:color w:val="FFFFFF"/>
                <w:sz w:val="17"/>
                <w:szCs w:val="17"/>
              </w:rPr>
              <w:t xml:space="preserve">Notes / ملاحظات</w:t>
            </w:r>
          </w:p>
        </w:tc>
      </w:tr>
      <w:tr>
        <w:tc>
          <w:tcPr>
            <w:tcW w:type="dxa" w:w="900"/>
            <w:tcMar>
              <w:top w:type="dxa" w:w="80"/>
              <w:left w:type="dxa" w:w="120"/>
              <w:bottom w:type="dxa" w:w="80"/>
              <w:right w:type="dxa" w:w="120"/>
            </w:tcMar>
            <w:vAlign w:val="center"/>
          </w:tcPr>
          <w:p>
            <w:pPr>
              <w:jc w:val="center"/>
            </w:pPr>
            <w:r>
              <w:rPr>
                <w:rFonts w:ascii="Arial" w:cs="Arial" w:eastAsia="Arial" w:hAnsi="Arial"/>
                <w:b/>
                <w:bCs/>
                <w:color w:val="B87F1E"/>
                <w:sz w:val="21"/>
                <w:szCs w:val="21"/>
              </w:rPr>
              <w:t xml:space="preserve">01</w:t>
            </w:r>
          </w:p>
        </w:tc>
        <w:tc>
          <w:tcPr>
            <w:tcW w:type="dxa" w:w="3400"/>
            <w:tcMar>
              <w:top w:type="dxa" w:w="80"/>
              <w:left w:type="dxa" w:w="120"/>
              <w:bottom w:type="dxa" w:w="80"/>
              <w:right w:type="dxa" w:w="120"/>
            </w:tcMar>
            <w:vAlign w:val="center"/>
          </w:tcPr>
          <w:p>
            <w:r>
              <w:rPr>
                <w:rFonts w:ascii="Arial" w:cs="Arial" w:eastAsia="Arial" w:hAnsi="Arial"/>
                <w:sz w:val="21"/>
                <w:szCs w:val="21"/>
              </w:rPr>
              <w:t xml:space="preserve">Dawn over the barrage, wide</w:t>
            </w:r>
          </w:p>
        </w:tc>
        <w:tc>
          <w:tcPr>
            <w:tcW w:type="dxa" w:w="3400"/>
            <w:tcMar>
              <w:top w:type="dxa" w:w="80"/>
              <w:left w:type="dxa" w:w="120"/>
              <w:bottom w:type="dxa" w:w="80"/>
              <w:right w:type="dxa" w:w="120"/>
            </w:tcMar>
            <w:vAlign w:val="center"/>
          </w:tcPr>
          <w:p>
            <w:pPr>
              <w:bidi/>
              <w:jc w:val="right"/>
            </w:pPr>
            <w:r>
              <w:rPr>
                <w:rFonts w:ascii="Arial" w:cs="Arial" w:hAnsi="Arial"/>
                <w:sz w:val="22"/>
                <w:szCs w:val="22"/>
                <w:rtl/>
              </w:rPr>
              <w:t xml:space="preserve">الفجر فوق القناطر، لقطة واسعة</w:t>
            </w:r>
          </w:p>
        </w:tc>
        <w:tc>
          <w:tcPr>
            <w:tcW w:type="dxa" w:w="1400"/>
            <w:tcMar>
              <w:top w:type="dxa" w:w="80"/>
              <w:left w:type="dxa" w:w="120"/>
              <w:bottom w:type="dxa" w:w="80"/>
              <w:right w:type="dxa" w:w="120"/>
            </w:tcMar>
            <w:vAlign w:val="center"/>
          </w:tcPr>
          <w:p>
            <w:pPr>
              <w:jc w:val="center"/>
            </w:pPr>
            <w:r>
              <w:rPr>
                <w:rFonts w:ascii="Arial" w:cs="Arial" w:eastAsia="Arial" w:hAnsi="Arial"/>
                <w:sz w:val="21"/>
                <w:szCs w:val="21"/>
              </w:rPr>
              <w:t xml:space="preserve">00:42</w:t>
            </w:r>
          </w:p>
        </w:tc>
        <w:tc>
          <w:tcPr>
            <w:tcW w:type="dxa" w:w="1500"/>
            <w:tcMar>
              <w:top w:type="dxa" w:w="80"/>
              <w:left w:type="dxa" w:w="120"/>
              <w:bottom w:type="dxa" w:w="80"/>
              <w:right w:type="dxa" w:w="120"/>
            </w:tcMar>
            <w:vAlign w:val="center"/>
          </w:tcPr>
          <w:p>
            <w:pPr>
              <w:jc w:val="center"/>
            </w:pPr>
            <w:r>
              <w:rPr>
                <w:rFonts w:ascii="Arial" w:cs="Arial" w:eastAsia="Arial" w:hAnsi="Arial"/>
                <w:sz w:val="21"/>
                <w:szCs w:val="21"/>
              </w:rPr>
              <w:t xml:space="preserve">24 mm</w:t>
            </w:r>
          </w:p>
        </w:tc>
        <w:tc>
          <w:tcPr>
            <w:tcW w:type="dxa" w:w="2800"/>
            <w:tcMar>
              <w:top w:type="dxa" w:w="80"/>
              <w:left w:type="dxa" w:w="120"/>
              <w:bottom w:type="dxa" w:w="80"/>
              <w:right w:type="dxa" w:w="120"/>
            </w:tcMar>
            <w:vAlign w:val="center"/>
          </w:tcPr>
          <w:p>
            <w:r>
              <w:rPr>
                <w:rFonts w:ascii="Arial" w:cs="Arial" w:eastAsia="Arial" w:hAnsi="Arial"/>
                <w:i/>
                <w:iCs/>
                <w:color w:val="5B6470"/>
                <w:sz w:val="18"/>
                <w:szCs w:val="18"/>
              </w:rPr>
              <w:t xml:space="preserve">Handheld, no stabiliser</w:t>
            </w:r>
          </w:p>
        </w:tc>
      </w:tr>
      <w:tr>
        <w:tc>
          <w:tcPr>
            <w:tcW w:type="dxa" w:w="900"/>
            <w:tcMar>
              <w:top w:type="dxa" w:w="80"/>
              <w:left w:type="dxa" w:w="120"/>
              <w:bottom w:type="dxa" w:w="80"/>
              <w:right w:type="dxa" w:w="120"/>
            </w:tcMar>
            <w:vAlign w:val="center"/>
          </w:tcPr>
          <w:p>
            <w:pPr>
              <w:jc w:val="center"/>
            </w:pPr>
            <w:r>
              <w:rPr>
                <w:rFonts w:ascii="Arial" w:cs="Arial" w:eastAsia="Arial" w:hAnsi="Arial"/>
                <w:b/>
                <w:bCs/>
                <w:color w:val="B87F1E"/>
                <w:sz w:val="21"/>
                <w:szCs w:val="21"/>
              </w:rPr>
              <w:t xml:space="preserve">02</w:t>
            </w:r>
          </w:p>
        </w:tc>
        <w:tc>
          <w:tcPr>
            <w:tcW w:type="dxa" w:w="3400"/>
            <w:tcMar>
              <w:top w:type="dxa" w:w="80"/>
              <w:left w:type="dxa" w:w="120"/>
              <w:bottom w:type="dxa" w:w="80"/>
              <w:right w:type="dxa" w:w="120"/>
            </w:tcMar>
            <w:vAlign w:val="center"/>
          </w:tcPr>
          <w:p>
            <w:r>
              <w:rPr>
                <w:rFonts w:ascii="Arial" w:cs="Arial" w:eastAsia="Arial" w:hAnsi="Arial"/>
                <w:sz w:val="21"/>
                <w:szCs w:val="21"/>
              </w:rPr>
              <w:t xml:space="preserve">Hands mending a net</w:t>
            </w:r>
          </w:p>
        </w:tc>
        <w:tc>
          <w:tcPr>
            <w:tcW w:type="dxa" w:w="3400"/>
            <w:tcMar>
              <w:top w:type="dxa" w:w="80"/>
              <w:left w:type="dxa" w:w="120"/>
              <w:bottom w:type="dxa" w:w="80"/>
              <w:right w:type="dxa" w:w="120"/>
            </w:tcMar>
            <w:vAlign w:val="center"/>
          </w:tcPr>
          <w:p>
            <w:pPr>
              <w:bidi/>
              <w:jc w:val="right"/>
            </w:pPr>
            <w:r>
              <w:rPr>
                <w:rFonts w:ascii="Arial" w:cs="Arial" w:hAnsi="Arial"/>
                <w:sz w:val="22"/>
                <w:szCs w:val="22"/>
                <w:rtl/>
              </w:rPr>
              <w:t xml:space="preserve">أيادٍ تصلح شبكة صيد</w:t>
            </w:r>
          </w:p>
        </w:tc>
        <w:tc>
          <w:tcPr>
            <w:tcW w:type="dxa" w:w="1400"/>
            <w:tcMar>
              <w:top w:type="dxa" w:w="80"/>
              <w:left w:type="dxa" w:w="120"/>
              <w:bottom w:type="dxa" w:w="80"/>
              <w:right w:type="dxa" w:w="120"/>
            </w:tcMar>
            <w:vAlign w:val="center"/>
          </w:tcPr>
          <w:p>
            <w:pPr>
              <w:jc w:val="center"/>
            </w:pPr>
            <w:r>
              <w:rPr>
                <w:rFonts w:ascii="Arial" w:cs="Arial" w:eastAsia="Arial" w:hAnsi="Arial"/>
                <w:sz w:val="21"/>
                <w:szCs w:val="21"/>
              </w:rPr>
              <w:t xml:space="preserve">01:15</w:t>
            </w:r>
          </w:p>
        </w:tc>
        <w:tc>
          <w:tcPr>
            <w:tcW w:type="dxa" w:w="1500"/>
            <w:tcMar>
              <w:top w:type="dxa" w:w="80"/>
              <w:left w:type="dxa" w:w="120"/>
              <w:bottom w:type="dxa" w:w="80"/>
              <w:right w:type="dxa" w:w="120"/>
            </w:tcMar>
            <w:vAlign w:val="center"/>
          </w:tcPr>
          <w:p>
            <w:pPr>
              <w:jc w:val="center"/>
            </w:pPr>
            <w:r>
              <w:rPr>
                <w:rFonts w:ascii="Arial" w:cs="Arial" w:eastAsia="Arial" w:hAnsi="Arial"/>
                <w:sz w:val="21"/>
                <w:szCs w:val="21"/>
              </w:rPr>
              <w:t xml:space="preserve">85 mm</w:t>
            </w:r>
          </w:p>
        </w:tc>
        <w:tc>
          <w:tcPr>
            <w:tcW w:type="dxa" w:w="2800"/>
            <w:tcMar>
              <w:top w:type="dxa" w:w="80"/>
              <w:left w:type="dxa" w:w="120"/>
              <w:bottom w:type="dxa" w:w="80"/>
              <w:right w:type="dxa" w:w="120"/>
            </w:tcMar>
            <w:vAlign w:val="center"/>
          </w:tcPr>
          <w:p>
            <w:r>
              <w:rPr>
                <w:rFonts w:ascii="Arial" w:cs="Arial" w:eastAsia="Arial" w:hAnsi="Arial"/>
                <w:i/>
                <w:iCs/>
                <w:color w:val="5B6470"/>
                <w:sz w:val="18"/>
                <w:szCs w:val="18"/>
              </w:rPr>
              <w:t xml:space="preserve">Sync sound only</w:t>
            </w:r>
          </w:p>
        </w:tc>
      </w:tr>
      <w:tr>
        <w:tc>
          <w:tcPr>
            <w:tcW w:type="dxa" w:w="900"/>
            <w:tcMar>
              <w:top w:type="dxa" w:w="80"/>
              <w:left w:type="dxa" w:w="120"/>
              <w:bottom w:type="dxa" w:w="80"/>
              <w:right w:type="dxa" w:w="120"/>
            </w:tcMar>
            <w:vAlign w:val="center"/>
          </w:tcPr>
          <w:p>
            <w:pPr>
              <w:jc w:val="center"/>
            </w:pPr>
            <w:r>
              <w:rPr>
                <w:rFonts w:ascii="Arial" w:cs="Arial" w:eastAsia="Arial" w:hAnsi="Arial"/>
                <w:b/>
                <w:bCs/>
                <w:color w:val="B87F1E"/>
                <w:sz w:val="21"/>
                <w:szCs w:val="21"/>
              </w:rPr>
              <w:t xml:space="preserve">03</w:t>
            </w:r>
          </w:p>
        </w:tc>
        <w:tc>
          <w:tcPr>
            <w:tcW w:type="dxa" w:w="3400"/>
            <w:tcMar>
              <w:top w:type="dxa" w:w="80"/>
              <w:left w:type="dxa" w:w="120"/>
              <w:bottom w:type="dxa" w:w="80"/>
              <w:right w:type="dxa" w:w="120"/>
            </w:tcMar>
            <w:vAlign w:val="center"/>
          </w:tcPr>
          <w:p>
            <w:r>
              <w:rPr>
                <w:rFonts w:ascii="Arial" w:cs="Arial" w:eastAsia="Arial" w:hAnsi="Arial"/>
                <w:sz w:val="21"/>
                <w:szCs w:val="21"/>
              </w:rPr>
              <w:t xml:space="preserve">Interview — Umm Sayed, kitchen</w:t>
            </w:r>
          </w:p>
        </w:tc>
        <w:tc>
          <w:tcPr>
            <w:tcW w:type="dxa" w:w="3400"/>
            <w:tcMar>
              <w:top w:type="dxa" w:w="80"/>
              <w:left w:type="dxa" w:w="120"/>
              <w:bottom w:type="dxa" w:w="80"/>
              <w:right w:type="dxa" w:w="120"/>
            </w:tcMar>
            <w:vAlign w:val="center"/>
          </w:tcPr>
          <w:p>
            <w:pPr>
              <w:bidi/>
              <w:jc w:val="right"/>
            </w:pPr>
            <w:r>
              <w:rPr>
                <w:rFonts w:ascii="Arial" w:cs="Arial" w:hAnsi="Arial"/>
                <w:sz w:val="22"/>
                <w:szCs w:val="22"/>
                <w:rtl/>
              </w:rPr>
              <w:t xml:space="preserve">مقابلة — أم سيد، المطبخ</w:t>
            </w:r>
          </w:p>
        </w:tc>
        <w:tc>
          <w:tcPr>
            <w:tcW w:type="dxa" w:w="1400"/>
            <w:tcMar>
              <w:top w:type="dxa" w:w="80"/>
              <w:left w:type="dxa" w:w="120"/>
              <w:bottom w:type="dxa" w:w="80"/>
              <w:right w:type="dxa" w:w="120"/>
            </w:tcMar>
            <w:vAlign w:val="center"/>
          </w:tcPr>
          <w:p>
            <w:pPr>
              <w:jc w:val="center"/>
            </w:pPr>
            <w:r>
              <w:rPr>
                <w:rFonts w:ascii="Arial" w:cs="Arial" w:eastAsia="Arial" w:hAnsi="Arial"/>
                <w:sz w:val="21"/>
                <w:szCs w:val="21"/>
              </w:rPr>
              <w:t xml:space="preserve">06:30</w:t>
            </w:r>
          </w:p>
        </w:tc>
        <w:tc>
          <w:tcPr>
            <w:tcW w:type="dxa" w:w="1500"/>
            <w:tcMar>
              <w:top w:type="dxa" w:w="80"/>
              <w:left w:type="dxa" w:w="120"/>
              <w:bottom w:type="dxa" w:w="80"/>
              <w:right w:type="dxa" w:w="120"/>
            </w:tcMar>
            <w:vAlign w:val="center"/>
          </w:tcPr>
          <w:p>
            <w:pPr>
              <w:jc w:val="center"/>
            </w:pPr>
            <w:r>
              <w:rPr>
                <w:rFonts w:ascii="Arial" w:cs="Arial" w:eastAsia="Arial" w:hAnsi="Arial"/>
                <w:sz w:val="21"/>
                <w:szCs w:val="21"/>
              </w:rPr>
              <w:t xml:space="preserve">35 mm</w:t>
            </w:r>
          </w:p>
        </w:tc>
        <w:tc>
          <w:tcPr>
            <w:tcW w:type="dxa" w:w="2800"/>
            <w:tcMar>
              <w:top w:type="dxa" w:w="80"/>
              <w:left w:type="dxa" w:w="120"/>
              <w:bottom w:type="dxa" w:w="80"/>
              <w:right w:type="dxa" w:w="120"/>
            </w:tcMar>
            <w:vAlign w:val="center"/>
          </w:tcPr>
          <w:p>
            <w:r>
              <w:rPr>
                <w:rFonts w:ascii="Arial" w:cs="Arial" w:eastAsia="Arial" w:hAnsi="Arial"/>
                <w:i/>
                <w:iCs/>
                <w:color w:val="5B6470"/>
                <w:sz w:val="18"/>
                <w:szCs w:val="18"/>
              </w:rPr>
              <w:t xml:space="preserve">Two-camera, 25p</w:t>
            </w:r>
          </w:p>
        </w:tc>
      </w:tr>
      <w:tr>
        <w:tc>
          <w:tcPr>
            <w:tcW w:type="dxa" w:w="900"/>
            <w:tcMar>
              <w:top w:type="dxa" w:w="80"/>
              <w:left w:type="dxa" w:w="120"/>
              <w:bottom w:type="dxa" w:w="80"/>
              <w:right w:type="dxa" w:w="120"/>
            </w:tcMar>
            <w:vAlign w:val="center"/>
          </w:tcPr>
          <w:p>
            <w:pPr>
              <w:jc w:val="center"/>
            </w:pPr>
            <w:r>
              <w:rPr>
                <w:rFonts w:ascii="Arial" w:cs="Arial" w:eastAsia="Arial" w:hAnsi="Arial"/>
                <w:b/>
                <w:bCs/>
                <w:color w:val="B87F1E"/>
                <w:sz w:val="21"/>
                <w:szCs w:val="21"/>
              </w:rPr>
              <w:t xml:space="preserve">04</w:t>
            </w:r>
          </w:p>
        </w:tc>
        <w:tc>
          <w:tcPr>
            <w:tcW w:type="dxa" w:w="3400"/>
            <w:tcMar>
              <w:top w:type="dxa" w:w="80"/>
              <w:left w:type="dxa" w:w="120"/>
              <w:bottom w:type="dxa" w:w="80"/>
              <w:right w:type="dxa" w:w="120"/>
            </w:tcMar>
            <w:vAlign w:val="center"/>
          </w:tcPr>
          <w:p>
            <w:r>
              <w:rPr>
                <w:rFonts w:ascii="Arial" w:cs="Arial" w:eastAsia="Arial" w:hAnsi="Arial"/>
                <w:sz w:val="21"/>
                <w:szCs w:val="21"/>
              </w:rPr>
              <w:t xml:space="preserve">Archive: 1974 irrigation reel</w:t>
            </w:r>
          </w:p>
        </w:tc>
        <w:tc>
          <w:tcPr>
            <w:tcW w:type="dxa" w:w="3400"/>
            <w:tcMar>
              <w:top w:type="dxa" w:w="80"/>
              <w:left w:type="dxa" w:w="120"/>
              <w:bottom w:type="dxa" w:w="80"/>
              <w:right w:type="dxa" w:w="120"/>
            </w:tcMar>
            <w:vAlign w:val="center"/>
          </w:tcPr>
          <w:p>
            <w:pPr>
              <w:bidi/>
              <w:jc w:val="right"/>
            </w:pPr>
            <w:r>
              <w:rPr>
                <w:rFonts w:ascii="Arial" w:cs="Arial" w:hAnsi="Arial"/>
                <w:sz w:val="22"/>
                <w:szCs w:val="22"/>
                <w:rtl/>
              </w:rPr>
              <w:t xml:space="preserve">أرشيف: شريط الري ١٩٧٤</w:t>
            </w:r>
          </w:p>
        </w:tc>
        <w:tc>
          <w:tcPr>
            <w:tcW w:type="dxa" w:w="1400"/>
            <w:tcMar>
              <w:top w:type="dxa" w:w="80"/>
              <w:left w:type="dxa" w:w="120"/>
              <w:bottom w:type="dxa" w:w="80"/>
              <w:right w:type="dxa" w:w="120"/>
            </w:tcMar>
            <w:vAlign w:val="center"/>
          </w:tcPr>
          <w:p>
            <w:pPr>
              <w:jc w:val="center"/>
            </w:pPr>
            <w:r>
              <w:rPr>
                <w:rFonts w:ascii="Arial" w:cs="Arial" w:eastAsia="Arial" w:hAnsi="Arial"/>
                <w:sz w:val="21"/>
                <w:szCs w:val="21"/>
              </w:rPr>
              <w:t xml:space="preserve">00:55</w:t>
            </w:r>
          </w:p>
        </w:tc>
        <w:tc>
          <w:tcPr>
            <w:tcW w:type="dxa" w:w="1500"/>
            <w:tcMar>
              <w:top w:type="dxa" w:w="80"/>
              <w:left w:type="dxa" w:w="120"/>
              <w:bottom w:type="dxa" w:w="80"/>
              <w:right w:type="dxa" w:w="120"/>
            </w:tcMar>
            <w:vAlign w:val="center"/>
          </w:tcPr>
          <w:p>
            <w:pPr>
              <w:jc w:val="center"/>
            </w:pPr>
            <w:r>
              <w:rPr>
                <w:rFonts w:ascii="Arial" w:cs="Arial" w:eastAsia="Arial" w:hAnsi="Arial"/>
                <w:sz w:val="21"/>
                <w:szCs w:val="21"/>
              </w:rPr>
              <w:t xml:space="preserve">—</w:t>
            </w:r>
          </w:p>
        </w:tc>
        <w:tc>
          <w:tcPr>
            <w:tcW w:type="dxa" w:w="2800"/>
            <w:tcMar>
              <w:top w:type="dxa" w:w="80"/>
              <w:left w:type="dxa" w:w="120"/>
              <w:bottom w:type="dxa" w:w="80"/>
              <w:right w:type="dxa" w:w="120"/>
            </w:tcMar>
            <w:vAlign w:val="center"/>
          </w:tcPr>
          <w:p>
            <w:r>
              <w:rPr>
                <w:rFonts w:ascii="Arial" w:cs="Arial" w:eastAsia="Arial" w:hAnsi="Arial"/>
                <w:i/>
                <w:iCs/>
                <w:color w:val="5B6470"/>
                <w:sz w:val="18"/>
                <w:szCs w:val="18"/>
              </w:rPr>
              <w:t xml:space="preserve">16 mm scan, 4K</w:t>
            </w:r>
          </w:p>
        </w:tc>
      </w:tr>
      <w:tr>
        <w:tc>
          <w:tcPr>
            <w:tcW w:type="dxa" w:w="900"/>
            <w:tcMar>
              <w:top w:type="dxa" w:w="80"/>
              <w:left w:type="dxa" w:w="120"/>
              <w:bottom w:type="dxa" w:w="80"/>
              <w:right w:type="dxa" w:w="120"/>
            </w:tcMar>
            <w:vAlign w:val="center"/>
          </w:tcPr>
          <w:p>
            <w:pPr>
              <w:jc w:val="center"/>
            </w:pPr>
            <w:r>
              <w:rPr>
                <w:rFonts w:ascii="Arial" w:cs="Arial" w:eastAsia="Arial" w:hAnsi="Arial"/>
                <w:b/>
                <w:bCs/>
                <w:color w:val="B87F1E"/>
                <w:sz w:val="21"/>
                <w:szCs w:val="21"/>
              </w:rPr>
              <w:t xml:space="preserve">05</w:t>
            </w:r>
          </w:p>
        </w:tc>
        <w:tc>
          <w:tcPr>
            <w:tcW w:type="dxa" w:w="3400"/>
            <w:tcMar>
              <w:top w:type="dxa" w:w="80"/>
              <w:left w:type="dxa" w:w="120"/>
              <w:bottom w:type="dxa" w:w="80"/>
              <w:right w:type="dxa" w:w="120"/>
            </w:tcMar>
            <w:vAlign w:val="center"/>
          </w:tcPr>
          <w:p>
            <w:r>
              <w:rPr>
                <w:rFonts w:ascii="Arial" w:cs="Arial" w:eastAsia="Arial" w:hAnsi="Arial"/>
                <w:sz w:val="21"/>
                <w:szCs w:val="21"/>
              </w:rPr>
              <w:t xml:space="preserve">Ferry crossing at dusk</w:t>
            </w:r>
          </w:p>
        </w:tc>
        <w:tc>
          <w:tcPr>
            <w:tcW w:type="dxa" w:w="3400"/>
            <w:tcMar>
              <w:top w:type="dxa" w:w="80"/>
              <w:left w:type="dxa" w:w="120"/>
              <w:bottom w:type="dxa" w:w="80"/>
              <w:right w:type="dxa" w:w="120"/>
            </w:tcMar>
            <w:vAlign w:val="center"/>
          </w:tcPr>
          <w:p>
            <w:pPr>
              <w:bidi/>
              <w:jc w:val="right"/>
            </w:pPr>
            <w:r>
              <w:rPr>
                <w:rFonts w:ascii="Arial" w:cs="Arial" w:hAnsi="Arial"/>
                <w:sz w:val="22"/>
                <w:szCs w:val="22"/>
                <w:rtl/>
              </w:rPr>
              <w:t xml:space="preserve">معدية عند الغروب</w:t>
            </w:r>
          </w:p>
        </w:tc>
        <w:tc>
          <w:tcPr>
            <w:tcW w:type="dxa" w:w="1400"/>
            <w:tcMar>
              <w:top w:type="dxa" w:w="80"/>
              <w:left w:type="dxa" w:w="120"/>
              <w:bottom w:type="dxa" w:w="80"/>
              <w:right w:type="dxa" w:w="120"/>
            </w:tcMar>
            <w:vAlign w:val="center"/>
          </w:tcPr>
          <w:p>
            <w:pPr>
              <w:jc w:val="center"/>
            </w:pPr>
            <w:r>
              <w:rPr>
                <w:rFonts w:ascii="Arial" w:cs="Arial" w:eastAsia="Arial" w:hAnsi="Arial"/>
                <w:sz w:val="21"/>
                <w:szCs w:val="21"/>
              </w:rPr>
              <w:t xml:space="preserve">01:08</w:t>
            </w:r>
          </w:p>
        </w:tc>
        <w:tc>
          <w:tcPr>
            <w:tcW w:type="dxa" w:w="1500"/>
            <w:tcMar>
              <w:top w:type="dxa" w:w="80"/>
              <w:left w:type="dxa" w:w="120"/>
              <w:bottom w:type="dxa" w:w="80"/>
              <w:right w:type="dxa" w:w="120"/>
            </w:tcMar>
            <w:vAlign w:val="center"/>
          </w:tcPr>
          <w:p>
            <w:pPr>
              <w:jc w:val="center"/>
            </w:pPr>
            <w:r>
              <w:rPr>
                <w:rFonts w:ascii="Arial" w:cs="Arial" w:eastAsia="Arial" w:hAnsi="Arial"/>
                <w:sz w:val="21"/>
                <w:szCs w:val="21"/>
              </w:rPr>
              <w:t xml:space="preserve">50 mm</w:t>
            </w:r>
          </w:p>
        </w:tc>
        <w:tc>
          <w:tcPr>
            <w:tcW w:type="dxa" w:w="2800"/>
            <w:tcMar>
              <w:top w:type="dxa" w:w="80"/>
              <w:left w:type="dxa" w:w="120"/>
              <w:bottom w:type="dxa" w:w="80"/>
              <w:right w:type="dxa" w:w="120"/>
            </w:tcMar>
            <w:vAlign w:val="center"/>
          </w:tcPr>
          <w:p>
            <w:r>
              <w:rPr>
                <w:rFonts w:ascii="Arial" w:cs="Arial" w:eastAsia="Arial" w:hAnsi="Arial"/>
                <w:i/>
                <w:iCs/>
                <w:color w:val="5B6470"/>
                <w:sz w:val="18"/>
                <w:szCs w:val="18"/>
              </w:rPr>
              <w:t xml:space="preserve">Golden hour, one take</w:t>
            </w:r>
          </w:p>
        </w:tc>
      </w:tr>
    </w:tbl>
    <w:p>
      <w:pPr>
        <w:spacing w:after="240" w:before="80"/>
        <w:jc w:val="center"/>
      </w:pPr>
      <w:r>
        <w:rPr>
          <w:rFonts w:ascii="Arial" w:cs="Arial" w:eastAsia="Arial" w:hAnsi="Arial"/>
          <w:i/>
          <w:iCs/>
          <w:color w:val="5B6470"/>
          <w:sz w:val="17"/>
          <w:szCs w:val="17"/>
        </w:rPr>
        <w:t xml:space="preserve">Table 2 — Shot list extract (landscape section)</w:t>
      </w:r>
      <w:r>
        <w:rPr>
          <w:rFonts w:ascii="Arial" w:cs="Arial" w:eastAsia="Arial" w:hAnsi="Arial"/>
          <w:color w:val="5B6470"/>
          <w:sz w:val="17"/>
          <w:szCs w:val="17"/>
        </w:rPr>
        <w:t xml:space="preserve">  •  </w:t>
      </w:r>
      <w:r>
        <w:rPr>
          <w:rFonts w:ascii="Arial" w:cs="Arial" w:eastAsia="Arial" w:hAnsi="Arial"/>
          <w:color w:val="5B6470"/>
          <w:sz w:val="18"/>
          <w:szCs w:val="18"/>
          <w:rtl/>
        </w:rPr>
        <w:t xml:space="preserve">الجدول ٢ — مقتطف من قائمة اللقطات</w:t>
      </w:r>
    </w:p>
    <w:p>
      <w:pPr>
        <w:spacing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40" w:before="80"/>
        <w:jc w:val="center"/>
      </w:pPr>
      <w:r>
        <w:rPr>
          <w:rFonts w:ascii="Arial" w:cs="Arial" w:eastAsia="Arial" w:hAnsi="Arial"/>
          <w:i/>
          <w:iCs/>
          <w:color w:val="5B6470"/>
          <w:sz w:val="17"/>
          <w:szCs w:val="17"/>
        </w:rPr>
        <w:t xml:space="preserve">Figure 2 — Reference frame for shot 05, graded</w:t>
      </w:r>
      <w:r>
        <w:rPr>
          <w:rFonts w:ascii="Arial" w:cs="Arial" w:eastAsia="Arial" w:hAnsi="Arial"/>
          <w:color w:val="5B6470"/>
          <w:sz w:val="17"/>
          <w:szCs w:val="17"/>
        </w:rPr>
        <w:t xml:space="preserve">  •  </w:t>
      </w:r>
      <w:r>
        <w:rPr>
          <w:rFonts w:ascii="Arial" w:cs="Arial" w:eastAsia="Arial" w:hAnsi="Arial"/>
          <w:color w:val="5B6470"/>
          <w:sz w:val="18"/>
          <w:szCs w:val="18"/>
          <w:rtl/>
        </w:rPr>
        <w:t xml:space="preserve">الشكل ٢ — لقطة مرجعية للمشهد ٠٥ بعد تصحيح الألوان</w:t>
      </w:r>
    </w:p>
    <w:sectPr>
      <w:headerReference w:type="default" r:id="rId9"/>
      <w:footerReference w:type="default" r:id="rId10"/>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B6470"/>
        <w:sz w:val="16"/>
        <w:szCs w:val="16"/>
      </w:rPr>
      <w:t xml:space="preserve">Internal — Confidential / داخلي — سري</w:t>
    </w:r>
    <w:r>
      <w:rPr>
        <w:rFonts w:ascii="Arial" w:cs="Arial" w:eastAsia="Arial" w:hAnsi="Arial"/>
      </w:rPr>
      <w:t xml:space="preserve">	</w:t>
    </w:r>
    <w:r>
      <w:rPr>
        <w:rFonts w:ascii="Arial" w:cs="Arial" w:eastAsia="Arial" w:hAnsi="Arial"/>
        <w:color w:val="5B64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B6470"/>
        <w:sz w:val="16"/>
        <w:szCs w:val="16"/>
      </w:rPr>
      <w:t xml:space="preserve">Internal — Confidential / داخلي — سري</w:t>
    </w:r>
    <w:r>
      <w:rPr>
        <w:rFonts w:ascii="Arial" w:cs="Arial" w:eastAsia="Arial" w:hAnsi="Arial"/>
      </w:rPr>
      <w:t xml:space="preserve">	</w:t>
    </w:r>
    <w:r>
      <w:rPr>
        <w:rFonts w:ascii="Arial" w:cs="Arial" w:eastAsia="Arial" w:hAnsi="Arial"/>
        <w:color w:val="5B64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7"/>
          <w:szCs w:val="17"/>
        </w:rPr>
        <w:t xml:space="preserve">Measured per EBU R 128 over the full programme, dialogue-gated. </w:t>
      </w:r>
      <w:r>
        <w:rPr>
          <w:rFonts w:ascii="Arial" w:cs="Arial" w:eastAsia="Arial" w:hAnsi="Arial"/>
          <w:sz w:val="17"/>
          <w:szCs w:val="17"/>
          <w:rtl/>
        </w:rPr>
        <w:t xml:space="preserve">يُقاس وفق المعيار الأوروبي على كامل الحلقة.</w:t>
      </w:r>
    </w:p>
  </w:footnote>
  <w:footnote w:id="2">
    <w:p>
      <w:r>
        <w:rPr>
          <w:rStyle w:val="FootnoteReference"/>
        </w:rPr>
        <w:footnoteRef/>
      </w:r>
      <w:r>
        <w:rPr>
          <w:rFonts w:ascii="Arial" w:cs="Arial" w:eastAsia="Arial" w:hAnsi="Arial"/>
          <w:sz w:val="17"/>
          <w:szCs w:val="17"/>
        </w:rPr>
        <w:t xml:space="preserve">Lock date assumes archive clearance closes on time / يفترض انتهاء تصاريح الأرشيف في موعدها.</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9" w:sz="6" w:space="8"/>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mbria" w:cs="Cambria" w:eastAsia="Cambria" w:hAnsi="Cambria"/>
        <w:b/>
        <w:bCs/>
        <w:color w:val="12171F"/>
        <w:spacing w:val="30"/>
        <w:sz w:val="18"/>
        <w:szCs w:val="18"/>
      </w:rPr>
      <w:t xml:space="preserve">  NILE FRAME STUDIO</w:t>
    </w:r>
    <w:r>
      <w:rPr>
        <w:rFonts w:ascii="Arial" w:cs="Arial" w:eastAsia="Arial" w:hAnsi="Arial"/>
      </w:rPr>
      <w:t xml:space="preserve">	</w:t>
    </w:r>
    <w:r>
      <w:rPr>
        <w:rFonts w:ascii="Arial" w:cs="Arial" w:eastAsia="Arial" w:hAnsi="Arial"/>
        <w:color w:val="5B6470"/>
        <w:sz w:val="19"/>
        <w:szCs w:val="19"/>
        <w:rtl/>
      </w:rPr>
      <w:t xml:space="preserve">استوديو نايل فريم</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3C9" w:sz="6" w:space="8"/>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mbria" w:cs="Cambria" w:eastAsia="Cambria" w:hAnsi="Cambria"/>
        <w:b/>
        <w:bCs/>
        <w:color w:val="12171F"/>
        <w:spacing w:val="30"/>
        <w:sz w:val="18"/>
        <w:szCs w:val="18"/>
      </w:rPr>
      <w:t xml:space="preserve">  NILE FRAME STUDIO</w:t>
    </w:r>
    <w:r>
      <w:rPr>
        <w:rFonts w:ascii="Arial" w:cs="Arial" w:eastAsia="Arial" w:hAnsi="Arial"/>
      </w:rPr>
      <w:t xml:space="preserve">	</w:t>
    </w:r>
    <w:r>
      <w:rPr>
        <w:rFonts w:ascii="Arial" w:cs="Arial" w:eastAsia="Arial" w:hAnsi="Arial"/>
        <w:color w:val="5B6470"/>
        <w:sz w:val="19"/>
        <w:szCs w:val="19"/>
        <w:rtl/>
      </w:rPr>
      <w:t xml:space="preserve">استوديو نايل فريم</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87F1E"/>
      </w:r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500" w:hanging="280"/>
      </w:pPr>
      <w:rPr>
        <w:b/>
        <w:bCs/>
        <w:color w:val="2E7D74"/>
      </w:rPr>
    </w:lvl>
    <w:lvl w:ilvl="1" w15:tentative="1">
      <w:start w:val="1"/>
      <w:numFmt w:val="lowerLetter"/>
      <w:lvlText w:val="%2)"/>
      <w:lvlJc w:val="left"/>
      <w:pPr>
        <w:ind w:left="9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0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mbria" w:cs="Cambria" w:eastAsia="Cambria" w:hAnsi="Cambria"/>
      <w:b/>
      <w:bCs/>
      <w:color w:val="12171F"/>
      <w:sz w:val="30"/>
      <w:szCs w:val="30"/>
    </w:rPr>
  </w:style>
  <w:style w:type="paragraph" w:styleId="Heading2">
    <w:name w:val="Heading 2"/>
    <w:basedOn w:val="Normal"/>
    <w:next w:val="Normal"/>
    <w:qFormat/>
    <w:rPr>
      <w:rFonts w:ascii="Cambria" w:cs="Cambria" w:eastAsia="Cambria" w:hAnsi="Cambria"/>
      <w:b/>
      <w:bCs/>
      <w:color w:val="12171F"/>
      <w:sz w:val="24"/>
      <w:szCs w:val="24"/>
    </w:rPr>
  </w:style>
  <w:style w:type="paragraph" w:styleId="Heading3">
    <w:name w:val="Heading 3"/>
    <w:basedOn w:val="Normal"/>
    <w:next w:val="Normal"/>
    <w:qFormat/>
    <w:rPr>
      <w:rFonts w:ascii="Arial" w:cs="Arial" w:eastAsia="Arial" w:hAnsi="Arial"/>
      <w:b/>
      <w:bCs/>
      <w:color w:val="2E7D7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85q75gyrahrmigdcr13l_" Type="http://schemas.openxmlformats.org/officeDocument/2006/relationships/hyperlink" Target="mailto:post@nileframe.example" TargetMode="External"/><Relationship Id="rIdg_bgirspwm9lblvslsmta" Type="http://schemas.openxmlformats.org/officeDocument/2006/relationships/hyperlink" Target="https://example.com/nileframe/handbook" TargetMode="External"/><Relationship Id="rId11" Type="http://schemas.openxmlformats.org/officeDocument/2006/relationships/image" Target="media/d439a01409e90ec57db9bab183c6bb15b707c2ec.png"/><Relationship Id="rId12" Type="http://schemas.openxmlformats.org/officeDocument/2006/relationships/image" Target="media/9c02a686c66bf655011fe72253345bb2b225627d.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e0613259da61d5158adada85749845d07772734.png"/></Relationships>
</file>

<file path=word/_rels/header2.xml.rels><?xml version="1.0" encoding="UTF-8"?><Relationships xmlns="http://schemas.openxmlformats.org/package/2006/relationships"><Relationship Id="rId0" Type="http://schemas.openxmlformats.org/officeDocument/2006/relationships/image" Target="media/0e0613259da61d5158adada85749845d0777273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Brief — Sawt al-Nahr / موجز الإنتاج</dc:title>
  <dc:creator>Nile Frame Studio</dc:creator>
  <dc:description>Bilingual (EN/AR) sample document for renderer testing.</dc:description>
  <cp:lastModifiedBy>Un-named</cp:lastModifiedBy>
  <cp:revision>1</cp:revision>
  <dcterms:created xsi:type="dcterms:W3CDTF">2026-08-29T17:43:31.117Z</dcterms:created>
  <dcterms:modified xsi:type="dcterms:W3CDTF">2026-08-29T17:43:31.117Z</dcterms:modified>
</cp:coreProperties>
</file>

<file path=docProps/custom.xml><?xml version="1.0" encoding="utf-8"?>
<Properties xmlns="http://schemas.openxmlformats.org/officeDocument/2006/custom-properties" xmlns:vt="http://schemas.openxmlformats.org/officeDocument/2006/docPropsVTypes"/>
</file>