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C3493">
      <w:pPr>
        <w:pStyle w:val="2"/>
        <w:keepNext/>
        <w:keepLines/>
        <w:widowControl w:val="0"/>
        <w:numPr>
          <w:ilvl w:val="0"/>
          <w:numId w:val="1"/>
        </w:numPr>
        <w:bidi w:val="0"/>
        <w:spacing w:before="340" w:beforeLines="0" w:after="330" w:afterLines="0" w:line="578" w:lineRule="auto"/>
        <w:jc w:val="both"/>
        <w:outlineLvl w:val="0"/>
        <w:rPr>
          <w:rFonts w:hint="default" w:ascii="Arial" w:hAnsi="Arial" w:cs="Arial"/>
          <w:sz w:val="22"/>
          <w:szCs w:val="22"/>
          <w:lang w:val="fr-FR"/>
        </w:rPr>
      </w:pPr>
      <w:r>
        <w:rPr>
          <w:rFonts w:hint="default" w:ascii="Arial" w:hAnsi="Arial" w:cs="Arial"/>
          <w:sz w:val="22"/>
          <w:szCs w:val="22"/>
          <w:lang w:val="fr-FR"/>
        </w:rPr>
        <w:t xml:space="preserve">Listes domaines STDM annotés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702"/>
        <w:gridCol w:w="3723"/>
        <w:gridCol w:w="1869"/>
      </w:tblGrid>
      <w:tr w14:paraId="5EA0C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4BACC6"/>
            <w:vAlign w:val="center"/>
          </w:tcPr>
          <w:p w14:paraId="3B8DDC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Domaine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4BACC6"/>
            <w:vAlign w:val="center"/>
          </w:tcPr>
          <w:p w14:paraId="64B1A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Nom complet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4BACC6"/>
            <w:vAlign w:val="center"/>
          </w:tcPr>
          <w:p w14:paraId="4698A3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Rôle dans l’étude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4BACC6"/>
            <w:vAlign w:val="center"/>
          </w:tcPr>
          <w:p w14:paraId="36E30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Type de données principales</w:t>
            </w:r>
          </w:p>
        </w:tc>
      </w:tr>
      <w:tr w14:paraId="56C29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8456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DM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6B522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Demographics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58869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Informations de base des sujets (sexe, âge, site, code patient, date de naissance).</w:t>
            </w:r>
          </w:p>
        </w:tc>
        <w:tc>
          <w:tcPr>
            <w:tcW w:w="0" w:type="auto"/>
            <w:tcBorders>
              <w:top w:val="single" w:color="000000" w:sz="12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24441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Identification et répartition par bras (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ARMCD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).</w:t>
            </w:r>
          </w:p>
        </w:tc>
      </w:tr>
      <w:tr w14:paraId="5C134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B9EB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FB14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Inclusion/Exclusion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F58B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Résultats des critères d’éligibilité (DSM-IV, grossesse, tension, maladies graves, etc.).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57C0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IECAT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62466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671C7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5FB39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Disposition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5D7DF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Statut du patient dans l’étude (inclus, retiré, perdu de vue, terminé, etc.).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09C84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DSTERM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DSDECOD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65535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A0EC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72E1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Exposure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655D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Détails du traitement administré (dose, fréquence, voie d’administration, médicament, durée).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EEE5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EXTRT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EXDOSE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EXROUTE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EXSTDTC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1E816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3D025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2C47D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Vital Signs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65DA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Signes vitaux (poids, tension, température, fréquence cardiaque, etc.).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60612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06DB8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5E57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5B58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Laboratory Tests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66F8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Résultats biologiques (urine, sang, etc.).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5A71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LBSTRESN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6BC56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2702C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11BD3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Physical Examination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2CB67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Examen clinique général (état des organes, anomalies physiques).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42C81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PETEST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PEORRES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PEDTC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6A182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FEF3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MH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1DFA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Medical History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61A8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Antécédents médicaux pertinents (hépatite, troubles cardiaques, antécédents psychiatriques).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4A39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MHTERM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MHSTDTC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046AA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CB2B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67429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Substance Use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43899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Historique et nature de la consommation de substances (type, voie, fréquence).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5B7FB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SUTRT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6659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CD1A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B05E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Questionnaire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A181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Scores issus d’échelles validées : COWS (sevrage), SF-36 (qualité de vie), DSM-IV (diagnostic), CSQ (satisfaction).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7909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QSTESTCD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QSORRES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VISITNUM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7C230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E046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467D5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Adverse Events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D85D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Événements indésirables (symptômes, gravité, lien au traitement).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00F74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AETERM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AESEV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AESER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AEDECOD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4DDD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CA92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RP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9007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Reproductive System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9D9E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Évaluations liées à la grossesse et la contraception.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1010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RPPREG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RPDTC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23C54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6232E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7A35E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Comments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4EF2C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Commentaires complémentaires à un événement, test ou observation.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45103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COCAT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COTERM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COREF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07B13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CCF8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SV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9379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Subject Visits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722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Calendrier et dates de visite des patients (Screening, Active, Follow-up1–3).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7D53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VISIT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VISITNUM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478B6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37897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5FD6A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Subject Characteristics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0E0CE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Variables supplémentaires descriptives du sujet (emploi, scolarité, statut marital).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E7E7E7"/>
            <w:vAlign w:val="center"/>
          </w:tcPr>
          <w:p w14:paraId="2E882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01D9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6C5F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3EF1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Subject Elements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6BAB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Périodes de participation (Screening, Treatment, Follow-up).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06D7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ELEMENT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SESTDTC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SEENDTC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086DB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E7E7E7"/>
            <w:vAlign w:val="center"/>
          </w:tcPr>
          <w:p w14:paraId="15EAF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SUPPDM / SUPPXX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E7E7E7"/>
            <w:vAlign w:val="center"/>
          </w:tcPr>
          <w:p w14:paraId="5AD82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Supplemental Qualifiers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E7E7E7"/>
            <w:vAlign w:val="center"/>
          </w:tcPr>
          <w:p w14:paraId="70AF0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Tables complémentaires pour stocker les variables non standards.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single" w:color="000000" w:sz="12" w:space="0"/>
              <w:right w:val="dotted" w:color="auto" w:sz="0" w:space="0"/>
            </w:tcBorders>
            <w:shd w:val="clear" w:color="auto" w:fill="E7E7E7"/>
            <w:vAlign w:val="center"/>
          </w:tcPr>
          <w:p w14:paraId="789E3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QNAM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QLABEL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QVAL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</w:tbl>
    <w:p w14:paraId="3EECDC31">
      <w:pPr>
        <w:rPr>
          <w:rFonts w:hint="default"/>
          <w:lang w:val="fr-FR"/>
        </w:rPr>
      </w:pPr>
    </w:p>
    <w:p w14:paraId="1FF0456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Différence entre </w:t>
      </w:r>
      <w:r>
        <w:rPr>
          <w:rStyle w:val="7"/>
          <w:rFonts w:hint="default" w:ascii="Arial" w:hAnsi="Arial" w:cs="Arial"/>
          <w:b/>
          <w:bCs/>
          <w:sz w:val="22"/>
          <w:szCs w:val="22"/>
        </w:rPr>
        <w:t>Screening</w:t>
      </w:r>
      <w:r>
        <w:rPr>
          <w:rFonts w:hint="default" w:ascii="Arial" w:hAnsi="Arial" w:cs="Arial"/>
          <w:sz w:val="22"/>
          <w:szCs w:val="22"/>
        </w:rPr>
        <w:t xml:space="preserve"> et </w:t>
      </w:r>
      <w:r>
        <w:rPr>
          <w:rStyle w:val="7"/>
          <w:rFonts w:hint="default" w:ascii="Arial" w:hAnsi="Arial" w:cs="Arial"/>
          <w:b/>
          <w:bCs/>
          <w:sz w:val="22"/>
          <w:szCs w:val="22"/>
        </w:rPr>
        <w:t>Randomized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2698"/>
        <w:gridCol w:w="1660"/>
        <w:gridCol w:w="2892"/>
      </w:tblGrid>
      <w:tr w14:paraId="1B5E7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1EA104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Terme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69D451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Signification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52AAA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Étape clinique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3AC8AB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Domaine SDTM concerné</w:t>
            </w:r>
          </w:p>
        </w:tc>
      </w:tr>
      <w:tr w14:paraId="48D51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085C3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Screening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7F176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Phase où le patient </w:t>
            </w: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est évalué pour vérifier son éligibilité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selon les critères d’inclusion/exclusion.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7BA17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Avant le traitement. Aucun médicament n’est encore administré.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17BFF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(Inclusion/Exclusion),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(Disposition, motif de non-inclusion), parfois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(Demographics pour les sujets évalués).</w:t>
            </w:r>
          </w:p>
        </w:tc>
      </w:tr>
      <w:tr w14:paraId="4BEC0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08F29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Randomized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01F80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Étape où le patient </w:t>
            </w: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 été assigné aléatoirement à un bras de traitement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(ex. BUP/NX vs Clonidine).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289DB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Début du traitement actif.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0131C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(variable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ARMCD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ARM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RANDFL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(Exposure, données de traitement).</w:t>
            </w:r>
          </w:p>
        </w:tc>
      </w:tr>
    </w:tbl>
    <w:p w14:paraId="15A5EF5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En résumé :</w:t>
      </w:r>
      <w:r>
        <w:rPr>
          <w:rStyle w:val="7"/>
          <w:rFonts w:hint="default" w:ascii="Arial" w:hAnsi="Arial" w:cs="Arial"/>
          <w:sz w:val="22"/>
          <w:szCs w:val="22"/>
          <w:lang w:val="fr-FR"/>
        </w:rPr>
        <w:t xml:space="preserve"> </w:t>
      </w:r>
      <w:r>
        <w:rPr>
          <w:rStyle w:val="6"/>
          <w:rFonts w:hint="default" w:ascii="Arial" w:hAnsi="Arial" w:cs="Arial"/>
          <w:sz w:val="22"/>
          <w:szCs w:val="22"/>
        </w:rPr>
        <w:t>Screening</w:t>
      </w:r>
      <w:r>
        <w:rPr>
          <w:rFonts w:hint="default" w:ascii="Arial" w:hAnsi="Arial" w:cs="Arial"/>
          <w:sz w:val="22"/>
          <w:szCs w:val="22"/>
        </w:rPr>
        <w:t xml:space="preserve"> = tous les sujets examinés (même ceux exclus).</w:t>
      </w:r>
      <w:r>
        <w:rPr>
          <w:rFonts w:hint="default" w:ascii="Arial" w:hAnsi="Arial" w:cs="Arial"/>
          <w:sz w:val="22"/>
          <w:szCs w:val="22"/>
          <w:lang w:val="fr-FR"/>
        </w:rPr>
        <w:t xml:space="preserve"> </w:t>
      </w:r>
      <w:r>
        <w:rPr>
          <w:rStyle w:val="6"/>
          <w:rFonts w:hint="default" w:ascii="Arial" w:hAnsi="Arial" w:cs="Arial"/>
          <w:sz w:val="22"/>
          <w:szCs w:val="22"/>
        </w:rPr>
        <w:t>Randomized</w:t>
      </w:r>
      <w:r>
        <w:rPr>
          <w:rFonts w:hint="default" w:ascii="Arial" w:hAnsi="Arial" w:cs="Arial"/>
          <w:sz w:val="22"/>
          <w:szCs w:val="22"/>
        </w:rPr>
        <w:t xml:space="preserve"> = sous-groupe de patients inclus et assignés à un traitement.</w:t>
      </w:r>
    </w:p>
    <w:p w14:paraId="5FF3F8EB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72C9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cs="Arial"/>
          <w:sz w:val="22"/>
          <w:szCs w:val="22"/>
          <w:lang w:val="fr-FR"/>
        </w:rPr>
      </w:pPr>
      <w:r>
        <w:rPr>
          <w:rFonts w:hint="default" w:ascii="Arial" w:hAnsi="Arial" w:cs="Arial"/>
          <w:sz w:val="22"/>
          <w:szCs w:val="22"/>
        </w:rPr>
        <w:t xml:space="preserve">Qu’est-ce que </w:t>
      </w:r>
      <w:r>
        <w:rPr>
          <w:rStyle w:val="7"/>
          <w:rFonts w:hint="default" w:ascii="Arial" w:hAnsi="Arial" w:cs="Arial"/>
          <w:b/>
          <w:bCs/>
          <w:sz w:val="22"/>
          <w:szCs w:val="22"/>
        </w:rPr>
        <w:t>EPOCH</w:t>
      </w:r>
      <w:r>
        <w:rPr>
          <w:rStyle w:val="7"/>
          <w:rFonts w:hint="default" w:ascii="Arial" w:hAnsi="Arial" w:cs="Arial"/>
          <w:b/>
          <w:bCs/>
          <w:sz w:val="22"/>
          <w:szCs w:val="22"/>
          <w:lang w:val="fr-FR"/>
        </w:rPr>
        <w:t xml:space="preserve"> </w:t>
      </w:r>
      <w:r>
        <w:rPr>
          <w:rFonts w:hint="default" w:ascii="Arial" w:hAnsi="Arial" w:cs="Arial"/>
          <w:sz w:val="22"/>
          <w:szCs w:val="22"/>
          <w:lang w:val="fr-FR"/>
        </w:rPr>
        <w:t>?</w:t>
      </w:r>
    </w:p>
    <w:p w14:paraId="6BC040C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Dans SDTM, </w:t>
      </w:r>
      <w:r>
        <w:rPr>
          <w:rStyle w:val="7"/>
          <w:rFonts w:hint="default" w:ascii="Arial" w:hAnsi="Arial" w:cs="Arial"/>
          <w:sz w:val="22"/>
          <w:szCs w:val="22"/>
        </w:rPr>
        <w:t>EPOCH</w:t>
      </w:r>
      <w:r>
        <w:rPr>
          <w:rFonts w:hint="default" w:ascii="Arial" w:hAnsi="Arial" w:cs="Arial"/>
          <w:sz w:val="22"/>
          <w:szCs w:val="22"/>
        </w:rPr>
        <w:t xml:space="preserve"> désigne </w:t>
      </w:r>
      <w:r>
        <w:rPr>
          <w:rStyle w:val="7"/>
          <w:rFonts w:hint="default" w:ascii="Arial" w:hAnsi="Arial" w:cs="Arial"/>
          <w:sz w:val="22"/>
          <w:szCs w:val="22"/>
        </w:rPr>
        <w:t>la phase de l’étude</w:t>
      </w:r>
      <w:r>
        <w:rPr>
          <w:rFonts w:hint="default" w:ascii="Arial" w:hAnsi="Arial" w:cs="Arial"/>
          <w:sz w:val="22"/>
          <w:szCs w:val="22"/>
        </w:rPr>
        <w:t xml:space="preserve"> à laquelle une observation appartient.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C’est une variable temporelle très importante pour relier les données d’un patient à une étape du protocole.</w:t>
      </w:r>
    </w:p>
    <w:p w14:paraId="4AED7F7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7581386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09AF057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214EFD4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Exemple d’EPOCH dans ton étude :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4153"/>
        <w:gridCol w:w="2930"/>
      </w:tblGrid>
      <w:tr w14:paraId="16EB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2C3423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Valeur d’EPOCH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6A5FF0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Interprétation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6FF35E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Période du protocole</w:t>
            </w:r>
          </w:p>
        </w:tc>
      </w:tr>
      <w:tr w14:paraId="2CE33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54E6D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Screening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729A2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Évaluation initiale d’éligibilité (critères DSM-IV, tests, antécédents).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573EC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Avant randomisation.</w:t>
            </w:r>
          </w:p>
        </w:tc>
      </w:tr>
      <w:tr w14:paraId="786C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09288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Active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59680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Période de traitement (administration de BUP/NX ou Clonidine).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79D71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13 jours de sevrage actif.</w:t>
            </w:r>
          </w:p>
        </w:tc>
      </w:tr>
      <w:tr w14:paraId="5CCA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4D8E8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Follow-up 1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251C4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Première visite de suivi post-traitement (environ 1 mois).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22F39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Évaluation de la rechute, effets secondaires.</w:t>
            </w:r>
          </w:p>
        </w:tc>
      </w:tr>
      <w:tr w14:paraId="535B4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0FAD9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Follow-up 2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4FBB5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Deuxième suivi (environ 3 mois).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407A4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Stabilité du sevrage, qualité de vie.</w:t>
            </w:r>
          </w:p>
        </w:tc>
      </w:tr>
      <w:tr w14:paraId="3123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45D52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7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Follow-up 3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3EC4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Dernier suivi (environ 6 mois).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29CC4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Maintien du sevrage, satisfaction patient.</w:t>
            </w:r>
          </w:p>
        </w:tc>
      </w:tr>
    </w:tbl>
    <w:p w14:paraId="463FC79F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0295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Lien avec les fichiers SDTM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2651"/>
        <w:gridCol w:w="3439"/>
      </w:tblGrid>
      <w:tr w14:paraId="37A4B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767F9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013BBD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Fichier SDTM principal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FFFFFF" w:sz="18" w:space="0"/>
              <w:right w:val="single" w:color="4BACC6" w:sz="8" w:space="0"/>
            </w:tcBorders>
            <w:shd w:val="clear" w:color="auto" w:fill="4BACC6"/>
            <w:vAlign w:val="center"/>
          </w:tcPr>
          <w:p w14:paraId="074747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Variables utiles</w:t>
            </w:r>
          </w:p>
        </w:tc>
      </w:tr>
      <w:tr w14:paraId="5E03F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08E6E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Screening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2BAAB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DM.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020C7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IETEST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IEORRES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EPOCH="Screening"</w:t>
            </w:r>
          </w:p>
        </w:tc>
      </w:tr>
      <w:tr w14:paraId="7E85A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54C9C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Active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1545E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AE.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 w14:paraId="76636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EXTRT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EXSTDTC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EPOCH="Active"</w:t>
            </w:r>
          </w:p>
        </w:tc>
      </w:tr>
      <w:tr w14:paraId="1F3A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6915C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Follow-up (1–3)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2D40B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QS.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VS.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LB.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DS.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fr-FR" w:eastAsia="zh-CN" w:bidi="ar"/>
              </w:rPr>
              <w:t>csv</w:t>
            </w:r>
          </w:p>
        </w:tc>
        <w:tc>
          <w:tcPr>
            <w:tcW w:w="0" w:type="auto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B7DDE8"/>
            <w:vAlign w:val="center"/>
          </w:tcPr>
          <w:p w14:paraId="1AA1D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VISITNUM</w:t>
            </w:r>
            <w:r>
              <w:rPr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imSun" w:cs="Arial"/>
                <w:color w:val="000000"/>
                <w:kern w:val="0"/>
                <w:sz w:val="18"/>
                <w:szCs w:val="18"/>
                <w:lang w:val="en-US" w:eastAsia="zh-CN" w:bidi="ar"/>
              </w:rPr>
              <w:t>EPOCH="Follow-up 1/2/3"</w:t>
            </w:r>
          </w:p>
        </w:tc>
      </w:tr>
    </w:tbl>
    <w:p w14:paraId="2CAB3E3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Chaque enregistrement dans les fichiers SDTM indique à </w:t>
      </w:r>
      <w:r>
        <w:rPr>
          <w:rStyle w:val="7"/>
          <w:rFonts w:hint="default" w:ascii="Arial" w:hAnsi="Arial" w:cs="Arial"/>
          <w:sz w:val="22"/>
          <w:szCs w:val="22"/>
        </w:rPr>
        <w:t>quelle phase de l’étude (EPOCH)</w:t>
      </w:r>
      <w:r>
        <w:rPr>
          <w:rFonts w:hint="default" w:ascii="Arial" w:hAnsi="Arial" w:cs="Arial"/>
          <w:sz w:val="22"/>
          <w:szCs w:val="22"/>
        </w:rPr>
        <w:t xml:space="preserve"> il appartient.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C’est grâce à ça qu’on peut séparer :</w:t>
      </w:r>
    </w:p>
    <w:p w14:paraId="249C93A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les données de pré-inclusion (Screening),</w:t>
      </w:r>
    </w:p>
    <w:p w14:paraId="4C4054C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celles du traitement actif,</w:t>
      </w:r>
    </w:p>
    <w:p w14:paraId="40A6457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et celles du suivi post-traitement.</w:t>
      </w:r>
    </w:p>
    <w:p w14:paraId="56110D6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sz w:val="22"/>
          <w:szCs w:val="22"/>
        </w:rPr>
      </w:pPr>
    </w:p>
    <w:p w14:paraId="79B835D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sz w:val="22"/>
          <w:szCs w:val="22"/>
        </w:rPr>
      </w:pPr>
    </w:p>
    <w:p w14:paraId="168463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5D83155A">
      <w:pPr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CBED8"/>
    <w:multiLevelType w:val="singleLevel"/>
    <w:tmpl w:val="DCACBE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7773A6"/>
    <w:multiLevelType w:val="singleLevel"/>
    <w:tmpl w:val="517773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B0C31"/>
    <w:rsid w:val="0D8F0DF6"/>
    <w:rsid w:val="181E3DA1"/>
    <w:rsid w:val="26EE4B38"/>
    <w:rsid w:val="2A892DAF"/>
    <w:rsid w:val="34D80DC2"/>
    <w:rsid w:val="37334D15"/>
    <w:rsid w:val="4D385066"/>
    <w:rsid w:val="503404A9"/>
    <w:rsid w:val="57E9601D"/>
    <w:rsid w:val="58784A31"/>
    <w:rsid w:val="66415A48"/>
    <w:rsid w:val="67822394"/>
    <w:rsid w:val="6FDA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2025-10-25T18:32:03Z</dcterms:created>
  <dc:creator>Abdo</dc:creator>
  <cp:lastModifiedBy>ABDO MIRGAN</cp:lastModifiedBy>
  <dcterms:modified xsi:type="dcterms:W3CDTF">2025-10-26T09:55:37Z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B66AD205121D46ABB8A1E19101824E1F_12</vt:lpwstr>
  </property>
</Properties>
</file>