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Guide pratique : Comprendre et interpréter les données SDTM (NIDA-CTN-0001)</w:t>
      </w:r>
    </w:p>
    <w:p>
      <w:r>
        <w:t>Ce guide a pour objectif d’aider à comprendre, explorer et interpréter les fichiers de données cliniques au format SDTM (Study Data Tabulation Model), selon les standards du CDISC. Il combine la théorie issue du document 'Notions de format CDISC' et la pratique à partir des données réelles de l’étude clinique NIDA-CTN-0001, accompagnées de son fichier d’annotation SDTM.</w:t>
      </w:r>
    </w:p>
    <w:p>
      <w:pPr>
        <w:pStyle w:val="Heading2"/>
      </w:pPr>
      <w:r>
        <w:t>🎯 1. Comprendre le CDISC</w:t>
      </w:r>
    </w:p>
    <w:p>
      <w:r>
        <w:t>Le Clinical Data Interchange Standards Consortium (CDISC) définit les standards internationaux pour structurer, échanger et soumettre les données d’essais cliniques. Son objectif est de garantir la cohérence, la qualité et la compatibilité réglementaire (FDA, EMA).</w:t>
      </w:r>
    </w:p>
    <w:p>
      <w:pPr>
        <w:pStyle w:val="Heading2"/>
      </w:pPr>
      <w:r>
        <w:t>🧩 2. Les principaux standards CDISC</w:t>
      </w:r>
    </w:p>
    <w:tbl>
      <w:tblPr>
        <w:tblW w:type="auto" w:w="0"/>
        <w:tblLook w:firstColumn="1" w:firstRow="1" w:lastColumn="0" w:lastRow="0" w:noHBand="0" w:noVBand="1" w:val="04A0"/>
      </w:tblPr>
      <w:tblGrid>
        <w:gridCol w:w="2880"/>
        <w:gridCol w:w="2880"/>
        <w:gridCol w:w="2880"/>
      </w:tblGrid>
      <w:tr>
        <w:tc>
          <w:tcPr>
            <w:tcW w:type="dxa" w:w="2880"/>
          </w:tcPr>
          <w:p>
            <w:r>
              <w:t>Standard</w:t>
            </w:r>
          </w:p>
        </w:tc>
        <w:tc>
          <w:tcPr>
            <w:tcW w:type="dxa" w:w="2880"/>
          </w:tcPr>
          <w:p>
            <w:r>
              <w:t>Nom complet</w:t>
            </w:r>
          </w:p>
        </w:tc>
        <w:tc>
          <w:tcPr>
            <w:tcW w:type="dxa" w:w="2880"/>
          </w:tcPr>
          <w:p>
            <w:r>
              <w:t>Rôle</w:t>
            </w:r>
          </w:p>
        </w:tc>
      </w:tr>
      <w:tr>
        <w:tc>
          <w:tcPr>
            <w:tcW w:type="dxa" w:w="2880"/>
          </w:tcPr>
          <w:p>
            <w:r>
              <w:t>CDASH</w:t>
            </w:r>
          </w:p>
        </w:tc>
        <w:tc>
          <w:tcPr>
            <w:tcW w:type="dxa" w:w="2880"/>
          </w:tcPr>
          <w:p>
            <w:r>
              <w:t>Clinical Data Acquisition Standards Harmonization</w:t>
            </w:r>
          </w:p>
        </w:tc>
        <w:tc>
          <w:tcPr>
            <w:tcW w:type="dxa" w:w="2880"/>
          </w:tcPr>
          <w:p>
            <w:r>
              <w:t>Collecte normalisée des données (CRF électroniques).</w:t>
            </w:r>
          </w:p>
        </w:tc>
      </w:tr>
      <w:tr>
        <w:tc>
          <w:tcPr>
            <w:tcW w:type="dxa" w:w="2880"/>
          </w:tcPr>
          <w:p>
            <w:r>
              <w:t>SDTM</w:t>
            </w:r>
          </w:p>
        </w:tc>
        <w:tc>
          <w:tcPr>
            <w:tcW w:type="dxa" w:w="2880"/>
          </w:tcPr>
          <w:p>
            <w:r>
              <w:t>Study Data Tabulation Model</w:t>
            </w:r>
          </w:p>
        </w:tc>
        <w:tc>
          <w:tcPr>
            <w:tcW w:type="dxa" w:w="2880"/>
          </w:tcPr>
          <w:p>
            <w:r>
              <w:t>Structure des données brutes collectées pendant l’étude.</w:t>
            </w:r>
          </w:p>
        </w:tc>
      </w:tr>
      <w:tr>
        <w:tc>
          <w:tcPr>
            <w:tcW w:type="dxa" w:w="2880"/>
          </w:tcPr>
          <w:p>
            <w:r>
              <w:t>ADaM</w:t>
            </w:r>
          </w:p>
        </w:tc>
        <w:tc>
          <w:tcPr>
            <w:tcW w:type="dxa" w:w="2880"/>
          </w:tcPr>
          <w:p>
            <w:r>
              <w:t>Analysis Data Model</w:t>
            </w:r>
          </w:p>
        </w:tc>
        <w:tc>
          <w:tcPr>
            <w:tcW w:type="dxa" w:w="2880"/>
          </w:tcPr>
          <w:p>
            <w:r>
              <w:t>Organisation des données d’analyse prêtes pour la statistique.</w:t>
            </w:r>
          </w:p>
        </w:tc>
      </w:tr>
      <w:tr>
        <w:tc>
          <w:tcPr>
            <w:tcW w:type="dxa" w:w="2880"/>
          </w:tcPr>
          <w:p>
            <w:r>
              <w:t>SEND</w:t>
            </w:r>
          </w:p>
        </w:tc>
        <w:tc>
          <w:tcPr>
            <w:tcW w:type="dxa" w:w="2880"/>
          </w:tcPr>
          <w:p>
            <w:r>
              <w:t>Standard for Exchange of Nonclinical Data</w:t>
            </w:r>
          </w:p>
        </w:tc>
        <w:tc>
          <w:tcPr>
            <w:tcW w:type="dxa" w:w="2880"/>
          </w:tcPr>
          <w:p>
            <w:r>
              <w:t>Études précliniques (animaux).</w:t>
            </w:r>
          </w:p>
        </w:tc>
      </w:tr>
      <w:tr>
        <w:tc>
          <w:tcPr>
            <w:tcW w:type="dxa" w:w="2880"/>
          </w:tcPr>
          <w:p>
            <w:r>
              <w:t>Define.xml</w:t>
            </w:r>
          </w:p>
        </w:tc>
        <w:tc>
          <w:tcPr>
            <w:tcW w:type="dxa" w:w="2880"/>
          </w:tcPr>
          <w:p>
            <w:r>
              <w:t>—</w:t>
            </w:r>
          </w:p>
        </w:tc>
        <w:tc>
          <w:tcPr>
            <w:tcW w:type="dxa" w:w="2880"/>
          </w:tcPr>
          <w:p>
            <w:r>
              <w:t>Fichier décrivant la structure et les métadonnées des jeux de données.</w:t>
            </w:r>
          </w:p>
        </w:tc>
      </w:tr>
    </w:tbl>
    <w:p>
      <w:pPr>
        <w:pStyle w:val="Heading2"/>
      </w:pPr>
      <w:r>
        <w:t>🧱 3. SDTM — Le cœur des données cliniques</w:t>
      </w:r>
    </w:p>
    <w:p>
      <w:r>
        <w:t>Le modèle SDTM organise les données cliniques selon des domaines normalisés (DM, AE, VS, EX…). Chaque domaine représente un type d’observation et suit une structure standardisée pour faciliter la soumission réglementaire.</w:t>
      </w:r>
    </w:p>
    <w:tbl>
      <w:tblPr>
        <w:tblW w:type="auto" w:w="0"/>
        <w:tblLook w:firstColumn="1" w:firstRow="1" w:lastColumn="0" w:lastRow="0" w:noHBand="0" w:noVBand="1" w:val="04A0"/>
      </w:tblPr>
      <w:tblGrid>
        <w:gridCol w:w="2880"/>
        <w:gridCol w:w="2880"/>
        <w:gridCol w:w="2880"/>
      </w:tblGrid>
      <w:tr>
        <w:tc>
          <w:tcPr>
            <w:tcW w:type="dxa" w:w="2880"/>
          </w:tcPr>
          <w:p>
            <w:r>
              <w:t>Domaine</w:t>
            </w:r>
          </w:p>
        </w:tc>
        <w:tc>
          <w:tcPr>
            <w:tcW w:type="dxa" w:w="2880"/>
          </w:tcPr>
          <w:p>
            <w:r>
              <w:t>Catégorie</w:t>
            </w:r>
          </w:p>
        </w:tc>
        <w:tc>
          <w:tcPr>
            <w:tcW w:type="dxa" w:w="2880"/>
          </w:tcPr>
          <w:p>
            <w:r>
              <w:t>Exemples</w:t>
            </w:r>
          </w:p>
        </w:tc>
      </w:tr>
      <w:tr>
        <w:tc>
          <w:tcPr>
            <w:tcW w:type="dxa" w:w="2880"/>
          </w:tcPr>
          <w:p>
            <w:r>
              <w:t>DM</w:t>
            </w:r>
          </w:p>
        </w:tc>
        <w:tc>
          <w:tcPr>
            <w:tcW w:type="dxa" w:w="2880"/>
          </w:tcPr>
          <w:p>
            <w:r>
              <w:t>Données démographiques</w:t>
            </w:r>
          </w:p>
        </w:tc>
        <w:tc>
          <w:tcPr>
            <w:tcW w:type="dxa" w:w="2880"/>
          </w:tcPr>
          <w:p>
            <w:r>
              <w:t>Âge, sexe, race, date d’inclusion</w:t>
            </w:r>
          </w:p>
        </w:tc>
      </w:tr>
      <w:tr>
        <w:tc>
          <w:tcPr>
            <w:tcW w:type="dxa" w:w="2880"/>
          </w:tcPr>
          <w:p>
            <w:r>
              <w:t>AE</w:t>
            </w:r>
          </w:p>
        </w:tc>
        <w:tc>
          <w:tcPr>
            <w:tcW w:type="dxa" w:w="2880"/>
          </w:tcPr>
          <w:p>
            <w:r>
              <w:t>Événements indésirables</w:t>
            </w:r>
          </w:p>
        </w:tc>
        <w:tc>
          <w:tcPr>
            <w:tcW w:type="dxa" w:w="2880"/>
          </w:tcPr>
          <w:p>
            <w:r>
              <w:t>Type, gravité, durée</w:t>
            </w:r>
          </w:p>
        </w:tc>
      </w:tr>
      <w:tr>
        <w:tc>
          <w:tcPr>
            <w:tcW w:type="dxa" w:w="2880"/>
          </w:tcPr>
          <w:p>
            <w:r>
              <w:t>EX</w:t>
            </w:r>
          </w:p>
        </w:tc>
        <w:tc>
          <w:tcPr>
            <w:tcW w:type="dxa" w:w="2880"/>
          </w:tcPr>
          <w:p>
            <w:r>
              <w:t>Traitements</w:t>
            </w:r>
          </w:p>
        </w:tc>
        <w:tc>
          <w:tcPr>
            <w:tcW w:type="dxa" w:w="2880"/>
          </w:tcPr>
          <w:p>
            <w:r>
              <w:t>Dose, date, voie d’administration</w:t>
            </w:r>
          </w:p>
        </w:tc>
      </w:tr>
      <w:tr>
        <w:tc>
          <w:tcPr>
            <w:tcW w:type="dxa" w:w="2880"/>
          </w:tcPr>
          <w:p>
            <w:r>
              <w:t>VS</w:t>
            </w:r>
          </w:p>
        </w:tc>
        <w:tc>
          <w:tcPr>
            <w:tcW w:type="dxa" w:w="2880"/>
          </w:tcPr>
          <w:p>
            <w:r>
              <w:t>Signes vitaux</w:t>
            </w:r>
          </w:p>
        </w:tc>
        <w:tc>
          <w:tcPr>
            <w:tcW w:type="dxa" w:w="2880"/>
          </w:tcPr>
          <w:p>
            <w:r>
              <w:t>Poids, tension, pouls</w:t>
            </w:r>
          </w:p>
        </w:tc>
      </w:tr>
      <w:tr>
        <w:tc>
          <w:tcPr>
            <w:tcW w:type="dxa" w:w="2880"/>
          </w:tcPr>
          <w:p>
            <w:r>
              <w:t>LB</w:t>
            </w:r>
          </w:p>
        </w:tc>
        <w:tc>
          <w:tcPr>
            <w:tcW w:type="dxa" w:w="2880"/>
          </w:tcPr>
          <w:p>
            <w:r>
              <w:t>Laboratoire</w:t>
            </w:r>
          </w:p>
        </w:tc>
        <w:tc>
          <w:tcPr>
            <w:tcW w:type="dxa" w:w="2880"/>
          </w:tcPr>
          <w:p>
            <w:r>
              <w:t>Tests biologiques : Hb, ALT, etc.</w:t>
            </w:r>
          </w:p>
        </w:tc>
      </w:tr>
      <w:tr>
        <w:tc>
          <w:tcPr>
            <w:tcW w:type="dxa" w:w="2880"/>
          </w:tcPr>
          <w:p>
            <w:r>
              <w:t>QS</w:t>
            </w:r>
          </w:p>
        </w:tc>
        <w:tc>
          <w:tcPr>
            <w:tcW w:type="dxa" w:w="2880"/>
          </w:tcPr>
          <w:p>
            <w:r>
              <w:t>Questionnaires</w:t>
            </w:r>
          </w:p>
        </w:tc>
        <w:tc>
          <w:tcPr>
            <w:tcW w:type="dxa" w:w="2880"/>
          </w:tcPr>
          <w:p>
            <w:r>
              <w:t>Échelles : COWS, SF-36, DSM-IV</w:t>
            </w:r>
          </w:p>
        </w:tc>
      </w:tr>
      <w:tr>
        <w:tc>
          <w:tcPr>
            <w:tcW w:type="dxa" w:w="2880"/>
          </w:tcPr>
          <w:p>
            <w:r>
              <w:t>DS</w:t>
            </w:r>
          </w:p>
        </w:tc>
        <w:tc>
          <w:tcPr>
            <w:tcW w:type="dxa" w:w="2880"/>
          </w:tcPr>
          <w:p>
            <w:r>
              <w:t>Disposition</w:t>
            </w:r>
          </w:p>
        </w:tc>
        <w:tc>
          <w:tcPr>
            <w:tcW w:type="dxa" w:w="2880"/>
          </w:tcPr>
          <w:p>
            <w:r>
              <w:t>Inclus, retiré, perdu de vue</w:t>
            </w:r>
          </w:p>
        </w:tc>
      </w:tr>
    </w:tbl>
    <w:p>
      <w:r>
        <w:t>Structure type : STUDYID | DOMAIN | USUBJID | --TERM | --TESTCD | --STDTC | --ENDTC | --CAT</w:t>
      </w:r>
    </w:p>
    <w:p>
      <w:pPr>
        <w:pStyle w:val="Heading2"/>
      </w:pPr>
      <w:r>
        <w:t>📊 4. ADaM – Analysis Data Model</w:t>
      </w:r>
    </w:p>
    <w:p>
      <w:r>
        <w:t>Les fichiers ADaM (Analysis Data Model) sont dérivés du SDTM et servent à faciliter l’analyse statistique. Chaque ligne correspond à un patient, chaque colonne à une variable analysable.</w:t>
      </w:r>
    </w:p>
    <w:tbl>
      <w:tblPr>
        <w:tblW w:type="auto" w:w="0"/>
        <w:tblLook w:firstColumn="1" w:firstRow="1" w:lastColumn="0" w:lastRow="0" w:noHBand="0" w:noVBand="1" w:val="04A0"/>
      </w:tblPr>
      <w:tblGrid>
        <w:gridCol w:w="4320"/>
        <w:gridCol w:w="4320"/>
      </w:tblGrid>
      <w:tr>
        <w:tc>
          <w:tcPr>
            <w:tcW w:type="dxa" w:w="4320"/>
          </w:tcPr>
          <w:p>
            <w:r>
              <w:t>Principe</w:t>
            </w:r>
          </w:p>
        </w:tc>
        <w:tc>
          <w:tcPr>
            <w:tcW w:type="dxa" w:w="4320"/>
          </w:tcPr>
          <w:p>
            <w:r>
              <w:t>Description</w:t>
            </w:r>
          </w:p>
        </w:tc>
      </w:tr>
      <w:tr>
        <w:tc>
          <w:tcPr>
            <w:tcW w:type="dxa" w:w="4320"/>
          </w:tcPr>
          <w:p>
            <w:r>
              <w:t>Format 2D</w:t>
            </w:r>
          </w:p>
        </w:tc>
        <w:tc>
          <w:tcPr>
            <w:tcW w:type="dxa" w:w="4320"/>
          </w:tcPr>
          <w:p>
            <w:r>
              <w:t>Une ligne par sujet, une variable par colonne.</w:t>
            </w:r>
          </w:p>
        </w:tc>
      </w:tr>
      <w:tr>
        <w:tc>
          <w:tcPr>
            <w:tcW w:type="dxa" w:w="4320"/>
          </w:tcPr>
          <w:p>
            <w:r>
              <w:t>Source</w:t>
            </w:r>
          </w:p>
        </w:tc>
        <w:tc>
          <w:tcPr>
            <w:tcW w:type="dxa" w:w="4320"/>
          </w:tcPr>
          <w:p>
            <w:r>
              <w:t>Issu des tables SDTM.</w:t>
            </w:r>
          </w:p>
        </w:tc>
      </w:tr>
      <w:tr>
        <w:tc>
          <w:tcPr>
            <w:tcW w:type="dxa" w:w="4320"/>
          </w:tcPr>
          <w:p>
            <w:r>
              <w:t>Objectif</w:t>
            </w:r>
          </w:p>
        </w:tc>
        <w:tc>
          <w:tcPr>
            <w:tcW w:type="dxa" w:w="4320"/>
          </w:tcPr>
          <w:p>
            <w:r>
              <w:t>Préparer les jeux de données pour les analyses statistiques.</w:t>
            </w:r>
          </w:p>
        </w:tc>
      </w:tr>
      <w:tr>
        <w:tc>
          <w:tcPr>
            <w:tcW w:type="dxa" w:w="4320"/>
          </w:tcPr>
          <w:p>
            <w:r>
              <w:t>Avantage</w:t>
            </w:r>
          </w:p>
        </w:tc>
        <w:tc>
          <w:tcPr>
            <w:tcW w:type="dxa" w:w="4320"/>
          </w:tcPr>
          <w:p>
            <w:r>
              <w:t>Reproductibilité et cohérence : 'One Proc Away'.</w:t>
            </w:r>
          </w:p>
        </w:tc>
      </w:tr>
    </w:tbl>
    <w:p>
      <w:pPr>
        <w:pStyle w:val="Heading2"/>
      </w:pPr>
      <w:r>
        <w:t>📘 5. Lecture du fichier d’annotation SDTM</w:t>
      </w:r>
    </w:p>
    <w:p>
      <w:r>
        <w:t>Le fichier d’annotation SDTM (CTN001_SDTM_ANNOTATION_20070330.pdf) fait le lien entre les formulaires CRF et les fichiers SDTM (ASCII/XPT). Il indique la correspondance entre les champs saisis et les variables SDTM.</w:t>
      </w:r>
    </w:p>
    <w:tbl>
      <w:tblPr>
        <w:tblW w:type="auto" w:w="0"/>
        <w:tblLook w:firstColumn="1" w:firstRow="1" w:lastColumn="0" w:lastRow="0" w:noHBand="0" w:noVBand="1" w:val="04A0"/>
      </w:tblPr>
      <w:tblGrid>
        <w:gridCol w:w="2160"/>
        <w:gridCol w:w="2160"/>
        <w:gridCol w:w="2160"/>
        <w:gridCol w:w="2160"/>
      </w:tblGrid>
      <w:tr>
        <w:tc>
          <w:tcPr>
            <w:tcW w:type="dxa" w:w="2160"/>
          </w:tcPr>
          <w:p>
            <w:r>
              <w:t>Domaine</w:t>
            </w:r>
          </w:p>
        </w:tc>
        <w:tc>
          <w:tcPr>
            <w:tcW w:type="dxa" w:w="2160"/>
          </w:tcPr>
          <w:p>
            <w:r>
              <w:t>Nom complet</w:t>
            </w:r>
          </w:p>
        </w:tc>
        <w:tc>
          <w:tcPr>
            <w:tcW w:type="dxa" w:w="2160"/>
          </w:tcPr>
          <w:p>
            <w:r>
              <w:t>Type</w:t>
            </w:r>
          </w:p>
        </w:tc>
        <w:tc>
          <w:tcPr>
            <w:tcW w:type="dxa" w:w="2160"/>
          </w:tcPr>
          <w:p>
            <w:r>
              <w:t>Exemples</w:t>
            </w:r>
          </w:p>
        </w:tc>
      </w:tr>
      <w:tr>
        <w:tc>
          <w:tcPr>
            <w:tcW w:type="dxa" w:w="2160"/>
          </w:tcPr>
          <w:p>
            <w:r>
              <w:t>DM</w:t>
            </w:r>
          </w:p>
        </w:tc>
        <w:tc>
          <w:tcPr>
            <w:tcW w:type="dxa" w:w="2160"/>
          </w:tcPr>
          <w:p>
            <w:r>
              <w:t>Demographics</w:t>
            </w:r>
          </w:p>
        </w:tc>
        <w:tc>
          <w:tcPr>
            <w:tcW w:type="dxa" w:w="2160"/>
          </w:tcPr>
          <w:p>
            <w:r>
              <w:t>Infos patient</w:t>
            </w:r>
          </w:p>
        </w:tc>
        <w:tc>
          <w:tcPr>
            <w:tcW w:type="dxa" w:w="2160"/>
          </w:tcPr>
          <w:p>
            <w:r>
              <w:t>Sexe, âge, race</w:t>
            </w:r>
          </w:p>
        </w:tc>
      </w:tr>
      <w:tr>
        <w:tc>
          <w:tcPr>
            <w:tcW w:type="dxa" w:w="2160"/>
          </w:tcPr>
          <w:p>
            <w:r>
              <w:t>IE</w:t>
            </w:r>
          </w:p>
        </w:tc>
        <w:tc>
          <w:tcPr>
            <w:tcW w:type="dxa" w:w="2160"/>
          </w:tcPr>
          <w:p>
            <w:r>
              <w:t>Inclusion/Exclusion</w:t>
            </w:r>
          </w:p>
        </w:tc>
        <w:tc>
          <w:tcPr>
            <w:tcW w:type="dxa" w:w="2160"/>
          </w:tcPr>
          <w:p>
            <w:r>
              <w:t>Critères</w:t>
            </w:r>
          </w:p>
        </w:tc>
        <w:tc>
          <w:tcPr>
            <w:tcW w:type="dxa" w:w="2160"/>
          </w:tcPr>
          <w:p>
            <w:r>
              <w:t>DSM-IV, tension, grossesse</w:t>
            </w:r>
          </w:p>
        </w:tc>
      </w:tr>
      <w:tr>
        <w:tc>
          <w:tcPr>
            <w:tcW w:type="dxa" w:w="2160"/>
          </w:tcPr>
          <w:p>
            <w:r>
              <w:t>VS</w:t>
            </w:r>
          </w:p>
        </w:tc>
        <w:tc>
          <w:tcPr>
            <w:tcW w:type="dxa" w:w="2160"/>
          </w:tcPr>
          <w:p>
            <w:r>
              <w:t>Vital Signs</w:t>
            </w:r>
          </w:p>
        </w:tc>
        <w:tc>
          <w:tcPr>
            <w:tcW w:type="dxa" w:w="2160"/>
          </w:tcPr>
          <w:p>
            <w:r>
              <w:t>Signes vitaux</w:t>
            </w:r>
          </w:p>
        </w:tc>
        <w:tc>
          <w:tcPr>
            <w:tcW w:type="dxa" w:w="2160"/>
          </w:tcPr>
          <w:p>
            <w:r>
              <w:t>Poids, tension</w:t>
            </w:r>
          </w:p>
        </w:tc>
      </w:tr>
      <w:tr>
        <w:tc>
          <w:tcPr>
            <w:tcW w:type="dxa" w:w="2160"/>
          </w:tcPr>
          <w:p>
            <w:r>
              <w:t>MH</w:t>
            </w:r>
          </w:p>
        </w:tc>
        <w:tc>
          <w:tcPr>
            <w:tcW w:type="dxa" w:w="2160"/>
          </w:tcPr>
          <w:p>
            <w:r>
              <w:t>Medical History</w:t>
            </w:r>
          </w:p>
        </w:tc>
        <w:tc>
          <w:tcPr>
            <w:tcW w:type="dxa" w:w="2160"/>
          </w:tcPr>
          <w:p>
            <w:r>
              <w:t>Antécédents</w:t>
            </w:r>
          </w:p>
        </w:tc>
        <w:tc>
          <w:tcPr>
            <w:tcW w:type="dxa" w:w="2160"/>
          </w:tcPr>
          <w:p>
            <w:r>
              <w:t>Cardiopathie, hépatite</w:t>
            </w:r>
          </w:p>
        </w:tc>
      </w:tr>
      <w:tr>
        <w:tc>
          <w:tcPr>
            <w:tcW w:type="dxa" w:w="2160"/>
          </w:tcPr>
          <w:p>
            <w:r>
              <w:t>EX</w:t>
            </w:r>
          </w:p>
        </w:tc>
        <w:tc>
          <w:tcPr>
            <w:tcW w:type="dxa" w:w="2160"/>
          </w:tcPr>
          <w:p>
            <w:r>
              <w:t>Exposure</w:t>
            </w:r>
          </w:p>
        </w:tc>
        <w:tc>
          <w:tcPr>
            <w:tcW w:type="dxa" w:w="2160"/>
          </w:tcPr>
          <w:p>
            <w:r>
              <w:t>Médicaments</w:t>
            </w:r>
          </w:p>
        </w:tc>
        <w:tc>
          <w:tcPr>
            <w:tcW w:type="dxa" w:w="2160"/>
          </w:tcPr>
          <w:p>
            <w:r>
              <w:t>Dose, durée, voie</w:t>
            </w:r>
          </w:p>
        </w:tc>
      </w:tr>
      <w:tr>
        <w:tc>
          <w:tcPr>
            <w:tcW w:type="dxa" w:w="2160"/>
          </w:tcPr>
          <w:p>
            <w:r>
              <w:t>QS</w:t>
            </w:r>
          </w:p>
        </w:tc>
        <w:tc>
          <w:tcPr>
            <w:tcW w:type="dxa" w:w="2160"/>
          </w:tcPr>
          <w:p>
            <w:r>
              <w:t>Questionnaires</w:t>
            </w:r>
          </w:p>
        </w:tc>
        <w:tc>
          <w:tcPr>
            <w:tcW w:type="dxa" w:w="2160"/>
          </w:tcPr>
          <w:p>
            <w:r>
              <w:t>Scores</w:t>
            </w:r>
          </w:p>
        </w:tc>
        <w:tc>
          <w:tcPr>
            <w:tcW w:type="dxa" w:w="2160"/>
          </w:tcPr>
          <w:p>
            <w:r>
              <w:t>COWS, SF-36</w:t>
            </w:r>
          </w:p>
        </w:tc>
      </w:tr>
      <w:tr>
        <w:tc>
          <w:tcPr>
            <w:tcW w:type="dxa" w:w="2160"/>
          </w:tcPr>
          <w:p>
            <w:r>
              <w:t>DS</w:t>
            </w:r>
          </w:p>
        </w:tc>
        <w:tc>
          <w:tcPr>
            <w:tcW w:type="dxa" w:w="2160"/>
          </w:tcPr>
          <w:p>
            <w:r>
              <w:t>Disposition</w:t>
            </w:r>
          </w:p>
        </w:tc>
        <w:tc>
          <w:tcPr>
            <w:tcW w:type="dxa" w:w="2160"/>
          </w:tcPr>
          <w:p>
            <w:r>
              <w:t>Statut</w:t>
            </w:r>
          </w:p>
        </w:tc>
        <w:tc>
          <w:tcPr>
            <w:tcW w:type="dxa" w:w="2160"/>
          </w:tcPr>
          <w:p>
            <w:r>
              <w:t>Inclus, retiré</w:t>
            </w:r>
          </w:p>
        </w:tc>
      </w:tr>
    </w:tbl>
    <w:p>
      <w:pPr>
        <w:pStyle w:val="Heading2"/>
      </w:pPr>
      <w:r>
        <w:t>💡 6. Comment interpréter vos données SDTM</w:t>
      </w:r>
    </w:p>
    <w:p>
      <w:r>
        <w:t>1. Identifier le domaine SDTM pertinent (ex. DM, AE, EX...).</w:t>
        <w:br/>
        <w:t>2. Repérer les variables annotées dans le PDF (ex. VSTEST, VSORRES).</w:t>
        <w:br/>
        <w:t>3. Ouvrir le fichier ASCII/XPT correspondant.</w:t>
        <w:br/>
        <w:t>4. Comparer les noms de colonnes avec ceux du document d’annotation.</w:t>
        <w:br/>
        <w:t>5. Interpréter les valeurs selon la légende du formulaire (0=Non, 1=Oui).</w:t>
      </w:r>
    </w:p>
    <w:p>
      <w:pPr>
        <w:pStyle w:val="Heading2"/>
      </w:pPr>
      <w:r>
        <w:t>🔄 7. Flux de données clinique CDISC</w:t>
      </w:r>
    </w:p>
    <w:p>
      <w:r>
        <w:t>CRF → Données brutes (ASCII) → SDTM (structuration réglementaire) → ADaM (analyse) → Résultats (soumission FDA/EMA)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