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horzAnchor="margin" w:tblpXSpec="center" w:tblpY="-684"/>
        <w:tblW w:w="1194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8"/>
        <w:gridCol w:w="1260"/>
        <w:gridCol w:w="1170"/>
        <w:gridCol w:w="1440"/>
        <w:gridCol w:w="1440"/>
        <w:gridCol w:w="1401"/>
      </w:tblGrid>
      <w:tr>
        <w:trPr>
          <w:trHeight w:val="350" w:hRule="atLeast"/>
        </w:trPr>
        <w:tc>
          <w:tcPr>
            <w:tcW w:w="5238" w:type="dxa"/>
            <w:tcBorders/>
            <w:shd w:val="clear" w:color="auto" w:fill="5f497a"/>
          </w:tcPr>
          <w:p>
            <w:pPr>
              <w:pStyle w:val="style0"/>
              <w:spacing w:after="0" w:lineRule="auto" w:line="240"/>
              <w:rPr>
                <w:color w:val="000000"/>
                <w:rtl/>
                <w:lang w:bidi="ar-EG"/>
              </w:rPr>
            </w:pPr>
          </w:p>
        </w:tc>
        <w:tc>
          <w:tcPr>
            <w:tcW w:w="1260" w:type="dxa"/>
            <w:tcBorders/>
            <w:shd w:val="clear" w:color="auto" w:fill="5f497a"/>
          </w:tcPr>
          <w:p>
            <w:pPr>
              <w:pStyle w:val="style0"/>
              <w:spacing w:after="0" w:lineRule="auto" w:line="240"/>
              <w:rPr>
                <w:color w:val="ffffff"/>
                <w:lang w:bidi="ar-EG"/>
              </w:rPr>
            </w:pPr>
            <w:r>
              <w:rPr>
                <w:color w:val="ffffff"/>
              </w:rPr>
              <w:t xml:space="preserve">      2023</w:t>
            </w:r>
          </w:p>
        </w:tc>
        <w:tc>
          <w:tcPr>
            <w:tcW w:w="1170" w:type="dxa"/>
            <w:tcBorders/>
            <w:shd w:val="clear" w:color="auto" w:fill="5f497a"/>
          </w:tcPr>
          <w:p>
            <w:pPr>
              <w:pStyle w:val="style0"/>
              <w:spacing w:after="0" w:lineRule="auto" w:line="240"/>
              <w:rPr>
                <w:color w:val="ffffff"/>
              </w:rPr>
            </w:pPr>
            <w:r>
              <w:rPr>
                <w:color w:val="ffffff"/>
              </w:rPr>
              <w:t xml:space="preserve">    2024</w:t>
            </w:r>
          </w:p>
        </w:tc>
        <w:tc>
          <w:tcPr>
            <w:tcW w:w="1440" w:type="dxa"/>
            <w:tcBorders/>
            <w:shd w:val="clear" w:color="auto" w:fill="5f497a"/>
          </w:tcPr>
          <w:p>
            <w:pPr>
              <w:pStyle w:val="style0"/>
              <w:spacing w:after="0" w:lineRule="auto" w:line="240"/>
              <w:rPr>
                <w:color w:val="ffffff"/>
              </w:rPr>
            </w:pPr>
            <w:r>
              <w:rPr>
                <w:color w:val="ffffff"/>
              </w:rPr>
              <w:t xml:space="preserve">     2025</w:t>
            </w:r>
          </w:p>
        </w:tc>
        <w:tc>
          <w:tcPr>
            <w:tcW w:w="1440" w:type="dxa"/>
            <w:tcBorders/>
            <w:shd w:val="clear" w:color="auto" w:fill="5f497a"/>
          </w:tcPr>
          <w:p>
            <w:pPr>
              <w:pStyle w:val="style0"/>
              <w:spacing w:after="0" w:lineRule="auto" w:line="240"/>
              <w:rPr>
                <w:color w:val="ffffff"/>
              </w:rPr>
            </w:pPr>
            <w:r>
              <w:rPr>
                <w:color w:val="ffffff"/>
              </w:rPr>
              <w:t xml:space="preserve">     2026</w:t>
            </w:r>
          </w:p>
        </w:tc>
        <w:tc>
          <w:tcPr>
            <w:tcW w:w="1401" w:type="dxa"/>
            <w:tcBorders/>
            <w:shd w:val="clear" w:color="auto" w:fill="5f497a"/>
          </w:tcPr>
          <w:p>
            <w:pPr>
              <w:pStyle w:val="style0"/>
              <w:spacing w:after="0" w:lineRule="auto" w:line="240"/>
              <w:rPr>
                <w:color w:val="ffffff"/>
              </w:rPr>
            </w:pPr>
            <w:r>
              <w:rPr>
                <w:color w:val="ffffff"/>
              </w:rPr>
              <w:t xml:space="preserve">           Total</w:t>
            </w: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Benefits</w:t>
            </w:r>
          </w:p>
        </w:tc>
        <w:tc>
          <w:tcPr>
            <w:tcW w:w="126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01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     Number of views to the site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100,000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500,000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800,000</w:t>
            </w:r>
          </w:p>
        </w:tc>
        <w:tc>
          <w:tcPr>
            <w:tcW w:w="140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cs"/>
                <w:rtl/>
              </w:rPr>
              <w:t>1,400</w:t>
            </w:r>
            <w:r>
              <w:t>,000</w:t>
            </w: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      Percentage from each order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120,000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250,000</w:t>
            </w:r>
          </w:p>
        </w:tc>
        <w:tc>
          <w:tcPr>
            <w:tcW w:w="140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cs"/>
                <w:rtl/>
              </w:rPr>
              <w:t>37</w:t>
            </w:r>
            <w:r>
              <w:t>0,000</w:t>
            </w: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     Investments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800,000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</w:t>
            </w:r>
            <w:r>
              <w:rPr>
                <w:lang w:val="en-US"/>
              </w:rPr>
              <w:t>,</w:t>
            </w:r>
            <w:r>
              <w:t>000,000</w:t>
            </w:r>
          </w:p>
        </w:tc>
        <w:tc>
          <w:tcPr>
            <w:tcW w:w="140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1,8</w:t>
            </w:r>
            <w:r>
              <w:rPr>
                <w:rFonts w:hint="cs"/>
                <w:rtl/>
              </w:rPr>
              <w:t>00</w:t>
            </w:r>
            <w:r>
              <w:t>,000</w:t>
            </w: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     Advertisements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10,000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50,000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100,000</w:t>
            </w:r>
          </w:p>
        </w:tc>
        <w:tc>
          <w:tcPr>
            <w:tcW w:w="140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cs"/>
                <w:rtl/>
              </w:rPr>
              <w:t>16</w:t>
            </w:r>
            <w:r>
              <w:t>0,000</w:t>
            </w: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Total Benefits</w:t>
            </w:r>
          </w:p>
        </w:tc>
        <w:tc>
          <w:tcPr>
            <w:tcW w:w="126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color w:val="000000"/>
              </w:rPr>
            </w:pPr>
          </w:p>
        </w:tc>
        <w:tc>
          <w:tcPr>
            <w:tcW w:w="117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color w:val="000000"/>
              </w:rPr>
            </w:pPr>
            <w:r>
              <w:rPr>
                <w:color w:val="000000"/>
              </w:rPr>
              <w:t>110,000</w:t>
            </w:r>
          </w:p>
        </w:tc>
        <w:tc>
          <w:tcPr>
            <w:tcW w:w="144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color w:val="000000"/>
              </w:rPr>
            </w:pPr>
            <w:r>
              <w:rPr>
                <w:color w:val="000000"/>
              </w:rPr>
              <w:t>1,470,000</w:t>
            </w:r>
          </w:p>
        </w:tc>
        <w:tc>
          <w:tcPr>
            <w:tcW w:w="144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color w:val="000000"/>
              </w:rPr>
            </w:pPr>
            <w:r>
              <w:rPr>
                <w:color w:val="000000"/>
              </w:rPr>
              <w:t>2,150,000</w:t>
            </w:r>
          </w:p>
        </w:tc>
        <w:tc>
          <w:tcPr>
            <w:tcW w:w="1401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color w:val="000000"/>
              </w:rPr>
            </w:pPr>
            <w:r>
              <w:rPr>
                <w:color w:val="000000"/>
              </w:rPr>
              <w:t>3,730,000</w:t>
            </w: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PV Total Benefits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95,022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1,</w:t>
            </w:r>
            <w:r>
              <w:rPr>
                <w:lang w:val="en-US"/>
              </w:rPr>
              <w:t>269,841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1,857,250</w:t>
            </w:r>
          </w:p>
        </w:tc>
        <w:tc>
          <w:tcPr>
            <w:tcW w:w="140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3,</w:t>
            </w:r>
            <w:r>
              <w:rPr>
                <w:lang w:val="en-US"/>
              </w:rPr>
              <w:t>222,113</w:t>
            </w:r>
          </w:p>
        </w:tc>
      </w:tr>
      <w:tr>
        <w:tblPrEx/>
        <w:trPr>
          <w:trHeight w:val="350" w:hRule="atLeast"/>
        </w:trPr>
        <w:tc>
          <w:tcPr>
            <w:tcW w:w="5238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Development costs</w:t>
            </w:r>
          </w:p>
        </w:tc>
        <w:tc>
          <w:tcPr>
            <w:tcW w:w="126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01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251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>
                <w:color w:val="0d0d0d"/>
              </w:rPr>
            </w:pPr>
            <w:r>
              <w:rPr>
                <w:color w:val="0d0d0d"/>
              </w:rPr>
              <w:t xml:space="preserve">    Analysis and design 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50,000</w:t>
            </w: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50,000</w:t>
            </w:r>
          </w:p>
        </w:tc>
      </w:tr>
      <w:tr>
        <w:tblPrEx/>
        <w:trPr>
          <w:trHeight w:val="341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>
                <w:color w:val="0d0d0d"/>
              </w:rPr>
            </w:pPr>
            <w:r>
              <w:rPr>
                <w:color w:val="0d0d0d"/>
              </w:rPr>
              <w:t xml:space="preserve">    Initial  </w:t>
            </w:r>
            <w:r>
              <w:t>salaries</w:t>
            </w:r>
            <w:r>
              <w:rPr>
                <w:color w:val="0d0d0d"/>
              </w:rPr>
              <w:t xml:space="preserve"> for developers 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100,000</w:t>
            </w: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100,000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>
                <w:color w:val="0d0d0d"/>
              </w:rPr>
            </w:pPr>
            <w:r>
              <w:rPr>
                <w:color w:val="0d0d0d"/>
              </w:rPr>
              <w:t xml:space="preserve">    Consultant fees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30,000</w:t>
            </w: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30,000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>
                <w:color w:val="0d0d0d"/>
              </w:rPr>
            </w:pPr>
            <w:r>
              <w:rPr>
                <w:color w:val="0d0d0d"/>
              </w:rPr>
              <w:t xml:space="preserve">    Domain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5,000</w:t>
            </w: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5,000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>
                <w:color w:val="0d0d0d"/>
              </w:rPr>
            </w:pPr>
            <w:r>
              <w:rPr>
                <w:color w:val="0d0d0d"/>
              </w:rPr>
              <w:t xml:space="preserve">    Office space and equipment 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150,000</w:t>
            </w: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    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150,000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Total development costs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335,000</w:t>
            </w:r>
          </w:p>
        </w:tc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01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335,000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Operational costs</w:t>
            </w:r>
          </w:p>
        </w:tc>
        <w:tc>
          <w:tcPr>
            <w:tcW w:w="126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40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401" w:type="dxa"/>
            <w:tcBorders/>
            <w:shd w:val="clear" w:color="auto" w:fill="fbd4b4"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Salaries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500,000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600,000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700,000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1,800,000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Equipment repair and upgrades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70,000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80,000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90,000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240,000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Internet subscription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10,000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30,000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User training 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5,000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6,000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7,000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18,</w:t>
            </w:r>
            <w:r>
              <w:t>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Marketing 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100,000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120,000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150,000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370,000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 xml:space="preserve">     Activities </w:t>
            </w:r>
          </w:p>
        </w:tc>
        <w:tc>
          <w:tcPr>
            <w:tcW w:w="126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30,000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50,000</w:t>
            </w:r>
          </w:p>
        </w:tc>
        <w:tc>
          <w:tcPr>
            <w:tcW w:w="1440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70,000</w:t>
            </w:r>
          </w:p>
        </w:tc>
        <w:tc>
          <w:tcPr>
            <w:tcW w:w="1401" w:type="dxa"/>
            <w:tcBorders/>
            <w:shd w:val="clear" w:color="auto" w:fill="eeece1"/>
          </w:tcPr>
          <w:p>
            <w:pPr>
              <w:pStyle w:val="style0"/>
              <w:spacing w:after="0" w:lineRule="auto" w:line="240"/>
              <w:rPr/>
            </w:pPr>
            <w:r>
              <w:t>150,000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Total operational costs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  <w:lang w:val="en-US"/>
              </w:rPr>
              <w:t>66,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1,0</w:t>
            </w: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401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2,608,000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Total costs </w:t>
            </w:r>
          </w:p>
        </w:tc>
        <w:tc>
          <w:tcPr>
            <w:tcW w:w="126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  <w:bCs/>
                <w:sz w:val="24"/>
                <w:szCs w:val="24"/>
              </w:rPr>
              <w:t>335,000</w:t>
            </w:r>
          </w:p>
        </w:tc>
        <w:tc>
          <w:tcPr>
            <w:tcW w:w="117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  <w:lang w:val="en-US"/>
              </w:rPr>
              <w:t>15,000</w:t>
            </w:r>
          </w:p>
        </w:tc>
        <w:tc>
          <w:tcPr>
            <w:tcW w:w="144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  <w:lang w:val="en-US"/>
              </w:rPr>
              <w:t>66,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1440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  <w:bCs/>
                <w:sz w:val="24"/>
                <w:szCs w:val="24"/>
              </w:rPr>
              <w:t>1.0</w:t>
            </w:r>
            <w:r>
              <w:rPr>
                <w:b/>
                <w:bCs/>
                <w:sz w:val="24"/>
                <w:szCs w:val="24"/>
                <w:lang w:val="en-US"/>
              </w:rPr>
              <w:t>27,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1401" w:type="dxa"/>
            <w:tcBorders/>
            <w:shd w:val="clear" w:color="auto" w:fill="fde9d9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2,9</w:t>
            </w:r>
            <w:r>
              <w:rPr>
                <w:b/>
                <w:bCs/>
                <w:sz w:val="24"/>
                <w:szCs w:val="24"/>
                <w:lang w:val="en-US"/>
              </w:rPr>
              <w:t>43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Present value total costs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289,385</w:t>
            </w:r>
          </w:p>
        </w:tc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617,643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748,083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887,161</w:t>
            </w:r>
          </w:p>
        </w:tc>
        <w:tc>
          <w:tcPr>
            <w:tcW w:w="1401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2,542,272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Total benefits – Total costs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  <w:r>
              <w:t>(</w:t>
            </w:r>
            <w:r>
              <w:rPr>
                <w:lang w:val="en-US"/>
              </w:rPr>
              <w:t>289,385</w:t>
            </w:r>
            <w:r>
              <w:t>)</w:t>
            </w:r>
          </w:p>
        </w:tc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-522,621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521,758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970,089</w:t>
            </w:r>
          </w:p>
        </w:tc>
        <w:tc>
          <w:tcPr>
            <w:tcW w:w="1401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679,841</w:t>
            </w: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Cumulative Net cash Flow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</w:rPr>
            </w:pPr>
            <w:r>
              <w:t>(</w:t>
            </w:r>
            <w:r>
              <w:rPr>
                <w:lang w:val="en-US"/>
              </w:rPr>
              <w:t>289,385</w:t>
            </w:r>
            <w:r>
              <w:t>)</w:t>
            </w:r>
          </w:p>
        </w:tc>
        <w:tc>
          <w:tcPr>
            <w:tcW w:w="117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-812,006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-290,248</w:t>
            </w:r>
          </w:p>
        </w:tc>
        <w:tc>
          <w:tcPr>
            <w:tcW w:w="1440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679,841</w:t>
            </w:r>
          </w:p>
        </w:tc>
        <w:tc>
          <w:tcPr>
            <w:tcW w:w="1401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260" w:hRule="atLeast"/>
        </w:trPr>
        <w:tc>
          <w:tcPr>
            <w:tcW w:w="523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Return on investment </w:t>
            </w:r>
          </w:p>
        </w:tc>
        <w:tc>
          <w:tcPr>
            <w:tcW w:w="2430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hint="default"/>
              </w:rPr>
            </w:pPr>
            <w:r>
              <w:rPr>
                <w:lang w:val="en-US"/>
              </w:rPr>
              <w:t>26</w:t>
            </w:r>
            <w:r>
              <w:t>.74%</w:t>
            </w:r>
            <w:bookmarkStart w:id="0" w:name="_GoBack"/>
            <w:bookmarkEnd w:id="0"/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284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773" w:hRule="atLeast"/>
        </w:trPr>
        <w:tc>
          <w:tcPr>
            <w:tcW w:w="523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Break even point </w:t>
            </w:r>
          </w:p>
        </w:tc>
        <w:tc>
          <w:tcPr>
            <w:tcW w:w="3870" w:type="dxa"/>
            <w:gridSpan w:val="3"/>
            <w:tcBorders>
              <w:right w:val="nil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2.42 years</w:t>
            </w:r>
          </w:p>
        </w:tc>
        <w:tc>
          <w:tcPr>
            <w:tcW w:w="284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>
          <w:rtl/>
          <w:lang w:bidi="ar-EG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/>
        <w:rPr>
          <w:sz w:val="0"/>
          <w:szCs w:val="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2030204"/>
    <w:charset w:val="86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Tahoma">
    <w:altName w:val="Verdana"/>
    <w:panose1 w:val="020b0604030000040204"/>
    <w:charset w:val="00"/>
    <w:family w:val="swiss"/>
    <w:pitch w:val="default"/>
    <w:sig w:usb0="00000000" w:usb1="00000000" w:usb2="00000029" w:usb3="00000000" w:csb0="000101FF" w:csb1="00000000"/>
  </w:font>
  <w:font w:name="Verdana">
    <w:altName w:val="Verdana"/>
    <w:panose1 w:val="020b0604030005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Arial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character" w:customStyle="1" w:styleId="style4097">
    <w:name w:val="Subtle Emphasis_5a9a719a-d432-4de2-b12c-4f153028bda7"/>
    <w:basedOn w:val="style65"/>
    <w:next w:val="style4097"/>
    <w:qFormat/>
    <w:uiPriority w:val="19"/>
    <w:rPr>
      <w:i/>
      <w:iCs/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Words>179</Words>
  <Pages>1</Pages>
  <Characters>1091</Characters>
  <Application>WPS Office</Application>
  <DocSecurity>0</DocSecurity>
  <Paragraphs>204</Paragraphs>
  <ScaleCrop>false</ScaleCrop>
  <LinksUpToDate>false</LinksUpToDate>
  <CharactersWithSpaces>1387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٢٠٢٣-٠٩-١٤T١٧:٣٦:١٩Z</dcterms:created>
  <dc:creator>Santi</dc:creator>
  <lastModifiedBy>CPH1969</lastModifiedBy>
  <dcterms:modified xsi:type="dcterms:W3CDTF">٢٠٢٣-٠٩-١٤T١٧:٣٦:١٩Z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21c58ea71bd047a5a1babe231ebcca87</vt:lpwstr>
  </property>
  <property fmtid="{D5CDD505-2E9C-101B-9397-08002B2CF9AE}" pid="3" name="KSOProductBuildVer">
    <vt:lpwstr>1033-0.0.0.0</vt:lpwstr>
  </property>
</Properties>
</file>