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A26F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machine is designed as a compact unit for dosing XRF melt samples.</w:t>
      </w:r>
    </w:p>
    <w:p w14:paraId="10714AF7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For dosing the XRF melt samples, a melting agent is added to the sample.</w:t>
      </w:r>
    </w:p>
    <w:p w14:paraId="65559E39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flux is contained in a bottle that is screwed into the dosing head.</w:t>
      </w:r>
    </w:p>
    <w:p w14:paraId="20A3EF43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dosing is done by a solenoid valve (fast dosing) and by a vibration unit (fine dosing). The mixing ratio is monitored by an integrated scale.</w:t>
      </w:r>
    </w:p>
    <w:p w14:paraId="4C1EAF29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conveying equipment is electrically driven.</w:t>
      </w:r>
    </w:p>
    <w:p w14:paraId="6C5F5F8D" w14:textId="50D75B9A" w:rsid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For the electrical power source, shut-off devices are provided according to the applicable standards.</w:t>
      </w:r>
    </w:p>
    <w:p w14:paraId="0E615BA4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Basically, all mechanical hazards are secured by enclosure (separating protective devices).</w:t>
      </w:r>
    </w:p>
    <w:p w14:paraId="2A581104" w14:textId="48054C8A" w:rsid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hazards due to energy supply lines are eliminated in compliance with the relevant standards.</w:t>
      </w:r>
    </w:p>
    <w:p w14:paraId="14E13923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Commercial application intended for dosing XRF fusion samples. These consist of the samples to be analysed and the added flux.</w:t>
      </w:r>
    </w:p>
    <w:p w14:paraId="1F59B8CD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quantity of the XRF melt samples is determined by the machine parts and the control system.</w:t>
      </w:r>
    </w:p>
    <w:p w14:paraId="50135615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A stable base frame is required for safe and trouble-free operation.</w:t>
      </w:r>
    </w:p>
    <w:p w14:paraId="10DA33A8" w14:textId="77777777" w:rsidR="00064C68" w:rsidRP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The max. filling quantity depends on the size of the beakers. The largest cup to be used has a filling quantity of 50 ml of melt.</w:t>
      </w:r>
    </w:p>
    <w:p w14:paraId="61070BAF" w14:textId="77311F3F" w:rsidR="00064C68" w:rsidRDefault="00064C68" w:rsidP="00064C68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C68">
        <w:rPr>
          <w:rFonts w:ascii="Times New Roman" w:hAnsi="Times New Roman" w:cs="Times New Roman"/>
          <w:color w:val="000000"/>
          <w:kern w:val="0"/>
          <w:sz w:val="24"/>
          <w:szCs w:val="24"/>
        </w:rPr>
        <w:t>All documented requirements of the operating instructions are considered as intended.</w:t>
      </w:r>
    </w:p>
    <w:p w14:paraId="174435AF" w14:textId="77777777" w:rsid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0818460" w14:textId="4D8F8DEA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Transport:</w:t>
      </w:r>
    </w:p>
    <w:p w14:paraId="33C0526F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In the packaging, to be picked up with industrial trucks.</w:t>
      </w:r>
    </w:p>
    <w:p w14:paraId="74273407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Storage or transport may only take place in standard, dry storage rooms or means of transport.</w:t>
      </w:r>
    </w:p>
    <w:p w14:paraId="1F03EA3B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Installation Commissioning:</w:t>
      </w:r>
    </w:p>
    <w:p w14:paraId="743D8C4F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Installation instructions are included as a document with each machine. This also applies to the operating instructions.</w:t>
      </w:r>
    </w:p>
    <w:p w14:paraId="783C9959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Installation and commissioning may only be carried out by suitably qualified personnel such as mechanics and electricians.</w:t>
      </w:r>
    </w:p>
    <w:p w14:paraId="47D3E5D7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The manufacturer's requirements are described in the pre-installation instructions and must be fulfilled.</w:t>
      </w:r>
    </w:p>
    <w:p w14:paraId="27254259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Operation:</w:t>
      </w:r>
    </w:p>
    <w:p w14:paraId="5B6F109F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Operation is to be carried out by instructed personnel. Safe operation, in accordance with the intended use, must be instructed.</w:t>
      </w:r>
    </w:p>
    <w:p w14:paraId="4EDD77C1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Set-up:</w:t>
      </w:r>
    </w:p>
    <w:p w14:paraId="214818B5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Safety requirements see specifications in the BL</w:t>
      </w:r>
    </w:p>
    <w:p w14:paraId="65E89950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Maintenance:</w:t>
      </w:r>
    </w:p>
    <w:p w14:paraId="274E8FCB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All maintenance work must be carried out by appropriately qualified personnel, such as mechanics and electricians. The energy sources must be disconnected and secured if necessary (</w:t>
      </w:r>
      <w:proofErr w:type="gramStart"/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e.g.</w:t>
      </w:r>
      <w:proofErr w:type="gramEnd"/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for the replacement of components).</w:t>
      </w:r>
    </w:p>
    <w:p w14:paraId="0BEF30A5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The disconnection point of the electrical energy source is the plug-in device, which must remain under the supervision of the maintenance person during the entire maintenance.</w:t>
      </w:r>
    </w:p>
    <w:p w14:paraId="7229F1DF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Decommissioning, disposal:</w:t>
      </w:r>
    </w:p>
    <w:p w14:paraId="4E30E03D" w14:textId="77777777" w:rsidR="00CC72B2" w:rsidRPr="00CC72B2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Disconnection from all energy supply lines.</w:t>
      </w:r>
    </w:p>
    <w:p w14:paraId="41D643A7" w14:textId="4417511D" w:rsidR="00064C68" w:rsidRPr="00064C68" w:rsidRDefault="00CC72B2" w:rsidP="00CC72B2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C72B2">
        <w:rPr>
          <w:rFonts w:ascii="Times New Roman" w:hAnsi="Times New Roman" w:cs="Times New Roman"/>
          <w:color w:val="000000"/>
          <w:kern w:val="0"/>
          <w:sz w:val="24"/>
          <w:szCs w:val="24"/>
        </w:rPr>
        <w:t>Disposal see 1.4</w:t>
      </w:r>
    </w:p>
    <w:sectPr w:rsidR="00064C68" w:rsidRPr="0006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56"/>
    <w:rsid w:val="00064C68"/>
    <w:rsid w:val="003E1E1C"/>
    <w:rsid w:val="00683F2A"/>
    <w:rsid w:val="00800556"/>
    <w:rsid w:val="00C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DF722"/>
  <w15:chartTrackingRefBased/>
  <w15:docId w15:val="{3FBA5280-3BA2-4A9B-BE7E-39BE4D4C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4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Mostafa</dc:creator>
  <cp:keywords/>
  <dc:description/>
  <cp:lastModifiedBy>Abdelrahman Mostafa</cp:lastModifiedBy>
  <cp:revision>2</cp:revision>
  <dcterms:created xsi:type="dcterms:W3CDTF">2023-10-09T07:28:00Z</dcterms:created>
  <dcterms:modified xsi:type="dcterms:W3CDTF">2023-10-09T07:51:00Z</dcterms:modified>
</cp:coreProperties>
</file>