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0F766E"/>
          <w:sz w:val="44"/>
          <w:szCs w:val="44"/>
        </w:rPr>
        <w:t xml:space="preserve">DOSSIER DE CADRAGE DE STAGE</w:t>
      </w:r>
    </w:p>
    <w:p>
      <w:pPr>
        <w:spacing w:after="40"/>
        <w:jc w:val="center"/>
      </w:pPr>
      <w:r>
        <w:rPr>
          <w:b/>
          <w:bCs/>
          <w:color w:val="1F2937"/>
          <w:sz w:val="26"/>
          <w:szCs w:val="26"/>
        </w:rPr>
        <w:t xml:space="preserve">Conception et développement d'une plateforme web GRC</w:t>
      </w:r>
    </w:p>
    <w:p>
      <w:pPr>
        <w:spacing w:after="400"/>
        <w:jc w:val="center"/>
      </w:pPr>
      <w:r>
        <w:rPr>
          <w:i/>
          <w:iCs/>
          <w:color w:val="444444"/>
          <w:sz w:val="22"/>
          <w:szCs w:val="22"/>
        </w:rPr>
        <w:t xml:space="preserve">inspirée de la norme ISO/IEC 27005</w:t>
      </w:r>
    </w:p>
    <w:p>
      <w:pPr>
        <w:spacing w:after="30"/>
        <w:jc w:val="center"/>
      </w:pPr>
      <w:r>
        <w:rPr>
          <w:color w:val="444444"/>
          <w:sz w:val="20"/>
          <w:szCs w:val="20"/>
        </w:rPr>
        <w:t xml:space="preserve">Abdoul Aziz Adamou — L3 Cybersécurité et Réseaux</w:t>
      </w:r>
    </w:p>
    <w:p>
      <w:pPr>
        <w:spacing w:after="600"/>
        <w:jc w:val="center"/>
      </w:pPr>
      <w:r>
        <w:rPr>
          <w:color w:val="444444"/>
          <w:sz w:val="20"/>
          <w:szCs w:val="20"/>
        </w:rPr>
        <w:t xml:space="preserve">Niamey, Niger — Juillet 2026</w:t>
      </w:r>
    </w:p>
    <w:p>
      <w:pPr>
        <w:pStyle w:val="Heading1"/>
        <w:spacing w:after="160" w:before="360"/>
      </w:pPr>
      <w:r>
        <w:rPr>
          <w:b/>
          <w:bCs/>
          <w:color w:val="0F766E"/>
          <w:sz w:val="30"/>
          <w:szCs w:val="30"/>
        </w:rPr>
        <w:t xml:space="preserve">1. Thème du stage</w:t>
      </w:r>
    </w:p>
    <w:p>
      <w:pPr>
        <w:spacing w:after="140"/>
      </w:pPr>
      <w:r>
        <w:rPr>
          <w:color w:val="444444"/>
          <w:sz w:val="21"/>
          <w:szCs w:val="21"/>
        </w:rPr>
        <w:t xml:space="preserve">Intitulé retenu :</w:t>
      </w:r>
    </w:p>
    <w:p>
      <w:pPr>
        <w:pBdr>
          <w:left w:val="single" w:color="0F766E" w:sz="18" w:space="10"/>
        </w:pBdr>
        <w:spacing w:after="200"/>
      </w:pPr>
      <w:r>
        <w:rPr>
          <w:b/>
          <w:bCs/>
          <w:i/>
          <w:iCs/>
          <w:color w:val="1F2937"/>
          <w:sz w:val="22"/>
          <w:szCs w:val="22"/>
        </w:rPr>
        <w:t xml:space="preserve">« Conception et développement d'une application web d'aide à l'analyse et à la gestion des risques informatiques, inspirée de la norme ISO/IEC 27005 »</w:t>
      </w:r>
    </w:p>
    <w:p>
      <w:pPr>
        <w:spacing w:after="140"/>
      </w:pPr>
      <w:r>
        <w:rPr>
          <w:color w:val="444444"/>
          <w:sz w:val="21"/>
          <w:szCs w:val="21"/>
        </w:rPr>
        <w:t xml:space="preserve">Durée : 1 à 2 mois. Structure d'accueil : à confirmer (piste envisagée : AL-AFNA Tech en phase pilote, ou autre structure d'accueil externe).</w:t>
      </w:r>
    </w:p>
    <w:p>
      <w:pPr>
        <w:spacing w:after="140"/>
      </w:pPr>
      <w:r>
        <w:rPr>
          <w:color w:val="444444"/>
          <w:sz w:val="21"/>
          <w:szCs w:val="21"/>
        </w:rPr>
        <w:t xml:space="preserve">Compétence complémentaire : la GRC (Gouvernance, Risques, Conformité) n'est pas enseignée dans le cursus universitaire de l'étudiant ; elle a été acquise en parallèle via la formation APSI-NE. Ce point sera valorisé explicitement dans le rapport comme une initiative personnelle.</w:t>
      </w:r>
    </w:p>
    <w:p>
      <w:pPr>
        <w:pStyle w:val="Heading1"/>
        <w:spacing w:after="160" w:before="360"/>
      </w:pPr>
      <w:r>
        <w:rPr>
          <w:b/>
          <w:bCs/>
          <w:color w:val="0F766E"/>
          <w:sz w:val="30"/>
          <w:szCs w:val="30"/>
        </w:rPr>
        <w:t xml:space="preserve">2. Contexte et problématique</w:t>
      </w:r>
    </w:p>
    <w:p>
      <w:pPr>
        <w:spacing w:after="140"/>
      </w:pPr>
      <w:r>
        <w:rPr>
          <w:color w:val="444444"/>
          <w:sz w:val="21"/>
          <w:szCs w:val="21"/>
        </w:rPr>
        <w:t xml:space="preserve">De nombreuses PME et organisations, notamment en Afrique francophone, ne disposent d'aucun outil accessible pour cartographier leurs actifs informationnels, identifier leurs risques et suivre leur traitement. Les démarches GRC restent perçues comme réservées aux grandes entreprises, faute d'outils simples et abordables.</w:t>
      </w:r>
    </w:p>
    <w:p>
      <w:pPr>
        <w:spacing w:after="140"/>
      </w:pPr>
      <w:r>
        <w:rPr>
          <w:color w:val="444444"/>
          <w:sz w:val="21"/>
          <w:szCs w:val="21"/>
        </w:rPr>
        <w:t xml:space="preserve">La problématique du stage : comment permettre à une organisation de mener une démarche d'analyse de risques structurée (inspirée d'ISO/IEC 27005), sans expertise préalable poussée, à l'aide d'une plateforme web guidée et en partie automatisée ?</w:t>
      </w:r>
    </w:p>
    <w:p>
      <w:pPr>
        <w:pStyle w:val="Heading1"/>
        <w:spacing w:after="160" w:before="360"/>
      </w:pPr>
      <w:r>
        <w:rPr>
          <w:b/>
          <w:bCs/>
          <w:color w:val="0F766E"/>
          <w:sz w:val="30"/>
          <w:szCs w:val="30"/>
        </w:rPr>
        <w:t xml:space="preserve">3. Objectifs du stage</w:t>
      </w:r>
    </w:p>
    <w:p>
      <w:pPr>
        <w:pStyle w:val="ListParagraph"/>
        <w:numPr>
          <w:ilvl w:val="0"/>
          <w:numId w:val="2"/>
        </w:numPr>
        <w:spacing w:after="60"/>
      </w:pPr>
      <w:r>
        <w:rPr>
          <w:color w:val="444444"/>
          <w:sz w:val="21"/>
          <w:szCs w:val="21"/>
        </w:rPr>
        <w:t xml:space="preserve">Comprendre et s'approprier les fondamentaux de la norme ISO/IEC 27005 (actif, menace, vulnérabilité, risque, traitement).</w:t>
      </w:r>
    </w:p>
    <w:p>
      <w:pPr>
        <w:pStyle w:val="ListParagraph"/>
        <w:numPr>
          <w:ilvl w:val="0"/>
          <w:numId w:val="2"/>
        </w:numPr>
        <w:spacing w:after="60"/>
      </w:pPr>
      <w:r>
        <w:rPr>
          <w:color w:val="444444"/>
          <w:sz w:val="21"/>
          <w:szCs w:val="21"/>
        </w:rPr>
        <w:t xml:space="preserve">Concevoir et développer une plateforme web permettant de mener une analyse de risques de bout en bout.</w:t>
      </w:r>
    </w:p>
    <w:p>
      <w:pPr>
        <w:pStyle w:val="ListParagraph"/>
        <w:numPr>
          <w:ilvl w:val="0"/>
          <w:numId w:val="2"/>
        </w:numPr>
        <w:spacing w:after="60"/>
      </w:pPr>
      <w:r>
        <w:rPr>
          <w:color w:val="444444"/>
          <w:sz w:val="21"/>
          <w:szCs w:val="21"/>
        </w:rPr>
        <w:t xml:space="preserve">Démontrer l'usage de la plateforme sur un cas pratique (simulation réseau d'entreprise fictive).</w:t>
      </w:r>
    </w:p>
    <w:p>
      <w:pPr>
        <w:pStyle w:val="ListParagraph"/>
        <w:numPr>
          <w:ilvl w:val="0"/>
          <w:numId w:val="2"/>
        </w:numPr>
        <w:spacing w:after="60"/>
      </w:pPr>
      <w:r>
        <w:rPr>
          <w:color w:val="444444"/>
          <w:sz w:val="21"/>
          <w:szCs w:val="21"/>
        </w:rPr>
        <w:t xml:space="preserve">Produire une documentation académique complète (rapport de stage) et un livrable technique fonctionnel.</w:t>
      </w:r>
    </w:p>
    <w:p>
      <w:pPr>
        <w:pStyle w:val="Heading1"/>
        <w:spacing w:after="160" w:before="360"/>
      </w:pPr>
      <w:r>
        <w:rPr>
          <w:b/>
          <w:bCs/>
          <w:color w:val="0F766E"/>
          <w:sz w:val="30"/>
          <w:szCs w:val="30"/>
        </w:rPr>
        <w:t xml:space="preserve">4. Périmètre fonctionnel de la plateforme</w:t>
      </w:r>
    </w:p>
    <w:p>
      <w:pPr>
        <w:spacing w:after="140"/>
      </w:pPr>
      <w:r>
        <w:rPr>
          <w:color w:val="444444"/>
          <w:sz w:val="21"/>
          <w:szCs w:val="21"/>
        </w:rPr>
        <w:t xml:space="preserve">Le fichier de référence ISO27005_Analyse_Risques_Template.xlsx (fourni par l'étudiant) sert de cahier des charges fonctionnel. Il couvre 13 volets de la norme ; seuls les 6 modules essentiels ci-dessous seront développés, les autres étant traités comme apport théorique ou perspective d'évolution dans le rapport.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tcW w:type="dxa" w:w="3200"/>
            <w:shd w:fill="0F766E" w:val="clear"/>
            <w:tcMar>
              <w:top w:type="dxa" w:w="80"/>
              <w:left w:type="dxa" w:w="100"/>
              <w:bottom w:type="dxa" w:w="80"/>
              <w:right w:type="dxa" w:w="100"/>
            </w:tcMar>
          </w:tcPr>
          <w:p>
            <w:r>
              <w:rPr>
                <w:b/>
                <w:bCs/>
                <w:color w:val="FFFFFF"/>
                <w:sz w:val="20"/>
                <w:szCs w:val="20"/>
              </w:rPr>
              <w:t xml:space="preserve">Module</w:t>
            </w:r>
          </w:p>
        </w:tc>
        <w:tc>
          <w:tcPr>
            <w:tcW w:type="dxa" w:w="6300"/>
            <w:shd w:fill="0F766E" w:val="clear"/>
            <w:tcMar>
              <w:top w:type="dxa" w:w="80"/>
              <w:left w:type="dxa" w:w="100"/>
              <w:bottom w:type="dxa" w:w="80"/>
              <w:right w:type="dxa" w:w="100"/>
            </w:tcMar>
          </w:tcPr>
          <w:p>
            <w:r>
              <w:rPr>
                <w:b/>
                <w:bCs/>
                <w:color w:val="FFFFFF"/>
                <w:sz w:val="20"/>
                <w:szCs w:val="20"/>
              </w:rPr>
              <w:t xml:space="preserve">Fonction</w:t>
            </w:r>
          </w:p>
        </w:tc>
      </w:tr>
      <w:tr>
        <w:tc>
          <w:tcPr>
            <w:tcW w:type="dxa" w:w="3200"/>
            <w:shd w:fill="F8FAFC" w:val="clear"/>
            <w:tcMar>
              <w:top w:type="dxa" w:w="80"/>
              <w:left w:type="dxa" w:w="100"/>
              <w:bottom w:type="dxa" w:w="80"/>
              <w:right w:type="dxa" w:w="100"/>
            </w:tcMar>
          </w:tcPr>
          <w:p>
            <w:r>
              <w:rPr>
                <w:b w:val="false"/>
                <w:bCs w:val="false"/>
                <w:color w:val="1F2937"/>
                <w:sz w:val="20"/>
                <w:szCs w:val="20"/>
              </w:rPr>
              <w:t xml:space="preserve">Contexte</w:t>
            </w:r>
          </w:p>
        </w:tc>
        <w:tc>
          <w:tcPr>
            <w:tcW w:type="dxa" w:w="6300"/>
            <w:shd w:fill="F8FAFC" w:val="clear"/>
            <w:tcMar>
              <w:top w:type="dxa" w:w="80"/>
              <w:left w:type="dxa" w:w="100"/>
              <w:bottom w:type="dxa" w:w="80"/>
              <w:right w:type="dxa" w:w="100"/>
            </w:tcMar>
          </w:tcPr>
          <w:p>
            <w:r>
              <w:rPr>
                <w:b w:val="false"/>
                <w:bCs w:val="false"/>
                <w:color w:val="1F2937"/>
                <w:sz w:val="20"/>
                <w:szCs w:val="20"/>
              </w:rPr>
              <w:t xml:space="preserve">Définition du périmètre : organisation évaluée, objectifs, date</w:t>
            </w:r>
          </w:p>
        </w:tc>
      </w:tr>
      <w:tr>
        <w:tc>
          <w:tcPr>
            <w:tcW w:type="dxa" w:w="3200"/>
            <w:shd w:fill="F8FAFC" w:val="clear"/>
            <w:tcMar>
              <w:top w:type="dxa" w:w="80"/>
              <w:left w:type="dxa" w:w="100"/>
              <w:bottom w:type="dxa" w:w="80"/>
              <w:right w:type="dxa" w:w="100"/>
            </w:tcMar>
          </w:tcPr>
          <w:p>
            <w:r>
              <w:rPr>
                <w:b w:val="false"/>
                <w:bCs w:val="false"/>
                <w:color w:val="1F2937"/>
                <w:sz w:val="20"/>
                <w:szCs w:val="20"/>
              </w:rPr>
              <w:t xml:space="preserve">Inventaire des actifs</w:t>
            </w:r>
          </w:p>
        </w:tc>
        <w:tc>
          <w:tcPr>
            <w:tcW w:type="dxa" w:w="6300"/>
            <w:shd w:fill="F8FAFC" w:val="clear"/>
            <w:tcMar>
              <w:top w:type="dxa" w:w="80"/>
              <w:left w:type="dxa" w:w="100"/>
              <w:bottom w:type="dxa" w:w="80"/>
              <w:right w:type="dxa" w:w="100"/>
            </w:tcMar>
          </w:tcPr>
          <w:p>
            <w:r>
              <w:rPr>
                <w:b w:val="false"/>
                <w:bCs w:val="false"/>
                <w:color w:val="1F2937"/>
                <w:sz w:val="20"/>
                <w:szCs w:val="20"/>
              </w:rPr>
              <w:t xml:space="preserve">Gestion CRUD des actifs, valeurs C-I-D (Confidentialité / Intégrité / Disponibilité)</w:t>
            </w:r>
          </w:p>
        </w:tc>
      </w:tr>
      <w:tr>
        <w:tc>
          <w:tcPr>
            <w:tcW w:type="dxa" w:w="3200"/>
            <w:shd w:fill="F8FAFC" w:val="clear"/>
            <w:tcMar>
              <w:top w:type="dxa" w:w="80"/>
              <w:left w:type="dxa" w:w="100"/>
              <w:bottom w:type="dxa" w:w="80"/>
              <w:right w:type="dxa" w:w="100"/>
            </w:tcMar>
          </w:tcPr>
          <w:p>
            <w:r>
              <w:rPr>
                <w:b w:val="false"/>
                <w:bCs w:val="false"/>
                <w:color w:val="1F2937"/>
                <w:sz w:val="20"/>
                <w:szCs w:val="20"/>
              </w:rPr>
              <w:t xml:space="preserve">Menaces &amp; Vulnérabilités</w:t>
            </w:r>
          </w:p>
        </w:tc>
        <w:tc>
          <w:tcPr>
            <w:tcW w:type="dxa" w:w="6300"/>
            <w:shd w:fill="F8FAFC" w:val="clear"/>
            <w:tcMar>
              <w:top w:type="dxa" w:w="80"/>
              <w:left w:type="dxa" w:w="100"/>
              <w:bottom w:type="dxa" w:w="80"/>
              <w:right w:type="dxa" w:w="100"/>
            </w:tcMar>
          </w:tcPr>
          <w:p>
            <w:r>
              <w:rPr>
                <w:b w:val="false"/>
                <w:bCs w:val="false"/>
                <w:color w:val="1F2937"/>
                <w:sz w:val="20"/>
                <w:szCs w:val="20"/>
              </w:rPr>
              <w:t xml:space="preserve">Bibliothèque basée sur l'Annexe C/D de la norme</w:t>
            </w:r>
          </w:p>
        </w:tc>
      </w:tr>
      <w:tr>
        <w:tc>
          <w:tcPr>
            <w:tcW w:type="dxa" w:w="3200"/>
            <w:shd w:fill="F8FAFC" w:val="clear"/>
            <w:tcMar>
              <w:top w:type="dxa" w:w="80"/>
              <w:left w:type="dxa" w:w="100"/>
              <w:bottom w:type="dxa" w:w="80"/>
              <w:right w:type="dxa" w:w="100"/>
            </w:tcMar>
          </w:tcPr>
          <w:p>
            <w:r>
              <w:rPr>
                <w:b w:val="false"/>
                <w:bCs w:val="false"/>
                <w:color w:val="1F2937"/>
                <w:sz w:val="20"/>
                <w:szCs w:val="20"/>
              </w:rPr>
              <w:t xml:space="preserve">Analyse des risques</w:t>
            </w:r>
          </w:p>
        </w:tc>
        <w:tc>
          <w:tcPr>
            <w:tcW w:type="dxa" w:w="6300"/>
            <w:shd w:fill="F8FAFC" w:val="clear"/>
            <w:tcMar>
              <w:top w:type="dxa" w:w="80"/>
              <w:left w:type="dxa" w:w="100"/>
              <w:bottom w:type="dxa" w:w="80"/>
              <w:right w:type="dxa" w:w="100"/>
            </w:tcMar>
          </w:tcPr>
          <w:p>
            <w:r>
              <w:rPr>
                <w:b w:val="false"/>
                <w:bCs w:val="false"/>
                <w:color w:val="1F2937"/>
                <w:sz w:val="20"/>
                <w:szCs w:val="20"/>
              </w:rPr>
              <w:t xml:space="preserve">Calcul automatique : Score = Vraisemblance × Impact Max</w:t>
            </w:r>
          </w:p>
        </w:tc>
      </w:tr>
      <w:tr>
        <w:tc>
          <w:tcPr>
            <w:tcW w:type="dxa" w:w="3200"/>
            <w:shd w:fill="F8FAFC" w:val="clear"/>
            <w:tcMar>
              <w:top w:type="dxa" w:w="80"/>
              <w:left w:type="dxa" w:w="100"/>
              <w:bottom w:type="dxa" w:w="80"/>
              <w:right w:type="dxa" w:w="100"/>
            </w:tcMar>
          </w:tcPr>
          <w:p>
            <w:r>
              <w:rPr>
                <w:b w:val="false"/>
                <w:bCs w:val="false"/>
                <w:color w:val="1F2937"/>
                <w:sz w:val="20"/>
                <w:szCs w:val="20"/>
              </w:rPr>
              <w:t xml:space="preserve">Traitement des risques</w:t>
            </w:r>
          </w:p>
        </w:tc>
        <w:tc>
          <w:tcPr>
            <w:tcW w:type="dxa" w:w="6300"/>
            <w:shd w:fill="F8FAFC" w:val="clear"/>
            <w:tcMar>
              <w:top w:type="dxa" w:w="80"/>
              <w:left w:type="dxa" w:w="100"/>
              <w:bottom w:type="dxa" w:w="80"/>
              <w:right w:type="dxa" w:w="100"/>
            </w:tcMar>
          </w:tcPr>
          <w:p>
            <w:r>
              <w:rPr>
                <w:b w:val="false"/>
                <w:bCs w:val="false"/>
                <w:color w:val="1F2937"/>
                <w:sz w:val="20"/>
                <w:szCs w:val="20"/>
              </w:rPr>
              <w:t xml:space="preserve">Options MÉTA (Modifier / Éviter / Transférer / Accepter) + mesures ISO 27002</w:t>
            </w:r>
          </w:p>
        </w:tc>
      </w:tr>
      <w:tr>
        <w:tc>
          <w:tcPr>
            <w:tcW w:type="dxa" w:w="3200"/>
            <w:shd w:fill="F8FAFC" w:val="clear"/>
            <w:tcMar>
              <w:top w:type="dxa" w:w="80"/>
              <w:left w:type="dxa" w:w="100"/>
              <w:bottom w:type="dxa" w:w="80"/>
              <w:right w:type="dxa" w:w="100"/>
            </w:tcMar>
          </w:tcPr>
          <w:p>
            <w:r>
              <w:rPr>
                <w:b w:val="false"/>
                <w:bCs w:val="false"/>
                <w:color w:val="1F2937"/>
                <w:sz w:val="20"/>
                <w:szCs w:val="20"/>
              </w:rPr>
              <w:t xml:space="preserve">Génération de documents</w:t>
            </w:r>
          </w:p>
        </w:tc>
        <w:tc>
          <w:tcPr>
            <w:tcW w:type="dxa" w:w="6300"/>
            <w:shd w:fill="F8FAFC" w:val="clear"/>
            <w:tcMar>
              <w:top w:type="dxa" w:w="80"/>
              <w:left w:type="dxa" w:w="100"/>
              <w:bottom w:type="dxa" w:w="80"/>
              <w:right w:type="dxa" w:w="100"/>
            </w:tcMar>
          </w:tcPr>
          <w:p>
            <w:r>
              <w:rPr>
                <w:b w:val="false"/>
                <w:bCs w:val="false"/>
                <w:color w:val="1F2937"/>
                <w:sz w:val="20"/>
                <w:szCs w:val="20"/>
              </w:rPr>
              <w:t xml:space="preserve">Rapport d'audit PDF + Document de recommandations / politique de sécurité PDF</w:t>
            </w:r>
          </w:p>
        </w:tc>
      </w:tr>
    </w:tbl>
    <w:p>
      <w:pPr>
        <w:spacing w:after="100" w:before="200"/>
      </w:pPr>
    </w:p>
    <w:p>
      <w:pPr>
        <w:spacing w:after="140"/>
      </w:pPr>
      <w:r>
        <w:rPr>
          <w:color w:val="444444"/>
          <w:sz w:val="21"/>
          <w:szCs w:val="21"/>
        </w:rPr>
        <w:t xml:space="preserve">Modules non développés mais documentés théoriquement dans le rapport : Tableau de bord KPI avancé, Référentiels détaillés, Suivi des révisions, Amélioration continue (PDCA).</w:t>
      </w:r>
    </w:p>
    <w:p>
      <w:pPr>
        <w:pStyle w:val="Heading1"/>
        <w:spacing w:after="160" w:before="360"/>
      </w:pPr>
      <w:r>
        <w:rPr>
          <w:b/>
          <w:bCs/>
          <w:color w:val="0F766E"/>
          <w:sz w:val="30"/>
          <w:szCs w:val="30"/>
        </w:rPr>
        <w:t xml:space="preserve">5. Architecture technique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400"/>
        <w:gridCol w:w="6100"/>
      </w:tblGrid>
      <w:tr>
        <w:tc>
          <w:tcPr>
            <w:tcW w:type="dxa" w:w="3400"/>
            <w:shd w:fill="0F766E" w:val="clear"/>
            <w:tcMar>
              <w:top w:type="dxa" w:w="80"/>
              <w:left w:type="dxa" w:w="100"/>
              <w:bottom w:type="dxa" w:w="80"/>
              <w:right w:type="dxa" w:w="100"/>
            </w:tcMar>
          </w:tcPr>
          <w:p>
            <w:r>
              <w:rPr>
                <w:b/>
                <w:bCs/>
                <w:color w:val="FFFFFF"/>
                <w:sz w:val="20"/>
                <w:szCs w:val="20"/>
              </w:rPr>
              <w:t xml:space="preserve">Composant</w:t>
            </w:r>
          </w:p>
        </w:tc>
        <w:tc>
          <w:tcPr>
            <w:tcW w:type="dxa" w:w="6100"/>
            <w:shd w:fill="0F766E" w:val="clear"/>
            <w:tcMar>
              <w:top w:type="dxa" w:w="80"/>
              <w:left w:type="dxa" w:w="100"/>
              <w:bottom w:type="dxa" w:w="80"/>
              <w:right w:type="dxa" w:w="100"/>
            </w:tcMar>
          </w:tcPr>
          <w:p>
            <w:r>
              <w:rPr>
                <w:b/>
                <w:bCs/>
                <w:color w:val="FFFFFF"/>
                <w:sz w:val="20"/>
                <w:szCs w:val="20"/>
              </w:rPr>
              <w:t xml:space="preserve">Choix retenu</w:t>
            </w:r>
          </w:p>
        </w:tc>
      </w:tr>
      <w:tr>
        <w:tc>
          <w:tcPr>
            <w:tcW w:type="dxa" w:w="3400"/>
            <w:shd w:fill="F8FAFC" w:val="clear"/>
            <w:tcMar>
              <w:top w:type="dxa" w:w="80"/>
              <w:left w:type="dxa" w:w="100"/>
              <w:bottom w:type="dxa" w:w="80"/>
              <w:right w:type="dxa" w:w="100"/>
            </w:tcMar>
          </w:tcPr>
          <w:p>
            <w:r>
              <w:rPr>
                <w:b w:val="false"/>
                <w:bCs w:val="false"/>
                <w:color w:val="1F2937"/>
                <w:sz w:val="20"/>
                <w:szCs w:val="20"/>
              </w:rPr>
              <w:t xml:space="preserve">Frontend</w:t>
            </w:r>
          </w:p>
        </w:tc>
        <w:tc>
          <w:tcPr>
            <w:tcW w:type="dxa" w:w="6100"/>
            <w:shd w:fill="F8FAFC" w:val="clear"/>
            <w:tcMar>
              <w:top w:type="dxa" w:w="80"/>
              <w:left w:type="dxa" w:w="100"/>
              <w:bottom w:type="dxa" w:w="80"/>
              <w:right w:type="dxa" w:w="100"/>
            </w:tcMar>
          </w:tcPr>
          <w:p>
            <w:r>
              <w:rPr>
                <w:b w:val="false"/>
                <w:bCs w:val="false"/>
                <w:color w:val="1F2937"/>
                <w:sz w:val="20"/>
                <w:szCs w:val="20"/>
              </w:rPr>
              <w:t xml:space="preserve">HTML / CSS / JavaScript (vanilla)</w:t>
            </w:r>
          </w:p>
        </w:tc>
      </w:tr>
      <w:tr>
        <w:tc>
          <w:tcPr>
            <w:tcW w:type="dxa" w:w="3400"/>
            <w:shd w:fill="F8FAFC" w:val="clear"/>
            <w:tcMar>
              <w:top w:type="dxa" w:w="80"/>
              <w:left w:type="dxa" w:w="100"/>
              <w:bottom w:type="dxa" w:w="80"/>
              <w:right w:type="dxa" w:w="100"/>
            </w:tcMar>
          </w:tcPr>
          <w:p>
            <w:r>
              <w:rPr>
                <w:b w:val="false"/>
                <w:bCs w:val="false"/>
                <w:color w:val="1F2937"/>
                <w:sz w:val="20"/>
                <w:szCs w:val="20"/>
              </w:rPr>
              <w:t xml:space="preserve">Backend &amp; base de données</w:t>
            </w:r>
          </w:p>
        </w:tc>
        <w:tc>
          <w:tcPr>
            <w:tcW w:type="dxa" w:w="6100"/>
            <w:shd w:fill="F8FAFC" w:val="clear"/>
            <w:tcMar>
              <w:top w:type="dxa" w:w="80"/>
              <w:left w:type="dxa" w:w="100"/>
              <w:bottom w:type="dxa" w:w="80"/>
              <w:right w:type="dxa" w:w="100"/>
            </w:tcMar>
          </w:tcPr>
          <w:p>
            <w:r>
              <w:rPr>
                <w:b w:val="false"/>
                <w:bCs w:val="false"/>
                <w:color w:val="1F2937"/>
                <w:sz w:val="20"/>
                <w:szCs w:val="20"/>
              </w:rPr>
              <w:t xml:space="preserve">Supabase (PostgreSQL + Authentification)</w:t>
            </w:r>
          </w:p>
        </w:tc>
      </w:tr>
      <w:tr>
        <w:tc>
          <w:tcPr>
            <w:tcW w:type="dxa" w:w="3400"/>
            <w:shd w:fill="F8FAFC" w:val="clear"/>
            <w:tcMar>
              <w:top w:type="dxa" w:w="80"/>
              <w:left w:type="dxa" w:w="100"/>
              <w:bottom w:type="dxa" w:w="80"/>
              <w:right w:type="dxa" w:w="100"/>
            </w:tcMar>
          </w:tcPr>
          <w:p>
            <w:r>
              <w:rPr>
                <w:b w:val="false"/>
                <w:bCs w:val="false"/>
                <w:color w:val="1F2937"/>
                <w:sz w:val="20"/>
                <w:szCs w:val="20"/>
              </w:rPr>
              <w:t xml:space="preserve">Génération PDF</w:t>
            </w:r>
          </w:p>
        </w:tc>
        <w:tc>
          <w:tcPr>
            <w:tcW w:type="dxa" w:w="6100"/>
            <w:shd w:fill="F8FAFC" w:val="clear"/>
            <w:tcMar>
              <w:top w:type="dxa" w:w="80"/>
              <w:left w:type="dxa" w:w="100"/>
              <w:bottom w:type="dxa" w:w="80"/>
              <w:right w:type="dxa" w:w="100"/>
            </w:tcMar>
          </w:tcPr>
          <w:p>
            <w:r>
              <w:rPr>
                <w:b w:val="false"/>
                <w:bCs w:val="false"/>
                <w:color w:val="1F2937"/>
                <w:sz w:val="20"/>
                <w:szCs w:val="20"/>
              </w:rPr>
              <w:t xml:space="preserve">jsPDF</w:t>
            </w:r>
          </w:p>
        </w:tc>
      </w:tr>
      <w:tr>
        <w:tc>
          <w:tcPr>
            <w:tcW w:type="dxa" w:w="3400"/>
            <w:shd w:fill="F8FAFC" w:val="clear"/>
            <w:tcMar>
              <w:top w:type="dxa" w:w="80"/>
              <w:left w:type="dxa" w:w="100"/>
              <w:bottom w:type="dxa" w:w="80"/>
              <w:right w:type="dxa" w:w="100"/>
            </w:tcMar>
          </w:tcPr>
          <w:p>
            <w:r>
              <w:rPr>
                <w:b w:val="false"/>
                <w:bCs w:val="false"/>
                <w:color w:val="1F2937"/>
                <w:sz w:val="20"/>
                <w:szCs w:val="20"/>
              </w:rPr>
              <w:t xml:space="preserve">Intelligence artificielle</w:t>
            </w:r>
          </w:p>
        </w:tc>
        <w:tc>
          <w:tcPr>
            <w:tcW w:type="dxa" w:w="6100"/>
            <w:shd w:fill="F8FAFC" w:val="clear"/>
            <w:tcMar>
              <w:top w:type="dxa" w:w="80"/>
              <w:left w:type="dxa" w:w="100"/>
              <w:bottom w:type="dxa" w:w="80"/>
              <w:right w:type="dxa" w:w="100"/>
            </w:tcMar>
          </w:tcPr>
          <w:p>
            <w:r>
              <w:rPr>
                <w:b w:val="false"/>
                <w:bCs w:val="false"/>
                <w:color w:val="1F2937"/>
                <w:sz w:val="20"/>
                <w:szCs w:val="20"/>
              </w:rPr>
              <w:t xml:space="preserve">API Google Gemini (tier gratuit), appelée via une Supabase Edge Function</w:t>
            </w:r>
          </w:p>
        </w:tc>
      </w:tr>
      <w:tr>
        <w:tc>
          <w:tcPr>
            <w:tcW w:type="dxa" w:w="3400"/>
            <w:shd w:fill="F8FAFC" w:val="clear"/>
            <w:tcMar>
              <w:top w:type="dxa" w:w="80"/>
              <w:left w:type="dxa" w:w="100"/>
              <w:bottom w:type="dxa" w:w="80"/>
              <w:right w:type="dxa" w:w="100"/>
            </w:tcMar>
          </w:tcPr>
          <w:p>
            <w:r>
              <w:rPr>
                <w:b w:val="false"/>
                <w:bCs w:val="false"/>
                <w:color w:val="1F2937"/>
                <w:sz w:val="20"/>
                <w:szCs w:val="20"/>
              </w:rPr>
              <w:t xml:space="preserve">Déploiement</w:t>
            </w:r>
          </w:p>
        </w:tc>
        <w:tc>
          <w:tcPr>
            <w:tcW w:type="dxa" w:w="6100"/>
            <w:shd w:fill="F8FAFC" w:val="clear"/>
            <w:tcMar>
              <w:top w:type="dxa" w:w="80"/>
              <w:left w:type="dxa" w:w="100"/>
              <w:bottom w:type="dxa" w:w="80"/>
              <w:right w:type="dxa" w:w="100"/>
            </w:tcMar>
          </w:tcPr>
          <w:p>
            <w:r>
              <w:rPr>
                <w:b w:val="false"/>
                <w:bCs w:val="false"/>
                <w:color w:val="1F2937"/>
                <w:sz w:val="20"/>
                <w:szCs w:val="20"/>
              </w:rPr>
              <w:t xml:space="preserve">Netlify</w:t>
            </w:r>
          </w:p>
        </w:tc>
      </w:tr>
    </w:tbl>
    <w:p>
      <w:pPr>
        <w:spacing w:after="0" w:before="200"/>
      </w:pPr>
    </w:p>
    <w:p>
      <w:pPr>
        <w:pStyle w:val="Heading2"/>
        <w:spacing w:after="120" w:before="260"/>
      </w:pPr>
      <w:r>
        <w:rPr>
          <w:b/>
          <w:bCs/>
          <w:color w:val="1F2937"/>
          <w:sz w:val="24"/>
          <w:szCs w:val="24"/>
        </w:rPr>
        <w:t xml:space="preserve">5.1. Modèle de données (tables Supabase envisagées)</w:t>
      </w:r>
    </w:p>
    <w:p>
      <w:pPr>
        <w:pStyle w:val="ListParagraph"/>
        <w:numPr>
          <w:ilvl w:val="0"/>
          <w:numId w:val="2"/>
        </w:numPr>
        <w:spacing w:after="60"/>
      </w:pPr>
      <w:r>
        <w:rPr>
          <w:color w:val="444444"/>
          <w:sz w:val="21"/>
          <w:szCs w:val="21"/>
        </w:rPr>
        <w:t xml:space="preserve">contexte — organisation évaluée, périmètre, date</w:t>
      </w:r>
    </w:p>
    <w:p>
      <w:pPr>
        <w:pStyle w:val="ListParagraph"/>
        <w:numPr>
          <w:ilvl w:val="0"/>
          <w:numId w:val="2"/>
        </w:numPr>
        <w:spacing w:after="60"/>
      </w:pPr>
      <w:r>
        <w:rPr>
          <w:color w:val="444444"/>
          <w:sz w:val="21"/>
          <w:szCs w:val="21"/>
        </w:rPr>
        <w:t xml:space="preserve">actifs — nom, type, valeurs C/I/D (1-5), propriétaire</w:t>
      </w:r>
    </w:p>
    <w:p>
      <w:pPr>
        <w:pStyle w:val="ListParagraph"/>
        <w:numPr>
          <w:ilvl w:val="0"/>
          <w:numId w:val="2"/>
        </w:numPr>
        <w:spacing w:after="60"/>
      </w:pPr>
      <w:r>
        <w:rPr>
          <w:color w:val="444444"/>
          <w:sz w:val="21"/>
          <w:szCs w:val="21"/>
        </w:rPr>
        <w:t xml:space="preserve">menaces — nom, description, source (interne/externe)</w:t>
      </w:r>
    </w:p>
    <w:p>
      <w:pPr>
        <w:pStyle w:val="ListParagraph"/>
        <w:numPr>
          <w:ilvl w:val="0"/>
          <w:numId w:val="2"/>
        </w:numPr>
        <w:spacing w:after="60"/>
      </w:pPr>
      <w:r>
        <w:rPr>
          <w:color w:val="444444"/>
          <w:sz w:val="21"/>
          <w:szCs w:val="21"/>
        </w:rPr>
        <w:t xml:space="preserve">vulnerabilites — nom, description, actif lié</w:t>
      </w:r>
    </w:p>
    <w:p>
      <w:pPr>
        <w:pStyle w:val="ListParagraph"/>
        <w:numPr>
          <w:ilvl w:val="0"/>
          <w:numId w:val="2"/>
        </w:numPr>
        <w:spacing w:after="60"/>
      </w:pPr>
      <w:r>
        <w:rPr>
          <w:color w:val="444444"/>
          <w:sz w:val="21"/>
          <w:szCs w:val="21"/>
        </w:rPr>
        <w:t xml:space="preserve">risques — actif + menace + vulnérabilité liés, vraisemblance, impact, score calculé, niveau</w:t>
      </w:r>
    </w:p>
    <w:p>
      <w:pPr>
        <w:pStyle w:val="ListParagraph"/>
        <w:numPr>
          <w:ilvl w:val="0"/>
          <w:numId w:val="2"/>
        </w:numPr>
        <w:spacing w:after="60"/>
      </w:pPr>
      <w:r>
        <w:rPr>
          <w:color w:val="444444"/>
          <w:sz w:val="21"/>
          <w:szCs w:val="21"/>
        </w:rPr>
        <w:t xml:space="preserve">traitements — risque lié, option MÉTA, mesure ISO 27002, statut</w:t>
      </w:r>
    </w:p>
    <w:p>
      <w:pPr>
        <w:pStyle w:val="Heading2"/>
        <w:spacing w:after="120" w:before="260"/>
      </w:pPr>
      <w:r>
        <w:rPr>
          <w:b/>
          <w:bCs/>
          <w:color w:val="1F2937"/>
          <w:sz w:val="24"/>
          <w:szCs w:val="24"/>
        </w:rPr>
        <w:t xml:space="preserve">5.2. Intégration de l'intelligence artificielle</w:t>
      </w:r>
    </w:p>
    <w:p>
      <w:pPr>
        <w:spacing w:after="140"/>
      </w:pPr>
      <w:r>
        <w:rPr>
          <w:color w:val="444444"/>
          <w:sz w:val="21"/>
          <w:szCs w:val="21"/>
        </w:rPr>
        <w:t xml:space="preserve">L'IA est intégrée sur des points précis du flux, présentée en soutenance comme un « assistant IA intégré pour accélérer l'analyse de risque et réduire la subjectivité humaine », et non comme une automatisation totale :</w:t>
      </w:r>
    </w:p>
    <w:p>
      <w:pPr>
        <w:pStyle w:val="ListParagraph"/>
        <w:numPr>
          <w:ilvl w:val="0"/>
          <w:numId w:val="2"/>
        </w:numPr>
        <w:spacing w:after="60"/>
      </w:pPr>
      <w:r>
        <w:rPr>
          <w:color w:val="444444"/>
          <w:sz w:val="21"/>
          <w:szCs w:val="21"/>
        </w:rPr>
        <w:t xml:space="preserve">Suggestion automatique de menaces/vulnérabilités à partir d'un actif saisi.</w:t>
      </w:r>
    </w:p>
    <w:p>
      <w:pPr>
        <w:pStyle w:val="ListParagraph"/>
        <w:numPr>
          <w:ilvl w:val="0"/>
          <w:numId w:val="2"/>
        </w:numPr>
        <w:spacing w:after="60"/>
      </w:pPr>
      <w:r>
        <w:rPr>
          <w:color w:val="444444"/>
          <w:sz w:val="21"/>
          <w:szCs w:val="21"/>
        </w:rPr>
        <w:t xml:space="preserve">Génération assistée de la description d'un scénario de risque.</w:t>
      </w:r>
    </w:p>
    <w:p>
      <w:pPr>
        <w:pStyle w:val="ListParagraph"/>
        <w:numPr>
          <w:ilvl w:val="0"/>
          <w:numId w:val="2"/>
        </w:numPr>
        <w:spacing w:after="60"/>
      </w:pPr>
      <w:r>
        <w:rPr>
          <w:color w:val="444444"/>
          <w:sz w:val="21"/>
          <w:szCs w:val="21"/>
        </w:rPr>
        <w:t xml:space="preserve">Recommandation de la mesure ISO 27002 la plus adaptée à un risque donné.</w:t>
      </w:r>
    </w:p>
    <w:p>
      <w:pPr>
        <w:pStyle w:val="ListParagraph"/>
        <w:numPr>
          <w:ilvl w:val="0"/>
          <w:numId w:val="2"/>
        </w:numPr>
        <w:spacing w:after="60"/>
      </w:pPr>
      <w:r>
        <w:rPr>
          <w:color w:val="444444"/>
          <w:sz w:val="21"/>
          <w:szCs w:val="21"/>
        </w:rPr>
        <w:t xml:space="preserve">Rédaction automatique de la synthèse managériale du rapport PDF.</w:t>
      </w:r>
    </w:p>
    <w:p>
      <w:pPr>
        <w:spacing w:after="140"/>
      </w:pPr>
      <w:r>
        <w:rPr>
          <w:color w:val="444444"/>
          <w:sz w:val="21"/>
          <w:szCs w:val="21"/>
        </w:rPr>
        <w:t xml:space="preserve">Sécurité : la clé API n'est jamais exposée côté client ; les appels transitent par une Supabase Edge Function.</w:t>
      </w:r>
    </w:p>
    <w:p>
      <w:pPr>
        <w:pStyle w:val="Heading1"/>
        <w:spacing w:after="160" w:before="360"/>
      </w:pPr>
      <w:r>
        <w:rPr>
          <w:b/>
          <w:bCs/>
          <w:color w:val="0F766E"/>
          <w:sz w:val="30"/>
          <w:szCs w:val="30"/>
        </w:rPr>
        <w:t xml:space="preserve">6. Démonstration : cas pratique sur Packet Tracer</w:t>
      </w:r>
    </w:p>
    <w:p>
      <w:pPr>
        <w:spacing w:after="140"/>
      </w:pPr>
      <w:r>
        <w:rPr>
          <w:color w:val="444444"/>
          <w:sz w:val="21"/>
          <w:szCs w:val="21"/>
        </w:rPr>
        <w:t xml:space="preserve">Une entreprise fictive est simulée sous Cisco Packet Tracer afin d'ancrer la démonstration dans un contexte réseau réaliste plutôt que des données abstraites.</w:t>
      </w:r>
    </w:p>
    <w:p>
      <w:pPr>
        <w:pStyle w:val="ListParagraph"/>
        <w:numPr>
          <w:ilvl w:val="0"/>
          <w:numId w:val="2"/>
        </w:numPr>
        <w:spacing w:after="60"/>
      </w:pPr>
      <w:r>
        <w:rPr>
          <w:color w:val="444444"/>
          <w:sz w:val="21"/>
          <w:szCs w:val="21"/>
        </w:rPr>
        <w:t xml:space="preserve">Topologie : routeur, 2-3 switches, VLANs par service (Direction, Comptabilité, IT/DSI), serveur fichiers, serveur ERP/web, 6-8 postes.</w:t>
      </w:r>
    </w:p>
    <w:p>
      <w:pPr>
        <w:pStyle w:val="ListParagraph"/>
        <w:numPr>
          <w:ilvl w:val="0"/>
          <w:numId w:val="2"/>
        </w:numPr>
        <w:spacing w:after="60"/>
      </w:pPr>
      <w:r>
        <w:rPr>
          <w:color w:val="444444"/>
          <w:sz w:val="21"/>
          <w:szCs w:val="21"/>
        </w:rPr>
        <w:t xml:space="preserve">Incident 1 — Scan réseau (ping sweep) : révèle l'absence de segmentation/ACL.</w:t>
      </w:r>
    </w:p>
    <w:p>
      <w:pPr>
        <w:pStyle w:val="ListParagraph"/>
        <w:numPr>
          <w:ilvl w:val="0"/>
          <w:numId w:val="2"/>
        </w:numPr>
        <w:spacing w:after="60"/>
      </w:pPr>
      <w:r>
        <w:rPr>
          <w:color w:val="444444"/>
          <w:sz w:val="21"/>
          <w:szCs w:val="21"/>
        </w:rPr>
        <w:t xml:space="preserve">Incident 2 — Accès inter-VLAN non autorisé : révèle une mauvaise isolation réseau.</w:t>
      </w:r>
    </w:p>
    <w:p>
      <w:pPr>
        <w:pStyle w:val="ListParagraph"/>
        <w:numPr>
          <w:ilvl w:val="0"/>
          <w:numId w:val="2"/>
        </w:numPr>
        <w:spacing w:after="60"/>
      </w:pPr>
      <w:r>
        <w:rPr>
          <w:color w:val="444444"/>
          <w:sz w:val="21"/>
          <w:szCs w:val="21"/>
        </w:rPr>
        <w:t xml:space="preserve">Incident 3 — Protocole non sécurisé (Telnet au lieu de SSH) : révèle une faiblesse de chiffrement.</w:t>
      </w:r>
    </w:p>
    <w:p>
      <w:pPr>
        <w:pStyle w:val="ListParagraph"/>
        <w:numPr>
          <w:ilvl w:val="0"/>
          <w:numId w:val="2"/>
        </w:numPr>
        <w:spacing w:after="60"/>
      </w:pPr>
      <w:r>
        <w:rPr>
          <w:color w:val="444444"/>
          <w:sz w:val="21"/>
          <w:szCs w:val="21"/>
        </w:rPr>
        <w:t xml:space="preserve">Incident 4 — Coupure de service simulée : illustre le risque sur la disponibilité (le « D » du triptyque C-I-D).</w:t>
      </w:r>
    </w:p>
    <w:p>
      <w:pPr>
        <w:spacing w:after="140"/>
      </w:pPr>
      <w:r>
        <w:rPr>
          <w:color w:val="444444"/>
          <w:sz w:val="21"/>
          <w:szCs w:val="21"/>
        </w:rPr>
        <w:t xml:space="preserve">Chaque incident simulé est ensuite saisi dans la plateforme comme une menace/vulnérabilité réelle, ce qui permet de montrer en direct : la saisie de l'actif concerné, le calcul automatique du score de risque, puis la génération du rapport PDF correspondant.</w:t>
      </w:r>
    </w:p>
    <w:p>
      <w:pPr>
        <w:pStyle w:val="Heading1"/>
        <w:spacing w:after="160" w:before="360"/>
      </w:pPr>
      <w:r>
        <w:rPr>
          <w:b/>
          <w:bCs/>
          <w:color w:val="0F766E"/>
          <w:sz w:val="30"/>
          <w:szCs w:val="30"/>
        </w:rPr>
        <w:t xml:space="preserve">7. Planning prévisionnel (7 à 8 semaines)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0F766E" w:val="clear"/>
            <w:tcMar>
              <w:top w:type="dxa" w:w="80"/>
              <w:left w:type="dxa" w:w="100"/>
              <w:bottom w:type="dxa" w:w="80"/>
              <w:right w:type="dxa" w:w="100"/>
            </w:tcMar>
          </w:tcPr>
          <w:p>
            <w:r>
              <w:rPr>
                <w:b/>
                <w:bCs/>
                <w:color w:val="FFFFFF"/>
                <w:sz w:val="20"/>
                <w:szCs w:val="20"/>
              </w:rPr>
              <w:t xml:space="preserve">Période</w:t>
            </w:r>
          </w:p>
        </w:tc>
        <w:tc>
          <w:tcPr>
            <w:tcW w:type="dxa" w:w="6900"/>
            <w:shd w:fill="0F766E" w:val="clear"/>
            <w:tcMar>
              <w:top w:type="dxa" w:w="80"/>
              <w:left w:type="dxa" w:w="100"/>
              <w:bottom w:type="dxa" w:w="80"/>
              <w:right w:type="dxa" w:w="100"/>
            </w:tcMar>
          </w:tcPr>
          <w:p>
            <w:r>
              <w:rPr>
                <w:b/>
                <w:bCs/>
                <w:color w:val="FFFFFF"/>
                <w:sz w:val="20"/>
                <w:szCs w:val="20"/>
              </w:rPr>
              <w:t xml:space="preserve">Activité</w:t>
            </w:r>
          </w:p>
        </w:tc>
      </w:tr>
      <w:tr>
        <w:tc>
          <w:tcPr>
            <w:tcW w:type="dxa" w:w="2600"/>
            <w:shd w:fill="F8FAFC" w:val="clear"/>
            <w:tcMar>
              <w:top w:type="dxa" w:w="80"/>
              <w:left w:type="dxa" w:w="100"/>
              <w:bottom w:type="dxa" w:w="80"/>
              <w:right w:type="dxa" w:w="100"/>
            </w:tcMar>
          </w:tcPr>
          <w:p>
            <w:r>
              <w:rPr>
                <w:b w:val="false"/>
                <w:bCs w:val="false"/>
                <w:color w:val="1F2937"/>
                <w:sz w:val="20"/>
                <w:szCs w:val="20"/>
              </w:rPr>
              <w:t xml:space="preserve">Semaine 1</w:t>
            </w:r>
          </w:p>
        </w:tc>
        <w:tc>
          <w:tcPr>
            <w:tcW w:type="dxa" w:w="6900"/>
            <w:shd w:fill="F8FAFC" w:val="clear"/>
            <w:tcMar>
              <w:top w:type="dxa" w:w="80"/>
              <w:left w:type="dxa" w:w="100"/>
              <w:bottom w:type="dxa" w:w="80"/>
              <w:right w:type="dxa" w:w="100"/>
            </w:tcMar>
          </w:tcPr>
          <w:p>
            <w:r>
              <w:rPr>
                <w:b w:val="false"/>
                <w:bCs w:val="false"/>
                <w:color w:val="1F2937"/>
                <w:sz w:val="20"/>
                <w:szCs w:val="20"/>
              </w:rPr>
              <w:t xml:space="preserve">Topologie Packet Tracer + configuration VLAN/ACL</w:t>
            </w:r>
          </w:p>
        </w:tc>
      </w:tr>
      <w:tr>
        <w:tc>
          <w:tcPr>
            <w:tcW w:type="dxa" w:w="2600"/>
            <w:shd w:fill="F8FAFC" w:val="clear"/>
            <w:tcMar>
              <w:top w:type="dxa" w:w="80"/>
              <w:left w:type="dxa" w:w="100"/>
              <w:bottom w:type="dxa" w:w="80"/>
              <w:right w:type="dxa" w:w="100"/>
            </w:tcMar>
          </w:tcPr>
          <w:p>
            <w:r>
              <w:rPr>
                <w:b w:val="false"/>
                <w:bCs w:val="false"/>
                <w:color w:val="1F2937"/>
                <w:sz w:val="20"/>
                <w:szCs w:val="20"/>
              </w:rPr>
              <w:t xml:space="preserve">Semaine 2</w:t>
            </w:r>
          </w:p>
        </w:tc>
        <w:tc>
          <w:tcPr>
            <w:tcW w:type="dxa" w:w="6900"/>
            <w:shd w:fill="F8FAFC" w:val="clear"/>
            <w:tcMar>
              <w:top w:type="dxa" w:w="80"/>
              <w:left w:type="dxa" w:w="100"/>
              <w:bottom w:type="dxa" w:w="80"/>
              <w:right w:type="dxa" w:w="100"/>
            </w:tcMar>
          </w:tcPr>
          <w:p>
            <w:r>
              <w:rPr>
                <w:b w:val="false"/>
                <w:bCs w:val="false"/>
                <w:color w:val="1F2937"/>
                <w:sz w:val="20"/>
                <w:szCs w:val="20"/>
              </w:rPr>
              <w:t xml:space="preserve">Préparation des 4 scénarios d'incidents (captures, vidéos)</w:t>
            </w:r>
          </w:p>
        </w:tc>
      </w:tr>
      <w:tr>
        <w:tc>
          <w:tcPr>
            <w:tcW w:type="dxa" w:w="2600"/>
            <w:shd w:fill="F8FAFC" w:val="clear"/>
            <w:tcMar>
              <w:top w:type="dxa" w:w="80"/>
              <w:left w:type="dxa" w:w="100"/>
              <w:bottom w:type="dxa" w:w="80"/>
              <w:right w:type="dxa" w:w="100"/>
            </w:tcMar>
          </w:tcPr>
          <w:p>
            <w:r>
              <w:rPr>
                <w:b w:val="false"/>
                <w:bCs w:val="false"/>
                <w:color w:val="1F2937"/>
                <w:sz w:val="20"/>
                <w:szCs w:val="20"/>
              </w:rPr>
              <w:t xml:space="preserve">Semaines 3-5</w:t>
            </w:r>
          </w:p>
        </w:tc>
        <w:tc>
          <w:tcPr>
            <w:tcW w:type="dxa" w:w="6900"/>
            <w:shd w:fill="F8FAFC" w:val="clear"/>
            <w:tcMar>
              <w:top w:type="dxa" w:w="80"/>
              <w:left w:type="dxa" w:w="100"/>
              <w:bottom w:type="dxa" w:w="80"/>
              <w:right w:type="dxa" w:w="100"/>
            </w:tcMar>
          </w:tcPr>
          <w:p>
            <w:r>
              <w:rPr>
                <w:b w:val="false"/>
                <w:bCs w:val="false"/>
                <w:color w:val="1F2937"/>
                <w:sz w:val="20"/>
                <w:szCs w:val="20"/>
              </w:rPr>
              <w:t xml:space="preserve">Développement de la plateforme GRC (modules 1 à 6)</w:t>
            </w:r>
          </w:p>
        </w:tc>
      </w:tr>
      <w:tr>
        <w:tc>
          <w:tcPr>
            <w:tcW w:type="dxa" w:w="2600"/>
            <w:shd w:fill="F8FAFC" w:val="clear"/>
            <w:tcMar>
              <w:top w:type="dxa" w:w="80"/>
              <w:left w:type="dxa" w:w="100"/>
              <w:bottom w:type="dxa" w:w="80"/>
              <w:right w:type="dxa" w:w="100"/>
            </w:tcMar>
          </w:tcPr>
          <w:p>
            <w:r>
              <w:rPr>
                <w:b w:val="false"/>
                <w:bCs w:val="false"/>
                <w:color w:val="1F2937"/>
                <w:sz w:val="20"/>
                <w:szCs w:val="20"/>
              </w:rPr>
              <w:t xml:space="preserve">Semaine 6</w:t>
            </w:r>
          </w:p>
        </w:tc>
        <w:tc>
          <w:tcPr>
            <w:tcW w:type="dxa" w:w="6900"/>
            <w:shd w:fill="F8FAFC" w:val="clear"/>
            <w:tcMar>
              <w:top w:type="dxa" w:w="80"/>
              <w:left w:type="dxa" w:w="100"/>
              <w:bottom w:type="dxa" w:w="80"/>
              <w:right w:type="dxa" w:w="100"/>
            </w:tcMar>
          </w:tcPr>
          <w:p>
            <w:r>
              <w:rPr>
                <w:b w:val="false"/>
                <w:bCs w:val="false"/>
                <w:color w:val="1F2937"/>
                <w:sz w:val="20"/>
                <w:szCs w:val="20"/>
              </w:rPr>
              <w:t xml:space="preserve">Intégration IA (Gemini) + liaison topologie ↔ plateforme</w:t>
            </w:r>
          </w:p>
        </w:tc>
      </w:tr>
      <w:tr>
        <w:tc>
          <w:tcPr>
            <w:tcW w:type="dxa" w:w="2600"/>
            <w:shd w:fill="F8FAFC" w:val="clear"/>
            <w:tcMar>
              <w:top w:type="dxa" w:w="80"/>
              <w:left w:type="dxa" w:w="100"/>
              <w:bottom w:type="dxa" w:w="80"/>
              <w:right w:type="dxa" w:w="100"/>
            </w:tcMar>
          </w:tcPr>
          <w:p>
            <w:r>
              <w:rPr>
                <w:b w:val="false"/>
                <w:bCs w:val="false"/>
                <w:color w:val="1F2937"/>
                <w:sz w:val="20"/>
                <w:szCs w:val="20"/>
              </w:rPr>
              <w:t xml:space="preserve">Semaines 7-8</w:t>
            </w:r>
          </w:p>
        </w:tc>
        <w:tc>
          <w:tcPr>
            <w:tcW w:type="dxa" w:w="6900"/>
            <w:shd w:fill="F8FAFC" w:val="clear"/>
            <w:tcMar>
              <w:top w:type="dxa" w:w="80"/>
              <w:left w:type="dxa" w:w="100"/>
              <w:bottom w:type="dxa" w:w="80"/>
              <w:right w:type="dxa" w:w="100"/>
            </w:tcMar>
          </w:tcPr>
          <w:p>
            <w:r>
              <w:rPr>
                <w:b w:val="false"/>
                <w:bCs w:val="false"/>
                <w:color w:val="1F2937"/>
                <w:sz w:val="20"/>
                <w:szCs w:val="20"/>
              </w:rPr>
              <w:t xml:space="preserve">Rédaction du rapport de stage + préparation de la soutenance</w:t>
            </w:r>
          </w:p>
        </w:tc>
      </w:tr>
    </w:tbl>
    <w:p>
      <w:pPr>
        <w:pStyle w:val="Heading1"/>
        <w:spacing w:after="160" w:before="360"/>
      </w:pPr>
      <w:r>
        <w:rPr>
          <w:b/>
          <w:bCs/>
          <w:color w:val="0F766E"/>
          <w:sz w:val="30"/>
          <w:szCs w:val="30"/>
        </w:rPr>
        <w:t xml:space="preserve">8. Table des matières du rapport de stage</w:t>
      </w:r>
    </w:p>
    <w:p>
      <w:pPr>
        <w:pStyle w:val="ListParagraph"/>
        <w:numPr>
          <w:ilvl w:val="0"/>
          <w:numId w:val="2"/>
        </w:numPr>
        <w:spacing w:after="60"/>
      </w:pPr>
      <w:r>
        <w:rPr>
          <w:color w:val="444444"/>
          <w:sz w:val="21"/>
          <w:szCs w:val="21"/>
        </w:rPr>
        <w:t xml:space="preserve">Remerciements</w:t>
      </w:r>
    </w:p>
    <w:p>
      <w:pPr>
        <w:pStyle w:val="ListParagraph"/>
        <w:numPr>
          <w:ilvl w:val="0"/>
          <w:numId w:val="2"/>
        </w:numPr>
        <w:spacing w:after="60"/>
      </w:pPr>
      <w:r>
        <w:rPr>
          <w:color w:val="444444"/>
          <w:sz w:val="21"/>
          <w:szCs w:val="21"/>
        </w:rPr>
        <w:t xml:space="preserve">Liste des abréviations</w:t>
      </w:r>
    </w:p>
    <w:p>
      <w:pPr>
        <w:pStyle w:val="ListParagraph"/>
        <w:numPr>
          <w:ilvl w:val="0"/>
          <w:numId w:val="2"/>
        </w:numPr>
        <w:spacing w:after="60"/>
      </w:pPr>
      <w:r>
        <w:rPr>
          <w:color w:val="444444"/>
          <w:sz w:val="21"/>
          <w:szCs w:val="21"/>
        </w:rPr>
        <w:t xml:space="preserve">Liste des figures / tableaux</w:t>
      </w:r>
    </w:p>
    <w:p>
      <w:pPr>
        <w:pStyle w:val="ListParagraph"/>
        <w:numPr>
          <w:ilvl w:val="0"/>
          <w:numId w:val="2"/>
        </w:numPr>
        <w:spacing w:after="60"/>
      </w:pPr>
      <w:r>
        <w:rPr>
          <w:color w:val="444444"/>
          <w:sz w:val="21"/>
          <w:szCs w:val="21"/>
        </w:rPr>
        <w:t xml:space="preserve">Introduction générale</w:t>
      </w:r>
    </w:p>
    <w:p>
      <w:pPr>
        <w:pStyle w:val="ListParagraph"/>
        <w:numPr>
          <w:ilvl w:val="0"/>
          <w:numId w:val="2"/>
        </w:numPr>
        <w:spacing w:after="60"/>
      </w:pPr>
      <w:r>
        <w:rPr>
          <w:color w:val="444444"/>
          <w:sz w:val="21"/>
          <w:szCs w:val="21"/>
        </w:rPr>
        <w:t xml:space="preserve">Chapitre 1 — Contexte général du stage</w:t>
      </w:r>
    </w:p>
    <w:p>
      <w:pPr>
        <w:pStyle w:val="ListParagraph"/>
        <w:numPr>
          <w:ilvl w:val="1"/>
          <w:numId w:val="2"/>
        </w:numPr>
        <w:spacing w:after="60"/>
      </w:pPr>
      <w:r>
        <w:rPr>
          <w:color w:val="444444"/>
          <w:sz w:val="21"/>
          <w:szCs w:val="21"/>
        </w:rPr>
        <w:t xml:space="preserve">Présentation de la structure d'accueil</w:t>
      </w:r>
    </w:p>
    <w:p>
      <w:pPr>
        <w:pStyle w:val="ListParagraph"/>
        <w:numPr>
          <w:ilvl w:val="1"/>
          <w:numId w:val="2"/>
        </w:numPr>
        <w:spacing w:after="60"/>
      </w:pPr>
      <w:r>
        <w:rPr>
          <w:color w:val="444444"/>
          <w:sz w:val="21"/>
          <w:szCs w:val="21"/>
        </w:rPr>
        <w:t xml:space="preserve">Contexte et problématique</w:t>
      </w:r>
    </w:p>
    <w:p>
      <w:pPr>
        <w:pStyle w:val="ListParagraph"/>
        <w:numPr>
          <w:ilvl w:val="1"/>
          <w:numId w:val="2"/>
        </w:numPr>
        <w:spacing w:after="60"/>
      </w:pPr>
      <w:r>
        <w:rPr>
          <w:color w:val="444444"/>
          <w:sz w:val="21"/>
          <w:szCs w:val="21"/>
        </w:rPr>
        <w:t xml:space="preserve">Objectifs du stage</w:t>
      </w:r>
    </w:p>
    <w:p>
      <w:pPr>
        <w:pStyle w:val="ListParagraph"/>
        <w:numPr>
          <w:ilvl w:val="1"/>
          <w:numId w:val="2"/>
        </w:numPr>
        <w:spacing w:after="60"/>
      </w:pPr>
      <w:r>
        <w:rPr>
          <w:color w:val="444444"/>
          <w:sz w:val="21"/>
          <w:szCs w:val="21"/>
        </w:rPr>
        <w:t xml:space="preserve">Méthodologie de travail et planning</w:t>
      </w:r>
    </w:p>
    <w:p>
      <w:pPr>
        <w:pStyle w:val="ListParagraph"/>
        <w:numPr>
          <w:ilvl w:val="0"/>
          <w:numId w:val="2"/>
        </w:numPr>
        <w:spacing w:after="60"/>
      </w:pPr>
      <w:r>
        <w:rPr>
          <w:color w:val="444444"/>
          <w:sz w:val="21"/>
          <w:szCs w:val="21"/>
        </w:rPr>
        <w:t xml:space="preserve">Chapitre 2 — Cadre théorique et conceptuel</w:t>
      </w:r>
    </w:p>
    <w:p>
      <w:pPr>
        <w:pStyle w:val="ListParagraph"/>
        <w:numPr>
          <w:ilvl w:val="1"/>
          <w:numId w:val="2"/>
        </w:numPr>
        <w:spacing w:after="60"/>
      </w:pPr>
      <w:r>
        <w:rPr>
          <w:color w:val="444444"/>
          <w:sz w:val="21"/>
          <w:szCs w:val="21"/>
        </w:rPr>
        <w:t xml:space="preserve">Notions fondamentales de la GRC</w:t>
      </w:r>
    </w:p>
    <w:p>
      <w:pPr>
        <w:pStyle w:val="ListParagraph"/>
        <w:numPr>
          <w:ilvl w:val="1"/>
          <w:numId w:val="2"/>
        </w:numPr>
        <w:spacing w:after="60"/>
      </w:pPr>
      <w:r>
        <w:rPr>
          <w:color w:val="444444"/>
          <w:sz w:val="21"/>
          <w:szCs w:val="21"/>
        </w:rPr>
        <w:t xml:space="preserve">Présentation de la norme ISO/IEC 27005</w:t>
      </w:r>
    </w:p>
    <w:p>
      <w:pPr>
        <w:pStyle w:val="ListParagraph"/>
        <w:numPr>
          <w:ilvl w:val="1"/>
          <w:numId w:val="2"/>
        </w:numPr>
        <w:spacing w:after="60"/>
      </w:pPr>
      <w:r>
        <w:rPr>
          <w:color w:val="444444"/>
          <w:sz w:val="21"/>
          <w:szCs w:val="21"/>
        </w:rPr>
        <w:t xml:space="preserve">Concepts clés : actif, menace, vulnérabilité, risque, traitement</w:t>
      </w:r>
    </w:p>
    <w:p>
      <w:pPr>
        <w:pStyle w:val="ListParagraph"/>
        <w:numPr>
          <w:ilvl w:val="1"/>
          <w:numId w:val="2"/>
        </w:numPr>
        <w:spacing w:after="60"/>
      </w:pPr>
      <w:r>
        <w:rPr>
          <w:color w:val="444444"/>
          <w:sz w:val="21"/>
          <w:szCs w:val="21"/>
        </w:rPr>
        <w:t xml:space="preserve">Méthode de calcul du risque</w:t>
      </w:r>
    </w:p>
    <w:p>
      <w:pPr>
        <w:pStyle w:val="ListParagraph"/>
        <w:numPr>
          <w:ilvl w:val="1"/>
          <w:numId w:val="2"/>
        </w:numPr>
        <w:spacing w:after="60"/>
      </w:pPr>
      <w:r>
        <w:rPr>
          <w:color w:val="444444"/>
          <w:sz w:val="21"/>
          <w:szCs w:val="21"/>
        </w:rPr>
        <w:t xml:space="preserve">Positionnement par rapport à EBIOS RM</w:t>
      </w:r>
    </w:p>
    <w:p>
      <w:pPr>
        <w:pStyle w:val="ListParagraph"/>
        <w:numPr>
          <w:ilvl w:val="0"/>
          <w:numId w:val="2"/>
        </w:numPr>
        <w:spacing w:after="60"/>
      </w:pPr>
      <w:r>
        <w:rPr>
          <w:color w:val="444444"/>
          <w:sz w:val="21"/>
          <w:szCs w:val="21"/>
        </w:rPr>
        <w:t xml:space="preserve">Chapitre 3 — Analyse et conception du système</w:t>
      </w:r>
    </w:p>
    <w:p>
      <w:pPr>
        <w:pStyle w:val="ListParagraph"/>
        <w:numPr>
          <w:ilvl w:val="1"/>
          <w:numId w:val="2"/>
        </w:numPr>
        <w:spacing w:after="60"/>
      </w:pPr>
      <w:r>
        <w:rPr>
          <w:color w:val="444444"/>
          <w:sz w:val="21"/>
          <w:szCs w:val="21"/>
        </w:rPr>
        <w:t xml:space="preserve">Analyse des besoins fonctionnels</w:t>
      </w:r>
    </w:p>
    <w:p>
      <w:pPr>
        <w:pStyle w:val="ListParagraph"/>
        <w:numPr>
          <w:ilvl w:val="1"/>
          <w:numId w:val="2"/>
        </w:numPr>
        <w:spacing w:after="60"/>
      </w:pPr>
      <w:r>
        <w:rPr>
          <w:color w:val="444444"/>
          <w:sz w:val="21"/>
          <w:szCs w:val="21"/>
        </w:rPr>
        <w:t xml:space="preserve">Spécifications fonctionnelles des 6 modules</w:t>
      </w:r>
    </w:p>
    <w:p>
      <w:pPr>
        <w:pStyle w:val="ListParagraph"/>
        <w:numPr>
          <w:ilvl w:val="1"/>
          <w:numId w:val="2"/>
        </w:numPr>
        <w:spacing w:after="60"/>
      </w:pPr>
      <w:r>
        <w:rPr>
          <w:color w:val="444444"/>
          <w:sz w:val="21"/>
          <w:szCs w:val="21"/>
        </w:rPr>
        <w:t xml:space="preserve">Modélisation des données</w:t>
      </w:r>
    </w:p>
    <w:p>
      <w:pPr>
        <w:pStyle w:val="ListParagraph"/>
        <w:numPr>
          <w:ilvl w:val="1"/>
          <w:numId w:val="2"/>
        </w:numPr>
        <w:spacing w:after="60"/>
      </w:pPr>
      <w:r>
        <w:rPr>
          <w:color w:val="444444"/>
          <w:sz w:val="21"/>
          <w:szCs w:val="21"/>
        </w:rPr>
        <w:t xml:space="preserve">Architecture technique</w:t>
      </w:r>
    </w:p>
    <w:p>
      <w:pPr>
        <w:pStyle w:val="ListParagraph"/>
        <w:numPr>
          <w:ilvl w:val="1"/>
          <w:numId w:val="2"/>
        </w:numPr>
        <w:spacing w:after="60"/>
      </w:pPr>
      <w:r>
        <w:rPr>
          <w:color w:val="444444"/>
          <w:sz w:val="21"/>
          <w:szCs w:val="21"/>
        </w:rPr>
        <w:t xml:space="preserve">Diagrammes (cas d'utilisation, classes ou flux)</w:t>
      </w:r>
    </w:p>
    <w:p>
      <w:pPr>
        <w:pStyle w:val="ListParagraph"/>
        <w:numPr>
          <w:ilvl w:val="0"/>
          <w:numId w:val="2"/>
        </w:numPr>
        <w:spacing w:after="60"/>
      </w:pPr>
      <w:r>
        <w:rPr>
          <w:color w:val="444444"/>
          <w:sz w:val="21"/>
          <w:szCs w:val="21"/>
        </w:rPr>
        <w:t xml:space="preserve">Chapitre 4 — Réalisation de l'application</w:t>
      </w:r>
    </w:p>
    <w:p>
      <w:pPr>
        <w:pStyle w:val="ListParagraph"/>
        <w:numPr>
          <w:ilvl w:val="1"/>
          <w:numId w:val="2"/>
        </w:numPr>
        <w:spacing w:after="60"/>
      </w:pPr>
      <w:r>
        <w:rPr>
          <w:color w:val="444444"/>
          <w:sz w:val="21"/>
          <w:szCs w:val="21"/>
        </w:rPr>
        <w:t xml:space="preserve">Environnement de développement</w:t>
      </w:r>
    </w:p>
    <w:p>
      <w:pPr>
        <w:pStyle w:val="ListParagraph"/>
        <w:numPr>
          <w:ilvl w:val="1"/>
          <w:numId w:val="2"/>
        </w:numPr>
        <w:spacing w:after="60"/>
      </w:pPr>
      <w:r>
        <w:rPr>
          <w:color w:val="444444"/>
          <w:sz w:val="21"/>
          <w:szCs w:val="21"/>
        </w:rPr>
        <w:t xml:space="preserve">Modules 1 à 6 (développement détaillé)</w:t>
      </w:r>
    </w:p>
    <w:p>
      <w:pPr>
        <w:pStyle w:val="ListParagraph"/>
        <w:numPr>
          <w:ilvl w:val="1"/>
          <w:numId w:val="2"/>
        </w:numPr>
        <w:spacing w:after="60"/>
      </w:pPr>
      <w:r>
        <w:rPr>
          <w:color w:val="444444"/>
          <w:sz w:val="21"/>
          <w:szCs w:val="21"/>
        </w:rPr>
        <w:t xml:space="preserve">Interface utilisateur (captures d'écran)</w:t>
      </w:r>
    </w:p>
    <w:p>
      <w:pPr>
        <w:pStyle w:val="ListParagraph"/>
        <w:numPr>
          <w:ilvl w:val="0"/>
          <w:numId w:val="2"/>
        </w:numPr>
        <w:spacing w:after="60"/>
      </w:pPr>
      <w:r>
        <w:rPr>
          <w:color w:val="444444"/>
          <w:sz w:val="21"/>
          <w:szCs w:val="21"/>
        </w:rPr>
        <w:t xml:space="preserve">Chapitre 5 — Cas pratique : simulation et démonstration</w:t>
      </w:r>
    </w:p>
    <w:p>
      <w:pPr>
        <w:pStyle w:val="ListParagraph"/>
        <w:numPr>
          <w:ilvl w:val="1"/>
          <w:numId w:val="2"/>
        </w:numPr>
        <w:spacing w:after="60"/>
      </w:pPr>
      <w:r>
        <w:rPr>
          <w:color w:val="444444"/>
          <w:sz w:val="21"/>
          <w:szCs w:val="21"/>
        </w:rPr>
        <w:t xml:space="preserve">Entreprise fictive et topologie Packet Tracer</w:t>
      </w:r>
    </w:p>
    <w:p>
      <w:pPr>
        <w:pStyle w:val="ListParagraph"/>
        <w:numPr>
          <w:ilvl w:val="1"/>
          <w:numId w:val="2"/>
        </w:numPr>
        <w:spacing w:after="60"/>
      </w:pPr>
      <w:r>
        <w:rPr>
          <w:color w:val="444444"/>
          <w:sz w:val="21"/>
          <w:szCs w:val="21"/>
        </w:rPr>
        <w:t xml:space="preserve">Scénarios d'incidents simulés</w:t>
      </w:r>
    </w:p>
    <w:p>
      <w:pPr>
        <w:pStyle w:val="ListParagraph"/>
        <w:numPr>
          <w:ilvl w:val="1"/>
          <w:numId w:val="2"/>
        </w:numPr>
        <w:spacing w:after="60"/>
      </w:pPr>
      <w:r>
        <w:rPr>
          <w:color w:val="444444"/>
          <w:sz w:val="21"/>
          <w:szCs w:val="21"/>
        </w:rPr>
        <w:t xml:space="preserve">Application du modèle GRC au cas pratique</w:t>
      </w:r>
    </w:p>
    <w:p>
      <w:pPr>
        <w:pStyle w:val="ListParagraph"/>
        <w:numPr>
          <w:ilvl w:val="1"/>
          <w:numId w:val="2"/>
        </w:numPr>
        <w:spacing w:after="60"/>
      </w:pPr>
      <w:r>
        <w:rPr>
          <w:color w:val="444444"/>
          <w:sz w:val="21"/>
          <w:szCs w:val="21"/>
        </w:rPr>
        <w:t xml:space="preserve">Résultats et rapport d'audit généré</w:t>
      </w:r>
    </w:p>
    <w:p>
      <w:pPr>
        <w:pStyle w:val="ListParagraph"/>
        <w:numPr>
          <w:ilvl w:val="0"/>
          <w:numId w:val="2"/>
        </w:numPr>
        <w:spacing w:after="60"/>
      </w:pPr>
      <w:r>
        <w:rPr>
          <w:color w:val="444444"/>
          <w:sz w:val="21"/>
          <w:szCs w:val="21"/>
        </w:rPr>
        <w:t xml:space="preserve">Chapitre 6 — Bilan et perspectives</w:t>
      </w:r>
    </w:p>
    <w:p>
      <w:pPr>
        <w:pStyle w:val="ListParagraph"/>
        <w:numPr>
          <w:ilvl w:val="1"/>
          <w:numId w:val="2"/>
        </w:numPr>
        <w:spacing w:after="60"/>
      </w:pPr>
      <w:r>
        <w:rPr>
          <w:color w:val="444444"/>
          <w:sz w:val="21"/>
          <w:szCs w:val="21"/>
        </w:rPr>
        <w:t xml:space="preserve">Difficultés rencontrées et solutions</w:t>
      </w:r>
    </w:p>
    <w:p>
      <w:pPr>
        <w:pStyle w:val="ListParagraph"/>
        <w:numPr>
          <w:ilvl w:val="1"/>
          <w:numId w:val="2"/>
        </w:numPr>
        <w:spacing w:after="60"/>
      </w:pPr>
      <w:r>
        <w:rPr>
          <w:color w:val="444444"/>
          <w:sz w:val="21"/>
          <w:szCs w:val="21"/>
        </w:rPr>
        <w:t xml:space="preserve">Compétences acquises</w:t>
      </w:r>
    </w:p>
    <w:p>
      <w:pPr>
        <w:pStyle w:val="ListParagraph"/>
        <w:numPr>
          <w:ilvl w:val="1"/>
          <w:numId w:val="2"/>
        </w:numPr>
        <w:spacing w:after="60"/>
      </w:pPr>
      <w:r>
        <w:rPr>
          <w:color w:val="444444"/>
          <w:sz w:val="21"/>
          <w:szCs w:val="21"/>
        </w:rPr>
        <w:t xml:space="preserve">Limites du projet</w:t>
      </w:r>
    </w:p>
    <w:p>
      <w:pPr>
        <w:pStyle w:val="ListParagraph"/>
        <w:numPr>
          <w:ilvl w:val="1"/>
          <w:numId w:val="2"/>
        </w:numPr>
        <w:spacing w:after="60"/>
      </w:pPr>
      <w:r>
        <w:rPr>
          <w:color w:val="444444"/>
          <w:sz w:val="21"/>
          <w:szCs w:val="21"/>
        </w:rPr>
        <w:t xml:space="preserve">Perspectives d'amélioration</w:t>
      </w:r>
    </w:p>
    <w:p>
      <w:pPr>
        <w:pStyle w:val="ListParagraph"/>
        <w:numPr>
          <w:ilvl w:val="0"/>
          <w:numId w:val="2"/>
        </w:numPr>
        <w:spacing w:after="60"/>
      </w:pPr>
      <w:r>
        <w:rPr>
          <w:color w:val="444444"/>
          <w:sz w:val="21"/>
          <w:szCs w:val="21"/>
        </w:rPr>
        <w:t xml:space="preserve">Conclusion générale</w:t>
      </w:r>
    </w:p>
    <w:p>
      <w:pPr>
        <w:pStyle w:val="ListParagraph"/>
        <w:numPr>
          <w:ilvl w:val="0"/>
          <w:numId w:val="2"/>
        </w:numPr>
        <w:spacing w:after="60"/>
      </w:pPr>
      <w:r>
        <w:rPr>
          <w:color w:val="444444"/>
          <w:sz w:val="21"/>
          <w:szCs w:val="21"/>
        </w:rPr>
        <w:t xml:space="preserve">Bibliographie / Webographie</w:t>
      </w:r>
    </w:p>
    <w:p>
      <w:pPr>
        <w:pStyle w:val="ListParagraph"/>
        <w:numPr>
          <w:ilvl w:val="0"/>
          <w:numId w:val="2"/>
        </w:numPr>
        <w:spacing w:after="60"/>
      </w:pPr>
      <w:r>
        <w:rPr>
          <w:color w:val="444444"/>
          <w:sz w:val="21"/>
          <w:szCs w:val="21"/>
        </w:rPr>
        <w:t xml:space="preserve">Annexes</w:t>
      </w:r>
    </w:p>
    <w:p>
      <w:pPr>
        <w:pStyle w:val="Heading1"/>
        <w:spacing w:after="160" w:before="360"/>
      </w:pPr>
      <w:r>
        <w:rPr>
          <w:b/>
          <w:bCs/>
          <w:color w:val="0F766E"/>
          <w:sz w:val="30"/>
          <w:szCs w:val="30"/>
        </w:rPr>
        <w:t xml:space="preserve">9. Points restant à valider</w:t>
      </w:r>
    </w:p>
    <w:p>
      <w:pPr>
        <w:pStyle w:val="ListParagraph"/>
        <w:numPr>
          <w:ilvl w:val="0"/>
          <w:numId w:val="2"/>
        </w:numPr>
        <w:spacing w:after="60"/>
      </w:pPr>
      <w:r>
        <w:rPr>
          <w:color w:val="444444"/>
          <w:sz w:val="21"/>
          <w:szCs w:val="21"/>
        </w:rPr>
        <w:t xml:space="preserve">Confirmation officielle de la structure d'accueil du stage.</w:t>
      </w:r>
    </w:p>
    <w:p>
      <w:pPr>
        <w:pStyle w:val="ListParagraph"/>
        <w:numPr>
          <w:ilvl w:val="0"/>
          <w:numId w:val="2"/>
        </w:numPr>
        <w:spacing w:after="60"/>
      </w:pPr>
      <w:r>
        <w:rPr>
          <w:color w:val="444444"/>
          <w:sz w:val="21"/>
          <w:szCs w:val="21"/>
        </w:rPr>
        <w:t xml:space="preserve">Validation du thème reformulé auprès de l'encadrant académique.</w:t>
      </w:r>
    </w:p>
    <w:p>
      <w:pPr>
        <w:pStyle w:val="ListParagraph"/>
        <w:numPr>
          <w:ilvl w:val="0"/>
          <w:numId w:val="2"/>
        </w:numPr>
        <w:spacing w:after="60"/>
      </w:pPr>
      <w:r>
        <w:rPr>
          <w:color w:val="444444"/>
          <w:sz w:val="21"/>
          <w:szCs w:val="21"/>
        </w:rPr>
        <w:t xml:space="preserve">Création de la clé API Google Gemini.</w:t>
      </w:r>
    </w:p>
    <w:p>
      <w:pPr>
        <w:pStyle w:val="ListParagraph"/>
        <w:numPr>
          <w:ilvl w:val="0"/>
          <w:numId w:val="2"/>
        </w:numPr>
        <w:spacing w:after="60"/>
      </w:pPr>
      <w:r>
        <w:rPr>
          <w:color w:val="444444"/>
          <w:sz w:val="21"/>
          <w:szCs w:val="21"/>
        </w:rPr>
        <w:t xml:space="preserve">Confirmation du calendrier définitif avec l'encadrant.</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2026-07-14T20:06:14.805Z</dcterms:created>
  <dcterms:modified xsi:type="dcterms:W3CDTF">2026-07-14T20:06:14.818Z</dcterms:modified>
</cp:coreProperties>
</file>

<file path=docProps/custom.xml><?xml version="1.0" encoding="utf-8"?>
<Properties xmlns="http://schemas.openxmlformats.org/officeDocument/2006/custom-properties" xmlns:vt="http://schemas.openxmlformats.org/officeDocument/2006/docPropsVTypes"/>
</file>