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0F766E"/>
          <w:sz w:val="48"/>
          <w:szCs w:val="48"/>
        </w:rPr>
        <w:t xml:space="preserve">RAPPORT DE STAGE</w:t>
      </w:r>
    </w:p>
    <w:p>
      <w:pPr>
        <w:spacing w:after="40"/>
        <w:jc w:val="center"/>
      </w:pPr>
      <w:r>
        <w:rPr>
          <w:b/>
          <w:bCs/>
          <w:color w:val="1F2937"/>
          <w:sz w:val="28"/>
          <w:szCs w:val="28"/>
        </w:rPr>
        <w:t xml:space="preserve">Conception et développement d'une plateforme web GRC</w:t>
      </w:r>
    </w:p>
    <w:p>
      <w:pPr>
        <w:spacing w:after="500"/>
        <w:jc w:val="center"/>
      </w:pPr>
      <w:r>
        <w:rPr>
          <w:i/>
          <w:iCs/>
          <w:color w:val="444444"/>
          <w:sz w:val="22"/>
          <w:szCs w:val="22"/>
        </w:rPr>
        <w:t xml:space="preserve">inspirée de la norme ISO/IEC 27005</w:t>
      </w:r>
    </w:p>
    <w:p>
      <w:pPr>
        <w:spacing w:after="30"/>
        <w:jc w:val="center"/>
      </w:pPr>
      <w:r>
        <w:rPr>
          <w:b/>
          <w:bCs/>
          <w:color w:val="444444"/>
          <w:sz w:val="22"/>
          <w:szCs w:val="22"/>
        </w:rPr>
        <w:t xml:space="preserve">Abdoul Aziz Adamou</w:t>
      </w:r>
    </w:p>
    <w:p>
      <w:pPr>
        <w:spacing w:after="30"/>
        <w:jc w:val="center"/>
      </w:pPr>
      <w:r>
        <w:rPr>
          <w:color w:val="444444"/>
          <w:sz w:val="20"/>
          <w:szCs w:val="20"/>
        </w:rPr>
        <w:t xml:space="preserve">Licence 3 — Cybersécurité et Réseaux</w:t>
      </w:r>
    </w:p>
    <w:p>
      <w:pPr>
        <w:spacing w:after="400"/>
        <w:jc w:val="center"/>
      </w:pPr>
      <w:r>
        <w:rPr>
          <w:color w:val="444444"/>
          <w:sz w:val="20"/>
          <w:szCs w:val="20"/>
        </w:rPr>
        <w:t xml:space="preserve">Niamey, Niger — 2026</w:t>
      </w:r>
    </w:p>
    <w:p>
      <w:r>
        <w:br w:type="page"/>
      </w:r>
    </w:p>
    <w:p>
      <w:pPr>
        <w:pStyle w:val="Heading1"/>
        <w:pBdr>
          <w:bottom w:val="single" w:color="0F766E" w:sz="6" w:space="4"/>
        </w:pBdr>
        <w:spacing w:after="200" w:before="400"/>
      </w:pPr>
      <w:r>
        <w:rPr>
          <w:b/>
          <w:bCs/>
          <w:color w:val="0F766E"/>
          <w:sz w:val="30"/>
          <w:szCs w:val="30"/>
        </w:rPr>
        <w:t xml:space="preserve">Introduction générale</w:t>
      </w:r>
    </w:p>
    <w:p>
      <w:pPr>
        <w:spacing w:after="140"/>
      </w:pPr>
      <w:r>
        <w:rPr>
          <w:color w:val="444444"/>
          <w:sz w:val="21"/>
          <w:szCs w:val="21"/>
        </w:rPr>
        <w:t xml:space="preserve">La gestion des risques informatiques est aujourd'hui un enjeu central pour toute organisation manipulant des données et des systèmes numériques. Pourtant, de nombreuses structures — en particulier les PME en Afrique francophone — ne disposent d'aucun outil accessible pour mener une démarche structurée d'analyse de risques.</w:t>
      </w:r>
    </w:p>
    <w:p>
      <w:pPr>
        <w:spacing w:after="140"/>
      </w:pPr>
      <w:r>
        <w:rPr>
          <w:color w:val="444444"/>
          <w:sz w:val="21"/>
          <w:szCs w:val="21"/>
        </w:rPr>
        <w:t xml:space="preserve">Ce stage vise à concevoir et développer une plateforme web permettant de mener une analyse de risques informatiques inspirée de la norme internationale ISO/IEC 27005, du recensement des actifs jusqu'à la génération de rapports d'audit et de recommandations. La démonstration du fonctionnement de l'outil s'appuiera sur la simulation d'une entreprise fictive à l'aide de Cisco Packet Tracer, permettant d'ancrer les concepts dans un contexte réseau réaliste.</w:t>
      </w:r>
    </w:p>
    <w:p>
      <w:pPr>
        <w:spacing w:after="140"/>
      </w:pPr>
      <w:r>
        <w:rPr>
          <w:color w:val="444444"/>
          <w:sz w:val="21"/>
          <w:szCs w:val="21"/>
        </w:rPr>
        <w:t xml:space="preserve">Ce rapport présente successivement le contexte du stage, le cadre théorique mobilisé (GRC, ISO 27005, mais aussi les fondamentaux réseaux nécessaires à la démonstration), la conception et la réalisation de la plateforme, le cas pratique de démonstration, puis un bilan critique du travail réalisé.</w:t>
      </w:r>
    </w:p>
    <w:p>
      <w:r>
        <w:br w:type="page"/>
      </w:r>
    </w:p>
    <w:p>
      <w:pPr>
        <w:pStyle w:val="Heading1"/>
        <w:pBdr>
          <w:bottom w:val="single" w:color="0F766E" w:sz="6" w:space="4"/>
        </w:pBdr>
        <w:spacing w:after="200" w:before="400"/>
      </w:pPr>
      <w:r>
        <w:rPr>
          <w:b/>
          <w:bCs/>
          <w:color w:val="0F766E"/>
          <w:sz w:val="30"/>
          <w:szCs w:val="30"/>
        </w:rPr>
        <w:t xml:space="preserve">Chapitre 1 — Contexte général du stage</w:t>
      </w:r>
    </w:p>
    <w:p>
      <w:pPr>
        <w:pStyle w:val="Heading2"/>
        <w:spacing w:after="120" w:before="280"/>
      </w:pPr>
      <w:r>
        <w:rPr>
          <w:b/>
          <w:bCs/>
          <w:color w:val="1F2937"/>
          <w:sz w:val="24"/>
          <w:szCs w:val="24"/>
        </w:rPr>
        <w:t xml:space="preserve">1.1. Présentation de la structure d'accueil</w:t>
      </w:r>
    </w:p>
    <w:p>
      <w:pPr>
        <w:spacing w:after="140"/>
      </w:pPr>
      <w:r>
        <w:rPr>
          <w:color w:val="444444"/>
          <w:sz w:val="21"/>
          <w:szCs w:val="21"/>
        </w:rPr>
        <w:t xml:space="preserve">[À compléter selon la structure d'accueil confirmée : nom, secteur d'activité, taille, organisation interne, et éventuellement service ou équipe d'affectation durant le stage.]</w:t>
      </w:r>
    </w:p>
    <w:p>
      <w:pPr>
        <w:pStyle w:val="Heading2"/>
        <w:spacing w:after="120" w:before="280"/>
      </w:pPr>
      <w:r>
        <w:rPr>
          <w:b/>
          <w:bCs/>
          <w:color w:val="1F2937"/>
          <w:sz w:val="24"/>
          <w:szCs w:val="24"/>
        </w:rPr>
        <w:t xml:space="preserve">1.2. Contexte et problématique</w:t>
      </w:r>
    </w:p>
    <w:p>
      <w:pPr>
        <w:spacing w:after="140"/>
      </w:pPr>
      <w:r>
        <w:rPr>
          <w:color w:val="444444"/>
          <w:sz w:val="21"/>
          <w:szCs w:val="21"/>
        </w:rPr>
        <w:t xml:space="preserve">De nombreuses organisations ne disposent d'aucune cartographie de leurs actifs informationnels ni de démarche formalisée d'identification et de traitement des risques. Les référentiels existants (ISO/IEC 27005, EBIOS RM) sont reconnus mais perçus comme complexes et réservés aux grandes structures dotées d'équipes sécurité dédiées.</w:t>
      </w:r>
    </w:p>
    <w:p>
      <w:pPr>
        <w:spacing w:after="140"/>
      </w:pPr>
      <w:r>
        <w:rPr>
          <w:color w:val="444444"/>
          <w:sz w:val="21"/>
          <w:szCs w:val="21"/>
        </w:rPr>
        <w:t xml:space="preserve">Problématique retenue : comment permettre à une organisation de mener une démarche d'analyse de risques structurée, inspirée d'ISO/IEC 27005, à l'aide d'un outil web guidé, accessible, et partiellement assisté par l'intelligence artificielle ?</w:t>
      </w:r>
    </w:p>
    <w:p>
      <w:pPr>
        <w:pStyle w:val="Heading2"/>
        <w:spacing w:after="120" w:before="280"/>
      </w:pPr>
      <w:r>
        <w:rPr>
          <w:b/>
          <w:bCs/>
          <w:color w:val="1F2937"/>
          <w:sz w:val="24"/>
          <w:szCs w:val="24"/>
        </w:rPr>
        <w:t xml:space="preserve">1.3. Objectifs du stage</w:t>
      </w:r>
    </w:p>
    <w:p>
      <w:pPr>
        <w:pStyle w:val="ListParagraph"/>
        <w:numPr>
          <w:ilvl w:val="0"/>
          <w:numId w:val="2"/>
        </w:numPr>
        <w:spacing w:after="60"/>
      </w:pPr>
      <w:r>
        <w:rPr>
          <w:color w:val="444444"/>
          <w:sz w:val="21"/>
          <w:szCs w:val="21"/>
        </w:rPr>
        <w:t xml:space="preserve">S'approprier les fondamentaux de la norme ISO/IEC 27005.</w:t>
      </w:r>
    </w:p>
    <w:p>
      <w:pPr>
        <w:pStyle w:val="ListParagraph"/>
        <w:numPr>
          <w:ilvl w:val="0"/>
          <w:numId w:val="2"/>
        </w:numPr>
        <w:spacing w:after="60"/>
      </w:pPr>
      <w:r>
        <w:rPr>
          <w:color w:val="444444"/>
          <w:sz w:val="21"/>
          <w:szCs w:val="21"/>
        </w:rPr>
        <w:t xml:space="preserve">Concevoir et développer une plateforme web d'analyse de risques de bout en bout.</w:t>
      </w:r>
    </w:p>
    <w:p>
      <w:pPr>
        <w:pStyle w:val="ListParagraph"/>
        <w:numPr>
          <w:ilvl w:val="0"/>
          <w:numId w:val="2"/>
        </w:numPr>
        <w:spacing w:after="60"/>
      </w:pPr>
      <w:r>
        <w:rPr>
          <w:color w:val="444444"/>
          <w:sz w:val="21"/>
          <w:szCs w:val="21"/>
        </w:rPr>
        <w:t xml:space="preserve">Illustrer l'usage de la plateforme sur un cas pratique simulé (topologie réseau d'entreprise fictive).</w:t>
      </w:r>
    </w:p>
    <w:p>
      <w:pPr>
        <w:pStyle w:val="ListParagraph"/>
        <w:numPr>
          <w:ilvl w:val="0"/>
          <w:numId w:val="2"/>
        </w:numPr>
        <w:spacing w:after="60"/>
      </w:pPr>
      <w:r>
        <w:rPr>
          <w:color w:val="444444"/>
          <w:sz w:val="21"/>
          <w:szCs w:val="21"/>
        </w:rPr>
        <w:t xml:space="preserve">Produire une documentation académique complète et un livrable technique fonctionnel.</w:t>
      </w:r>
    </w:p>
    <w:p>
      <w:pPr>
        <w:pStyle w:val="Heading2"/>
        <w:spacing w:after="120" w:before="280"/>
      </w:pPr>
      <w:r>
        <w:rPr>
          <w:b/>
          <w:bCs/>
          <w:color w:val="1F2937"/>
          <w:sz w:val="24"/>
          <w:szCs w:val="24"/>
        </w:rPr>
        <w:t xml:space="preserve">1.4. Méthodologie de travail et planning</w:t>
      </w:r>
    </w:p>
    <w:p>
      <w:pPr>
        <w:spacing w:after="140"/>
      </w:pPr>
      <w:r>
        <w:rPr>
          <w:color w:val="444444"/>
          <w:sz w:val="21"/>
          <w:szCs w:val="21"/>
        </w:rPr>
        <w:t xml:space="preserve">Le travail est organisé en 7 à 8 semaines, structurées en quatre grandes phases : appropriation méthodologique et modélisation, construction du cas pratique réseau, développement de la plateforme, puis rédaction et préparation de la soutenance.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0F766E" w:val="clear"/>
            <w:tcMar>
              <w:top w:type="dxa" w:w="80"/>
              <w:left w:type="dxa" w:w="100"/>
              <w:bottom w:type="dxa" w:w="80"/>
              <w:right w:type="dxa" w:w="100"/>
            </w:tcMar>
          </w:tcPr>
          <w:p>
            <w:r>
              <w:rPr>
                <w:b/>
                <w:bCs/>
                <w:color w:val="FFFFFF"/>
                <w:sz w:val="20"/>
                <w:szCs w:val="20"/>
              </w:rPr>
              <w:t xml:space="preserve">Période</w:t>
            </w:r>
          </w:p>
        </w:tc>
        <w:tc>
          <w:tcPr>
            <w:tcW w:type="dxa" w:w="6900"/>
            <w:shd w:fill="0F766E" w:val="clear"/>
            <w:tcMar>
              <w:top w:type="dxa" w:w="80"/>
              <w:left w:type="dxa" w:w="100"/>
              <w:bottom w:type="dxa" w:w="80"/>
              <w:right w:type="dxa" w:w="100"/>
            </w:tcMar>
          </w:tcPr>
          <w:p>
            <w:r>
              <w:rPr>
                <w:b/>
                <w:bCs/>
                <w:color w:val="FFFFFF"/>
                <w:sz w:val="20"/>
                <w:szCs w:val="20"/>
              </w:rPr>
              <w:t xml:space="preserve">Activité</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 1</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Modélisation des données + topologie Packet Tracer</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 2</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Préparation des scénarios d'incidents réseau</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Semaines 3-5</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Développement de la plateforme (modules fonctionnels)</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 6</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Intégration de l'IA et liaison avec le cas pratique</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Semaines 7-8</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Rédaction du rapport et préparation de la soutenance</w:t>
            </w:r>
          </w:p>
        </w:tc>
      </w:tr>
    </w:tbl>
    <w:p>
      <w:r>
        <w:br w:type="page"/>
      </w:r>
    </w:p>
    <w:p>
      <w:pPr>
        <w:pStyle w:val="Heading1"/>
        <w:pBdr>
          <w:bottom w:val="single" w:color="0F766E" w:sz="6" w:space="4"/>
        </w:pBdr>
        <w:spacing w:after="200" w:before="400"/>
      </w:pPr>
      <w:r>
        <w:rPr>
          <w:b/>
          <w:bCs/>
          <w:color w:val="0F766E"/>
          <w:sz w:val="30"/>
          <w:szCs w:val="30"/>
        </w:rPr>
        <w:t xml:space="preserve">Chapitre 2 — Cadre théorique et conceptuel</w:t>
      </w:r>
    </w:p>
    <w:p>
      <w:pPr>
        <w:pStyle w:val="Heading2"/>
        <w:spacing w:after="120" w:before="280"/>
      </w:pPr>
      <w:r>
        <w:rPr>
          <w:b/>
          <w:bCs/>
          <w:color w:val="1F2937"/>
          <w:sz w:val="24"/>
          <w:szCs w:val="24"/>
        </w:rPr>
        <w:t xml:space="preserve">2.1. Notions fondamentales de la GRC</w:t>
      </w:r>
    </w:p>
    <w:p>
      <w:pPr>
        <w:spacing w:after="140"/>
      </w:pPr>
      <w:r>
        <w:rPr>
          <w:color w:val="444444"/>
          <w:sz w:val="21"/>
          <w:szCs w:val="21"/>
        </w:rPr>
        <w:t xml:space="preserve">La GRC (Gouvernance, Risques, Conformité) désigne l'ensemble des dispositifs permettant à une organisation de piloter ses activités dans le respect de ses objectifs, de sa réglementation et de sa tolérance au risque. En sécurité de l'information, la GRC relie trois dimensions : la gouvernance (qui décide et comment), le risque (ce qui pourrait compromettre les objectifs) et la conformité (le respect des normes et obligations).</w:t>
      </w:r>
    </w:p>
    <w:p>
      <w:pPr>
        <w:pStyle w:val="Heading2"/>
        <w:spacing w:after="120" w:before="280"/>
      </w:pPr>
      <w:r>
        <w:rPr>
          <w:b/>
          <w:bCs/>
          <w:color w:val="1F2937"/>
          <w:sz w:val="24"/>
          <w:szCs w:val="24"/>
        </w:rPr>
        <w:t xml:space="preserve">2.2. Présentation de la norme ISO/IEC 27005</w:t>
      </w:r>
    </w:p>
    <w:p>
      <w:pPr>
        <w:spacing w:after="140"/>
      </w:pPr>
      <w:r>
        <w:rPr>
          <w:color w:val="444444"/>
          <w:sz w:val="21"/>
          <w:szCs w:val="21"/>
        </w:rPr>
        <w:t xml:space="preserve">ISO/IEC 27005 est une norme internationale qui fournit des lignes directrices pour la gestion des risques liés à la sécurité de l'information. Elle ne définit pas une méthode figée mais un cadre méthodologique : identification du contexte, appréciation des risques (identification, analyse, évaluation), traitement des risques, puis acceptation, communication et surveillance continue.</w:t>
      </w:r>
    </w:p>
    <w:p>
      <w:pPr>
        <w:pStyle w:val="Heading2"/>
        <w:spacing w:after="120" w:before="280"/>
      </w:pPr>
      <w:r>
        <w:rPr>
          <w:b/>
          <w:bCs/>
          <w:color w:val="1F2937"/>
          <w:sz w:val="24"/>
          <w:szCs w:val="24"/>
        </w:rPr>
        <w:t xml:space="preserve">2.3. Concepts clés</w:t>
      </w:r>
    </w:p>
    <w:p>
      <w:pPr>
        <w:pStyle w:val="ListParagraph"/>
        <w:numPr>
          <w:ilvl w:val="0"/>
          <w:numId w:val="2"/>
        </w:numPr>
        <w:spacing w:after="60"/>
      </w:pPr>
      <w:r>
        <w:rPr>
          <w:color w:val="444444"/>
          <w:sz w:val="21"/>
          <w:szCs w:val="21"/>
        </w:rPr>
        <w:t xml:space="preserve">Actif : tout élément ayant de la valeur pour l'organisation (matériel, logiciel, donnée, personne, image).</w:t>
      </w:r>
    </w:p>
    <w:p>
      <w:pPr>
        <w:pStyle w:val="ListParagraph"/>
        <w:numPr>
          <w:ilvl w:val="0"/>
          <w:numId w:val="2"/>
        </w:numPr>
        <w:spacing w:after="60"/>
      </w:pPr>
      <w:r>
        <w:rPr>
          <w:color w:val="444444"/>
          <w:sz w:val="21"/>
          <w:szCs w:val="21"/>
        </w:rPr>
        <w:t xml:space="preserve">Menace : cause potentielle d'un incident pouvant nuire à un actif (ex : intrusion, panne, erreur humaine).</w:t>
      </w:r>
    </w:p>
    <w:p>
      <w:pPr>
        <w:pStyle w:val="ListParagraph"/>
        <w:numPr>
          <w:ilvl w:val="0"/>
          <w:numId w:val="2"/>
        </w:numPr>
        <w:spacing w:after="60"/>
      </w:pPr>
      <w:r>
        <w:rPr>
          <w:color w:val="444444"/>
          <w:sz w:val="21"/>
          <w:szCs w:val="21"/>
        </w:rPr>
        <w:t xml:space="preserve">Vulnérabilité : faiblesse d'un actif exploitable par une menace (ex : absence de mise à jour, mot de passe faible).</w:t>
      </w:r>
    </w:p>
    <w:p>
      <w:pPr>
        <w:pStyle w:val="ListParagraph"/>
        <w:numPr>
          <w:ilvl w:val="0"/>
          <w:numId w:val="2"/>
        </w:numPr>
        <w:spacing w:after="60"/>
      </w:pPr>
      <w:r>
        <w:rPr>
          <w:color w:val="444444"/>
          <w:sz w:val="21"/>
          <w:szCs w:val="21"/>
        </w:rPr>
        <w:t xml:space="preserve">Risque : combinaison de la vraisemblance qu'une menace exploite une vulnérabilité et de l'impact qui en résulterait.</w:t>
      </w:r>
    </w:p>
    <w:p>
      <w:pPr>
        <w:pStyle w:val="ListParagraph"/>
        <w:numPr>
          <w:ilvl w:val="0"/>
          <w:numId w:val="2"/>
        </w:numPr>
        <w:spacing w:after="60"/>
      </w:pPr>
      <w:r>
        <w:rPr>
          <w:color w:val="444444"/>
          <w:sz w:val="21"/>
          <w:szCs w:val="21"/>
        </w:rPr>
        <w:t xml:space="preserve">Traitement du risque : décision et action prise face à un risque identifié (modifier, éviter, transférer ou accepter).</w:t>
      </w:r>
    </w:p>
    <w:p>
      <w:pPr>
        <w:pStyle w:val="Heading2"/>
        <w:spacing w:after="120" w:before="280"/>
      </w:pPr>
      <w:r>
        <w:rPr>
          <w:b/>
          <w:bCs/>
          <w:color w:val="1F2937"/>
          <w:sz w:val="24"/>
          <w:szCs w:val="24"/>
        </w:rPr>
        <w:t xml:space="preserve">2.4. Méthode de calcul du risque retenue</w:t>
      </w:r>
    </w:p>
    <w:p>
      <w:pPr>
        <w:spacing w:after="140"/>
      </w:pPr>
      <w:r>
        <w:rPr>
          <w:color w:val="444444"/>
          <w:sz w:val="21"/>
          <w:szCs w:val="21"/>
        </w:rPr>
        <w:t xml:space="preserve">Le score de risque est calculé selon la formule : Score = Vraisemblance × Impact maximal, sur une échelle de 1 à 5 pour chaque facteur, donnant un score de 1 à 25. Ce score est ensuite classé en quatre niveaux (Faible, Moyen, Élevé, Critique) selon des seuils définis, conformément à la logique du référentiel utilisé comme base de travail.</w:t>
      </w:r>
    </w:p>
    <w:p>
      <w:pPr>
        <w:pStyle w:val="Heading2"/>
        <w:spacing w:after="120" w:before="280"/>
      </w:pPr>
      <w:r>
        <w:rPr>
          <w:b/>
          <w:bCs/>
          <w:color w:val="1F2937"/>
          <w:sz w:val="24"/>
          <w:szCs w:val="24"/>
        </w:rPr>
        <w:t xml:space="preserve">2.5. Positionnement par rapport à EBIOS RM</w:t>
      </w:r>
    </w:p>
    <w:p>
      <w:pPr>
        <w:spacing w:after="140"/>
      </w:pPr>
      <w:r>
        <w:rPr>
          <w:color w:val="444444"/>
          <w:sz w:val="21"/>
          <w:szCs w:val="21"/>
        </w:rPr>
        <w:t xml:space="preserve">EBIOS RM est une méthode française structurée en cinq ateliers, plus lourde à mettre en œuvre qu'une simple grille ISO 27005. Dans le cadre de ce stage, seule la logique d'ISO/IEC 27005 est reproduite ; EBIOS RM est présentée à titre de comparaison méthodologique, sans être implémentée intégralement, ce choix étant justifié par la durée du stage.</w:t>
      </w:r>
    </w:p>
    <w:p>
      <w:pPr>
        <w:pStyle w:val="Heading2"/>
        <w:spacing w:after="120" w:before="280"/>
      </w:pPr>
      <w:r>
        <w:rPr>
          <w:b/>
          <w:bCs/>
          <w:color w:val="1F2937"/>
          <w:sz w:val="24"/>
          <w:szCs w:val="24"/>
        </w:rPr>
        <w:t xml:space="preserve">2.6. Fondamentaux réseaux mobilisés pour la démonstration</w:t>
      </w:r>
    </w:p>
    <w:p>
      <w:pPr>
        <w:spacing w:after="140"/>
      </w:pPr>
      <w:r>
        <w:rPr>
          <w:color w:val="444444"/>
          <w:sz w:val="21"/>
          <w:szCs w:val="21"/>
        </w:rPr>
        <w:t xml:space="preserve">La démonstration de la plateforme s'appuie sur la simulation d'un réseau d'entreprise fictif sous Cisco Packet Tracer. Il est donc nécessaire de rappeler certains concepts réseaux qui permettent de comprendre les vulnérabilités mises en scène.</w:t>
      </w:r>
    </w:p>
    <w:p>
      <w:pPr>
        <w:pStyle w:val="Heading3"/>
        <w:spacing w:after="100" w:before="200"/>
      </w:pPr>
      <w:r>
        <w:rPr>
          <w:b/>
          <w:bCs/>
          <w:color w:val="0F766E"/>
          <w:sz w:val="22"/>
          <w:szCs w:val="22"/>
        </w:rPr>
        <w:t xml:space="preserve">2.6.1. Topologie et segmentation (VLAN)</w:t>
      </w:r>
    </w:p>
    <w:p>
      <w:pPr>
        <w:spacing w:after="140"/>
      </w:pPr>
      <w:r>
        <w:rPr>
          <w:color w:val="444444"/>
          <w:sz w:val="21"/>
          <w:szCs w:val="21"/>
        </w:rPr>
        <w:t xml:space="preserve">Un VLAN (Virtual Local Area Network) permet de segmenter logiquement un réseau physique en plusieurs réseaux distincts, indépendamment de l'emplacement physique des postes. Segmenter par service (Direction, Comptabilité, IT) limite la propagation d'un incident et réduit la surface d'attaque interne.</w:t>
      </w:r>
    </w:p>
    <w:p>
      <w:pPr>
        <w:pStyle w:val="Heading3"/>
        <w:spacing w:after="100" w:before="200"/>
      </w:pPr>
      <w:r>
        <w:rPr>
          <w:b/>
          <w:bCs/>
          <w:color w:val="0F766E"/>
          <w:sz w:val="22"/>
          <w:szCs w:val="22"/>
        </w:rPr>
        <w:t xml:space="preserve">2.6.2. Listes de contrôle d'accès (ACL)</w:t>
      </w:r>
    </w:p>
    <w:p>
      <w:pPr>
        <w:spacing w:after="140"/>
      </w:pPr>
      <w:r>
        <w:rPr>
          <w:color w:val="444444"/>
          <w:sz w:val="21"/>
          <w:szCs w:val="21"/>
        </w:rPr>
        <w:t xml:space="preserve">Une ACL (Access Control List) est une règle configurée sur un routeur ou un switch qui autorise ou bloque un trafic selon des critères (adresse IP source/destination, port, protocole). L'absence d'ACL entre VLANs permet une communication non maîtrisée entre services, ce qui constitue une vulnérabilité exploitée dans le cas pratique.</w:t>
      </w:r>
    </w:p>
    <w:p>
      <w:pPr>
        <w:pStyle w:val="Heading3"/>
        <w:spacing w:after="100" w:before="200"/>
      </w:pPr>
      <w:r>
        <w:rPr>
          <w:b/>
          <w:bCs/>
          <w:color w:val="0F766E"/>
          <w:sz w:val="22"/>
          <w:szCs w:val="22"/>
        </w:rPr>
        <w:t xml:space="preserve">2.6.3. Protocoles d'administration : Telnet vs SSH</w:t>
      </w:r>
    </w:p>
    <w:p>
      <w:pPr>
        <w:spacing w:after="140"/>
      </w:pPr>
      <w:r>
        <w:rPr>
          <w:color w:val="444444"/>
          <w:sz w:val="21"/>
          <w:szCs w:val="21"/>
        </w:rPr>
        <w:t xml:space="preserve">Telnet transmet les données, y compris les identifiants de connexion, en clair sur le réseau, ce qui les rend interceptables par un simple outil d'écoute réseau (sniffing). SSH (Secure Shell) chiffre l'ensemble de la communication et constitue la pratique recommandée pour administrer des équipements à distance.</w:t>
      </w:r>
    </w:p>
    <w:p>
      <w:pPr>
        <w:pStyle w:val="Heading3"/>
        <w:spacing w:after="100" w:before="200"/>
      </w:pPr>
      <w:r>
        <w:rPr>
          <w:b/>
          <w:bCs/>
          <w:color w:val="0F766E"/>
          <w:sz w:val="22"/>
          <w:szCs w:val="22"/>
        </w:rPr>
        <w:t xml:space="preserve">2.6.4. Disponibilité et continuité de service</w:t>
      </w:r>
    </w:p>
    <w:p>
      <w:pPr>
        <w:spacing w:after="140"/>
      </w:pPr>
      <w:r>
        <w:rPr>
          <w:color w:val="444444"/>
          <w:sz w:val="21"/>
          <w:szCs w:val="21"/>
        </w:rPr>
        <w:t xml:space="preserve">La disponibilité, un des trois piliers de la sécurité de l'information (avec la confidentialité et l'intégrité), désigne la capacité d'un système à rester accessible et fonctionnel. Une coupure de lien ou de service illustre concrètement un risque pesant sur ce pilier, indépendamment de toute intrusion.</w:t>
      </w:r>
    </w:p>
    <w:p>
      <w:pPr>
        <w:pStyle w:val="Heading3"/>
        <w:spacing w:after="100" w:before="200"/>
      </w:pPr>
      <w:r>
        <w:rPr>
          <w:b/>
          <w:bCs/>
          <w:color w:val="0F766E"/>
          <w:sz w:val="22"/>
          <w:szCs w:val="22"/>
        </w:rPr>
        <w:t xml:space="preserve">2.6.5. Reconnaissance réseau (scan)</w:t>
      </w:r>
    </w:p>
    <w:p>
      <w:pPr>
        <w:spacing w:after="140"/>
      </w:pPr>
      <w:r>
        <w:rPr>
          <w:color w:val="444444"/>
          <w:sz w:val="21"/>
          <w:szCs w:val="21"/>
        </w:rPr>
        <w:t xml:space="preserve">Un scan réseau (par exemple un ping sweep) consiste à sonder une plage d'adresses pour identifier les hôtes actifs. C'est souvent la première étape d'une attaque : elle révèle la topologie du réseau et les cibles potentielles, d'où l'importance de limiter ce qui est visible ou accessible depuis l'extérieur.</w:t>
      </w:r>
    </w:p>
    <w:p>
      <w:r>
        <w:br w:type="page"/>
      </w:r>
    </w:p>
    <w:p>
      <w:pPr>
        <w:pStyle w:val="Heading1"/>
        <w:pBdr>
          <w:bottom w:val="single" w:color="0F766E" w:sz="6" w:space="4"/>
        </w:pBdr>
        <w:spacing w:after="200" w:before="400"/>
      </w:pPr>
      <w:r>
        <w:rPr>
          <w:b/>
          <w:bCs/>
          <w:color w:val="0F766E"/>
          <w:sz w:val="30"/>
          <w:szCs w:val="30"/>
        </w:rPr>
        <w:t xml:space="preserve">Chapitre 3 — Analyse et conception du système</w:t>
      </w:r>
    </w:p>
    <w:p>
      <w:pPr>
        <w:pStyle w:val="Heading2"/>
        <w:spacing w:after="120" w:before="280"/>
      </w:pPr>
      <w:r>
        <w:rPr>
          <w:b/>
          <w:bCs/>
          <w:color w:val="1F2937"/>
          <w:sz w:val="24"/>
          <w:szCs w:val="24"/>
        </w:rPr>
        <w:t xml:space="preserve">3.1. Analyse des besoins fonctionnels</w:t>
      </w:r>
    </w:p>
    <w:p>
      <w:pPr>
        <w:spacing w:after="140"/>
      </w:pPr>
      <w:r>
        <w:rPr>
          <w:color w:val="444444"/>
          <w:sz w:val="21"/>
          <w:szCs w:val="21"/>
        </w:rPr>
        <w:t xml:space="preserve">La plateforme doit permettre à un utilisateur de : définir le contexte d'une évaluation, recenser des actifs, associer des menaces et vulnérabilités, obtenir un calcul automatique du niveau de risque, enregistrer un traitement, et générer des documents PDF exploitables (rapport d'audit, document de recommandations).</w:t>
      </w:r>
    </w:p>
    <w:p>
      <w:pPr>
        <w:pStyle w:val="Heading2"/>
        <w:spacing w:after="120" w:before="280"/>
      </w:pPr>
      <w:r>
        <w:rPr>
          <w:b/>
          <w:bCs/>
          <w:color w:val="1F2937"/>
          <w:sz w:val="24"/>
          <w:szCs w:val="24"/>
        </w:rPr>
        <w:t xml:space="preserve">3.2. Spécifications fonctionnelles des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0F766E" w:val="clear"/>
            <w:tcMar>
              <w:top w:type="dxa" w:w="80"/>
              <w:left w:type="dxa" w:w="100"/>
              <w:bottom w:type="dxa" w:w="80"/>
              <w:right w:type="dxa" w:w="100"/>
            </w:tcMar>
          </w:tcPr>
          <w:p>
            <w:r>
              <w:rPr>
                <w:b/>
                <w:bCs/>
                <w:color w:val="FFFFFF"/>
                <w:sz w:val="20"/>
                <w:szCs w:val="20"/>
              </w:rPr>
              <w:t xml:space="preserve">Module</w:t>
            </w:r>
          </w:p>
        </w:tc>
        <w:tc>
          <w:tcPr>
            <w:tcW w:type="dxa" w:w="6300"/>
            <w:shd w:fill="0F766E" w:val="clear"/>
            <w:tcMar>
              <w:top w:type="dxa" w:w="80"/>
              <w:left w:type="dxa" w:w="100"/>
              <w:bottom w:type="dxa" w:w="80"/>
              <w:right w:type="dxa" w:w="100"/>
            </w:tcMar>
          </w:tcPr>
          <w:p>
            <w:r>
              <w:rPr>
                <w:b/>
                <w:bCs/>
                <w:color w:val="FFFFFF"/>
                <w:sz w:val="20"/>
                <w:szCs w:val="20"/>
              </w:rPr>
              <w:t xml:space="preserve">Fonction</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Contexte</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Définition du périmètre évalué</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Inventaire des actifs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CRUD des actifs, valeurs C-I-D</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Menaces &amp; Vulnérabilités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Bibliothèque basée sur l'Annexe C/D d'ISO 27005</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Analyse des risques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Calcul automatique du score et du niveau</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Traitement des risques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Options MÉTA + mesures ISO 27002</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Génération de documents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Rapport d'audit PDF + document de recommandations PDF</w:t>
            </w:r>
          </w:p>
        </w:tc>
      </w:tr>
    </w:tbl>
    <w:p>
      <w:pPr>
        <w:pStyle w:val="Heading2"/>
        <w:spacing w:after="120" w:before="280"/>
      </w:pPr>
      <w:r>
        <w:rPr>
          <w:b/>
          <w:bCs/>
          <w:color w:val="1F2937"/>
          <w:sz w:val="24"/>
          <w:szCs w:val="24"/>
        </w:rPr>
        <w:t xml:space="preserve">3.3. Modélisation des données</w:t>
      </w:r>
    </w:p>
    <w:p>
      <w:pPr>
        <w:pStyle w:val="ListParagraph"/>
        <w:numPr>
          <w:ilvl w:val="0"/>
          <w:numId w:val="2"/>
        </w:numPr>
        <w:spacing w:after="60"/>
      </w:pPr>
      <w:r>
        <w:rPr>
          <w:color w:val="444444"/>
          <w:sz w:val="21"/>
          <w:szCs w:val="21"/>
        </w:rPr>
        <w:t xml:space="preserve">contexte — organisation évaluée, périmètre, date</w:t>
      </w:r>
    </w:p>
    <w:p>
      <w:pPr>
        <w:pStyle w:val="ListParagraph"/>
        <w:numPr>
          <w:ilvl w:val="0"/>
          <w:numId w:val="2"/>
        </w:numPr>
        <w:spacing w:after="60"/>
      </w:pPr>
      <w:r>
        <w:rPr>
          <w:color w:val="444444"/>
          <w:sz w:val="21"/>
          <w:szCs w:val="21"/>
        </w:rPr>
        <w:t xml:space="preserve">actifs — nom, type, valeurs C/I/D, propriétaire</w:t>
      </w:r>
    </w:p>
    <w:p>
      <w:pPr>
        <w:pStyle w:val="ListParagraph"/>
        <w:numPr>
          <w:ilvl w:val="0"/>
          <w:numId w:val="2"/>
        </w:numPr>
        <w:spacing w:after="60"/>
      </w:pPr>
      <w:r>
        <w:rPr>
          <w:color w:val="444444"/>
          <w:sz w:val="21"/>
          <w:szCs w:val="21"/>
        </w:rPr>
        <w:t xml:space="preserve">menaces — nom, description, source</w:t>
      </w:r>
    </w:p>
    <w:p>
      <w:pPr>
        <w:pStyle w:val="ListParagraph"/>
        <w:numPr>
          <w:ilvl w:val="0"/>
          <w:numId w:val="2"/>
        </w:numPr>
        <w:spacing w:after="60"/>
      </w:pPr>
      <w:r>
        <w:rPr>
          <w:color w:val="444444"/>
          <w:sz w:val="21"/>
          <w:szCs w:val="21"/>
        </w:rPr>
        <w:t xml:space="preserve">vulnerabilites — nom, description, actif lié</w:t>
      </w:r>
    </w:p>
    <w:p>
      <w:pPr>
        <w:pStyle w:val="ListParagraph"/>
        <w:numPr>
          <w:ilvl w:val="0"/>
          <w:numId w:val="2"/>
        </w:numPr>
        <w:spacing w:after="60"/>
      </w:pPr>
      <w:r>
        <w:rPr>
          <w:color w:val="444444"/>
          <w:sz w:val="21"/>
          <w:szCs w:val="21"/>
        </w:rPr>
        <w:t xml:space="preserve">risques — actif, menace, vulnérabilité liés, vraisemblance, impact, score, niveau</w:t>
      </w:r>
    </w:p>
    <w:p>
      <w:pPr>
        <w:pStyle w:val="ListParagraph"/>
        <w:numPr>
          <w:ilvl w:val="0"/>
          <w:numId w:val="2"/>
        </w:numPr>
        <w:spacing w:after="60"/>
      </w:pPr>
      <w:r>
        <w:rPr>
          <w:color w:val="444444"/>
          <w:sz w:val="21"/>
          <w:szCs w:val="21"/>
        </w:rPr>
        <w:t xml:space="preserve">traitements — risque lié, option MÉTA, mesure ISO 27002, statut</w:t>
      </w:r>
    </w:p>
    <w:p>
      <w:pPr>
        <w:pStyle w:val="Heading2"/>
        <w:spacing w:after="120" w:before="280"/>
      </w:pPr>
      <w:r>
        <w:rPr>
          <w:b/>
          <w:bCs/>
          <w:color w:val="1F2937"/>
          <w:sz w:val="24"/>
          <w:szCs w:val="24"/>
        </w:rPr>
        <w:t xml:space="preserve">3.4. Architecture technique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shd w:fill="0F766E" w:val="clear"/>
            <w:tcMar>
              <w:top w:type="dxa" w:w="80"/>
              <w:left w:type="dxa" w:w="100"/>
              <w:bottom w:type="dxa" w:w="80"/>
              <w:right w:type="dxa" w:w="100"/>
            </w:tcMar>
          </w:tcPr>
          <w:p>
            <w:r>
              <w:rPr>
                <w:b/>
                <w:bCs/>
                <w:color w:val="FFFFFF"/>
                <w:sz w:val="20"/>
                <w:szCs w:val="20"/>
              </w:rPr>
              <w:t xml:space="preserve">Composant</w:t>
            </w:r>
          </w:p>
        </w:tc>
        <w:tc>
          <w:tcPr>
            <w:tcW w:type="dxa" w:w="6100"/>
            <w:shd w:fill="0F766E" w:val="clear"/>
            <w:tcMar>
              <w:top w:type="dxa" w:w="80"/>
              <w:left w:type="dxa" w:w="100"/>
              <w:bottom w:type="dxa" w:w="80"/>
              <w:right w:type="dxa" w:w="100"/>
            </w:tcMar>
          </w:tcPr>
          <w:p>
            <w:r>
              <w:rPr>
                <w:b/>
                <w:bCs/>
                <w:color w:val="FFFFFF"/>
                <w:sz w:val="20"/>
                <w:szCs w:val="20"/>
              </w:rPr>
              <w:t xml:space="preserve">Choix retenu</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Frontend</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HTML / CSS / JavaScript (vanilla)</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Backend &amp; base de données</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Supabase (PostgreSQL + Authentification)</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Génération PDF</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jsPDF</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Intelligence artificielle</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API Google Gemini via Supabase Edge Function</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Déploiement</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Netlify</w:t>
            </w:r>
          </w:p>
        </w:tc>
      </w:tr>
    </w:tbl>
    <w:p>
      <w:pPr>
        <w:pStyle w:val="Heading2"/>
        <w:spacing w:after="120" w:before="280"/>
      </w:pPr>
      <w:r>
        <w:rPr>
          <w:b/>
          <w:bCs/>
          <w:color w:val="1F2937"/>
          <w:sz w:val="24"/>
          <w:szCs w:val="24"/>
        </w:rPr>
        <w:t xml:space="preserve">3.5. Diagrammes</w:t>
      </w:r>
    </w:p>
    <w:p>
      <w:pPr>
        <w:spacing w:after="140"/>
      </w:pPr>
      <w:r>
        <w:rPr>
          <w:color w:val="444444"/>
          <w:sz w:val="21"/>
          <w:szCs w:val="21"/>
        </w:rPr>
        <w:t xml:space="preserve">[À insérer : diagramme de cas d'utilisation (acteur = évaluateur ; actions = gérer actifs, analyser risques, générer rapports), et schéma entité-relation de la base de données.]</w:t>
      </w:r>
    </w:p>
    <w:p>
      <w:r>
        <w:br w:type="page"/>
      </w:r>
    </w:p>
    <w:p>
      <w:pPr>
        <w:pStyle w:val="Heading1"/>
        <w:pBdr>
          <w:bottom w:val="single" w:color="0F766E" w:sz="6" w:space="4"/>
        </w:pBdr>
        <w:spacing w:after="200" w:before="400"/>
      </w:pPr>
      <w:r>
        <w:rPr>
          <w:b/>
          <w:bCs/>
          <w:color w:val="0F766E"/>
          <w:sz w:val="30"/>
          <w:szCs w:val="30"/>
        </w:rPr>
        <w:t xml:space="preserve">Chapitre 4 — Réalisation de l'application</w:t>
      </w:r>
    </w:p>
    <w:p>
      <w:pPr>
        <w:pStyle w:val="Heading2"/>
        <w:spacing w:after="120" w:before="280"/>
      </w:pPr>
      <w:r>
        <w:rPr>
          <w:b/>
          <w:bCs/>
          <w:color w:val="1F2937"/>
          <w:sz w:val="24"/>
          <w:szCs w:val="24"/>
        </w:rPr>
        <w:t xml:space="preserve">4.1. Environnement de développement</w:t>
      </w:r>
    </w:p>
    <w:p>
      <w:pPr>
        <w:spacing w:after="140"/>
      </w:pPr>
      <w:r>
        <w:rPr>
          <w:color w:val="444444"/>
          <w:sz w:val="21"/>
          <w:szCs w:val="21"/>
        </w:rPr>
        <w:t xml:space="preserve">[À compléter : outils utilisés (éditeur de code, extensions, organisation du dépôt Git).]</w:t>
      </w:r>
    </w:p>
    <w:p>
      <w:pPr>
        <w:pStyle w:val="Heading2"/>
        <w:spacing w:after="120" w:before="280"/>
      </w:pPr>
      <w:r>
        <w:rPr>
          <w:b/>
          <w:bCs/>
          <w:color w:val="1F2937"/>
          <w:sz w:val="24"/>
          <w:szCs w:val="24"/>
        </w:rPr>
        <w:t xml:space="preserve">4.2 à 4.6 — Modules développés</w:t>
      </w:r>
    </w:p>
    <w:p>
      <w:pPr>
        <w:spacing w:after="140"/>
      </w:pPr>
      <w:r>
        <w:rPr>
          <w:color w:val="444444"/>
          <w:sz w:val="21"/>
          <w:szCs w:val="21"/>
        </w:rPr>
        <w:t xml:space="preserve">[Pour chaque module (actifs, menaces, analyse des risques, traitement, génération PDF), décrire : la logique métier implémentée, les principales fonctions JavaScript, et les interactions avec Supabase.]</w:t>
      </w:r>
    </w:p>
    <w:p>
      <w:pPr>
        <w:pStyle w:val="Heading2"/>
        <w:spacing w:after="120" w:before="280"/>
      </w:pPr>
      <w:r>
        <w:rPr>
          <w:b/>
          <w:bCs/>
          <w:color w:val="1F2937"/>
          <w:sz w:val="24"/>
          <w:szCs w:val="24"/>
        </w:rPr>
        <w:t xml:space="preserve">4.7. Interface utilisateur</w:t>
      </w:r>
    </w:p>
    <w:p>
      <w:pPr>
        <w:spacing w:after="140"/>
      </w:pPr>
      <w:r>
        <w:rPr>
          <w:color w:val="444444"/>
          <w:sz w:val="21"/>
          <w:szCs w:val="21"/>
        </w:rPr>
        <w:t xml:space="preserve">[Insérer des captures d'écran annotées des principales interfaces de la plateforme.]</w:t>
      </w:r>
    </w:p>
    <w:p>
      <w:r>
        <w:br w:type="page"/>
      </w:r>
    </w:p>
    <w:p>
      <w:pPr>
        <w:pStyle w:val="Heading1"/>
        <w:pBdr>
          <w:bottom w:val="single" w:color="0F766E" w:sz="6" w:space="4"/>
        </w:pBdr>
        <w:spacing w:after="200" w:before="400"/>
      </w:pPr>
      <w:r>
        <w:rPr>
          <w:b/>
          <w:bCs/>
          <w:color w:val="0F766E"/>
          <w:sz w:val="30"/>
          <w:szCs w:val="30"/>
        </w:rPr>
        <w:t xml:space="preserve">Chapitre 5 — Cas pratique — Simulation et démonstration</w:t>
      </w:r>
    </w:p>
    <w:p>
      <w:pPr>
        <w:pStyle w:val="Heading2"/>
        <w:spacing w:after="120" w:before="280"/>
      </w:pPr>
      <w:r>
        <w:rPr>
          <w:b/>
          <w:bCs/>
          <w:color w:val="1F2937"/>
          <w:sz w:val="24"/>
          <w:szCs w:val="24"/>
        </w:rPr>
        <w:t xml:space="preserve">5.1. Présentation de l'entreprise fictive et de sa topologie réseau</w:t>
      </w:r>
    </w:p>
    <w:p>
      <w:pPr>
        <w:spacing w:after="140"/>
      </w:pPr>
      <w:r>
        <w:rPr>
          <w:color w:val="444444"/>
          <w:sz w:val="21"/>
          <w:szCs w:val="21"/>
        </w:rPr>
        <w:t xml:space="preserve">Une entreprise fictive est modélisée sous Cisco Packet Tracer, avec un routeur, deux à trois switches, des VLANs par service (Direction, Comptabilité, IT/DSI), un serveur de fichiers, un serveur applicatif, et six à huit postes utilisateurs répartis dans les différents VLANs.</w:t>
      </w:r>
    </w:p>
    <w:p>
      <w:pPr>
        <w:pStyle w:val="Heading2"/>
        <w:spacing w:after="120" w:before="280"/>
      </w:pPr>
      <w:r>
        <w:rPr>
          <w:b/>
          <w:bCs/>
          <w:color w:val="1F2937"/>
          <w:sz w:val="24"/>
          <w:szCs w:val="24"/>
        </w:rPr>
        <w:t xml:space="preserve">5.2. Scénarios d'incidents simulés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0F766E" w:val="clear"/>
            <w:tcMar>
              <w:top w:type="dxa" w:w="80"/>
              <w:left w:type="dxa" w:w="100"/>
              <w:bottom w:type="dxa" w:w="80"/>
              <w:right w:type="dxa" w:w="100"/>
            </w:tcMar>
          </w:tcPr>
          <w:p>
            <w:r>
              <w:rPr>
                <w:b/>
                <w:bCs/>
                <w:color w:val="FFFFFF"/>
                <w:sz w:val="20"/>
                <w:szCs w:val="20"/>
              </w:rPr>
              <w:t xml:space="preserve">Incident simulé</w:t>
            </w:r>
          </w:p>
        </w:tc>
        <w:tc>
          <w:tcPr>
            <w:tcW w:type="dxa" w:w="5300"/>
            <w:shd w:fill="0F766E" w:val="clear"/>
            <w:tcMar>
              <w:top w:type="dxa" w:w="80"/>
              <w:left w:type="dxa" w:w="100"/>
              <w:bottom w:type="dxa" w:w="80"/>
              <w:right w:type="dxa" w:w="100"/>
            </w:tcMar>
          </w:tcPr>
          <w:p>
            <w:r>
              <w:rPr>
                <w:b/>
                <w:bCs/>
                <w:color w:val="FFFFFF"/>
                <w:sz w:val="20"/>
                <w:szCs w:val="20"/>
              </w:rPr>
              <w:t xml:space="preserve">Vulnérabilité mise en évidence</w:t>
            </w:r>
          </w:p>
        </w:tc>
      </w:tr>
      <w:tr>
        <w:tc>
          <w:tcPr>
            <w:tcW w:type="dxa" w:w="4200"/>
            <w:shd w:fill="F8FAFC" w:val="clear"/>
            <w:tcMar>
              <w:top w:type="dxa" w:w="80"/>
              <w:left w:type="dxa" w:w="100"/>
              <w:bottom w:type="dxa" w:w="80"/>
              <w:right w:type="dxa" w:w="100"/>
            </w:tcMar>
          </w:tcPr>
          <w:p>
            <w:r>
              <w:rPr>
                <w:b w:val="false"/>
                <w:bCs w:val="false"/>
                <w:color w:val="1F2937"/>
                <w:sz w:val="20"/>
                <w:szCs w:val="20"/>
              </w:rPr>
              <w:t xml:space="preserve">Scan réseau (ping sweep)</w:t>
            </w:r>
          </w:p>
        </w:tc>
        <w:tc>
          <w:tcPr>
            <w:tcW w:type="dxa" w:w="5300"/>
            <w:shd w:fill="F8FAFC" w:val="clear"/>
            <w:tcMar>
              <w:top w:type="dxa" w:w="80"/>
              <w:left w:type="dxa" w:w="100"/>
              <w:bottom w:type="dxa" w:w="80"/>
              <w:right w:type="dxa" w:w="100"/>
            </w:tcMar>
          </w:tcPr>
          <w:p>
            <w:r>
              <w:rPr>
                <w:b w:val="false"/>
                <w:bCs w:val="false"/>
                <w:color w:val="1F2937"/>
                <w:sz w:val="20"/>
                <w:szCs w:val="20"/>
              </w:rPr>
              <w:t xml:space="preserve">Absence de segmentation / ACL</w:t>
            </w:r>
          </w:p>
        </w:tc>
      </w:tr>
      <w:tr>
        <w:tc>
          <w:tcPr>
            <w:tcW w:type="dxa" w:w="4200"/>
            <w:shd w:fill="F8FAFC" w:val="clear"/>
            <w:tcMar>
              <w:top w:type="dxa" w:w="80"/>
              <w:left w:type="dxa" w:w="100"/>
              <w:bottom w:type="dxa" w:w="80"/>
              <w:right w:type="dxa" w:w="100"/>
            </w:tcMar>
          </w:tcPr>
          <w:p>
            <w:r>
              <w:rPr>
                <w:b w:val="false"/>
                <w:bCs w:val="false"/>
                <w:color w:val="1F2937"/>
                <w:sz w:val="20"/>
                <w:szCs w:val="20"/>
              </w:rPr>
              <w:t xml:space="preserve">Accès inter-VLAN non autorisé</w:t>
            </w:r>
          </w:p>
        </w:tc>
        <w:tc>
          <w:tcPr>
            <w:tcW w:type="dxa" w:w="5300"/>
            <w:shd w:fill="F8FAFC" w:val="clear"/>
            <w:tcMar>
              <w:top w:type="dxa" w:w="80"/>
              <w:left w:type="dxa" w:w="100"/>
              <w:bottom w:type="dxa" w:w="80"/>
              <w:right w:type="dxa" w:w="100"/>
            </w:tcMar>
          </w:tcPr>
          <w:p>
            <w:r>
              <w:rPr>
                <w:b w:val="false"/>
                <w:bCs w:val="false"/>
                <w:color w:val="1F2937"/>
                <w:sz w:val="20"/>
                <w:szCs w:val="20"/>
              </w:rPr>
              <w:t xml:space="preserve">Mauvaise isolation réseau</w:t>
            </w:r>
          </w:p>
        </w:tc>
      </w:tr>
      <w:tr>
        <w:tc>
          <w:tcPr>
            <w:tcW w:type="dxa" w:w="4200"/>
            <w:shd w:fill="F8FAFC" w:val="clear"/>
            <w:tcMar>
              <w:top w:type="dxa" w:w="80"/>
              <w:left w:type="dxa" w:w="100"/>
              <w:bottom w:type="dxa" w:w="80"/>
              <w:right w:type="dxa" w:w="100"/>
            </w:tcMar>
          </w:tcPr>
          <w:p>
            <w:r>
              <w:rPr>
                <w:b w:val="false"/>
                <w:bCs w:val="false"/>
                <w:color w:val="1F2937"/>
                <w:sz w:val="20"/>
                <w:szCs w:val="20"/>
              </w:rPr>
              <w:t xml:space="preserve">Utilisation de Telnet</w:t>
            </w:r>
          </w:p>
        </w:tc>
        <w:tc>
          <w:tcPr>
            <w:tcW w:type="dxa" w:w="5300"/>
            <w:shd w:fill="F8FAFC" w:val="clear"/>
            <w:tcMar>
              <w:top w:type="dxa" w:w="80"/>
              <w:left w:type="dxa" w:w="100"/>
              <w:bottom w:type="dxa" w:w="80"/>
              <w:right w:type="dxa" w:w="100"/>
            </w:tcMar>
          </w:tcPr>
          <w:p>
            <w:r>
              <w:rPr>
                <w:b w:val="false"/>
                <w:bCs w:val="false"/>
                <w:color w:val="1F2937"/>
                <w:sz w:val="20"/>
                <w:szCs w:val="20"/>
              </w:rPr>
              <w:t xml:space="preserve">Absence de chiffrement des accès distants</w:t>
            </w:r>
          </w:p>
        </w:tc>
      </w:tr>
      <w:tr>
        <w:tc>
          <w:tcPr>
            <w:tcW w:type="dxa" w:w="4200"/>
            <w:shd w:fill="F8FAFC" w:val="clear"/>
            <w:tcMar>
              <w:top w:type="dxa" w:w="80"/>
              <w:left w:type="dxa" w:w="100"/>
              <w:bottom w:type="dxa" w:w="80"/>
              <w:right w:type="dxa" w:w="100"/>
            </w:tcMar>
          </w:tcPr>
          <w:p>
            <w:r>
              <w:rPr>
                <w:b w:val="false"/>
                <w:bCs w:val="false"/>
                <w:color w:val="1F2937"/>
                <w:sz w:val="20"/>
                <w:szCs w:val="20"/>
              </w:rPr>
              <w:t xml:space="preserve">Coupure de service simulée</w:t>
            </w:r>
          </w:p>
        </w:tc>
        <w:tc>
          <w:tcPr>
            <w:tcW w:type="dxa" w:w="5300"/>
            <w:shd w:fill="F8FAFC" w:val="clear"/>
            <w:tcMar>
              <w:top w:type="dxa" w:w="80"/>
              <w:left w:type="dxa" w:w="100"/>
              <w:bottom w:type="dxa" w:w="80"/>
              <w:right w:type="dxa" w:w="100"/>
            </w:tcMar>
          </w:tcPr>
          <w:p>
            <w:r>
              <w:rPr>
                <w:b w:val="false"/>
                <w:bCs w:val="false"/>
                <w:color w:val="1F2937"/>
                <w:sz w:val="20"/>
                <w:szCs w:val="20"/>
              </w:rPr>
              <w:t xml:space="preserve">Risque sur la disponibilité</w:t>
            </w:r>
          </w:p>
        </w:tc>
      </w:tr>
    </w:tbl>
    <w:p>
      <w:pPr>
        <w:pStyle w:val="Heading2"/>
        <w:spacing w:after="120" w:before="280"/>
      </w:pPr>
      <w:r>
        <w:rPr>
          <w:b/>
          <w:bCs/>
          <w:color w:val="1F2937"/>
          <w:sz w:val="24"/>
          <w:szCs w:val="24"/>
        </w:rPr>
        <w:t xml:space="preserve">5.3. Application du modèle GRC au cas pratique</w:t>
      </w:r>
    </w:p>
    <w:p>
      <w:pPr>
        <w:spacing w:after="140"/>
      </w:pPr>
      <w:r>
        <w:rPr>
          <w:color w:val="444444"/>
          <w:sz w:val="21"/>
          <w:szCs w:val="21"/>
        </w:rPr>
        <w:t xml:space="preserve">Chaque équipement de la topologie devient un actif dans la plateforme (valeurs C-I-D attribuées selon sa criticité). Chaque incident simulé est saisi comme menace/vulnérabilité, ce qui déclenche le calcul automatique du score de risque et l'affichage de la recommandation associée.</w:t>
      </w:r>
    </w:p>
    <w:p>
      <w:pPr>
        <w:pStyle w:val="Heading2"/>
        <w:spacing w:after="120" w:before="280"/>
      </w:pPr>
      <w:r>
        <w:rPr>
          <w:b/>
          <w:bCs/>
          <w:color w:val="1F2937"/>
          <w:sz w:val="24"/>
          <w:szCs w:val="24"/>
        </w:rPr>
        <w:t xml:space="preserve">5.4. Résultats et rapport d'audit généré</w:t>
      </w:r>
    </w:p>
    <w:p>
      <w:pPr>
        <w:spacing w:after="140"/>
      </w:pPr>
      <w:r>
        <w:rPr>
          <w:color w:val="444444"/>
          <w:sz w:val="21"/>
          <w:szCs w:val="21"/>
        </w:rPr>
        <w:t xml:space="preserve">[Insérer une capture du rapport d'audit PDF généré automatiquement à partir du cas pratique, avec les scores de risque obtenus et les recommandations formulées.]</w:t>
      </w:r>
    </w:p>
    <w:p>
      <w:r>
        <w:br w:type="page"/>
      </w:r>
    </w:p>
    <w:p>
      <w:pPr>
        <w:pStyle w:val="Heading1"/>
        <w:pBdr>
          <w:bottom w:val="single" w:color="0F766E" w:sz="6" w:space="4"/>
        </w:pBdr>
        <w:spacing w:after="200" w:before="400"/>
      </w:pPr>
      <w:r>
        <w:rPr>
          <w:b/>
          <w:bCs/>
          <w:color w:val="0F766E"/>
          <w:sz w:val="30"/>
          <w:szCs w:val="30"/>
        </w:rPr>
        <w:t xml:space="preserve">Chapitre 6 — Bilan et perspectives</w:t>
      </w:r>
    </w:p>
    <w:p>
      <w:pPr>
        <w:pStyle w:val="Heading2"/>
        <w:spacing w:after="120" w:before="280"/>
      </w:pPr>
      <w:r>
        <w:rPr>
          <w:b/>
          <w:bCs/>
          <w:color w:val="1F2937"/>
          <w:sz w:val="24"/>
          <w:szCs w:val="24"/>
        </w:rPr>
        <w:t xml:space="preserve">6.1. Difficultés rencontrées et solutions apportées</w:t>
      </w:r>
    </w:p>
    <w:p>
      <w:pPr>
        <w:spacing w:after="140"/>
      </w:pPr>
      <w:r>
        <w:rPr>
          <w:color w:val="444444"/>
          <w:sz w:val="21"/>
          <w:szCs w:val="21"/>
        </w:rPr>
        <w:t xml:space="preserve">[À compléter en fin de stage : par exemple l'apprentissage de la norme ISO/IEC 27005 sans enseignement préalable, ou des difficultés techniques d'intégration de l'IA.]</w:t>
      </w:r>
    </w:p>
    <w:p>
      <w:pPr>
        <w:pStyle w:val="Heading2"/>
        <w:spacing w:after="120" w:before="280"/>
      </w:pPr>
      <w:r>
        <w:rPr>
          <w:b/>
          <w:bCs/>
          <w:color w:val="1F2937"/>
          <w:sz w:val="24"/>
          <w:szCs w:val="24"/>
        </w:rPr>
        <w:t xml:space="preserve">6.2. Compétences acquises</w:t>
      </w:r>
    </w:p>
    <w:p>
      <w:pPr>
        <w:spacing w:after="140"/>
      </w:pPr>
      <w:r>
        <w:rPr>
          <w:color w:val="444444"/>
          <w:sz w:val="21"/>
          <w:szCs w:val="21"/>
        </w:rPr>
        <w:t xml:space="preserve">[À compléter : compétences GRC, développement web, intégration IA, configuration réseau.]</w:t>
      </w:r>
    </w:p>
    <w:p>
      <w:pPr>
        <w:pStyle w:val="Heading2"/>
        <w:spacing w:after="120" w:before="280"/>
      </w:pPr>
      <w:r>
        <w:rPr>
          <w:b/>
          <w:bCs/>
          <w:color w:val="1F2937"/>
          <w:sz w:val="24"/>
          <w:szCs w:val="24"/>
        </w:rPr>
        <w:t xml:space="preserve">6.3. Limites du projet</w:t>
      </w:r>
    </w:p>
    <w:p>
      <w:pPr>
        <w:spacing w:after="140"/>
      </w:pPr>
      <w:r>
        <w:rPr>
          <w:color w:val="444444"/>
          <w:sz w:val="21"/>
          <w:szCs w:val="21"/>
        </w:rPr>
        <w:t xml:space="preserve">Le périmètre a volontairement été restreint à 6 modules essentiels sur les 13 volets que couvre la norme ISO/IEC 27005 dans sa version complète, pour rester réaliste sur la durée du stage (1 à 2 mois).</w:t>
      </w:r>
    </w:p>
    <w:p>
      <w:pPr>
        <w:pStyle w:val="Heading2"/>
        <w:spacing w:after="120" w:before="280"/>
      </w:pPr>
      <w:r>
        <w:rPr>
          <w:b/>
          <w:bCs/>
          <w:color w:val="1F2937"/>
          <w:sz w:val="24"/>
          <w:szCs w:val="24"/>
        </w:rPr>
        <w:t xml:space="preserve">6.4. Perspectives d'amélioration</w:t>
      </w:r>
    </w:p>
    <w:p>
      <w:pPr>
        <w:pStyle w:val="ListParagraph"/>
        <w:numPr>
          <w:ilvl w:val="0"/>
          <w:numId w:val="2"/>
        </w:numPr>
        <w:spacing w:after="60"/>
      </w:pPr>
      <w:r>
        <w:rPr>
          <w:color w:val="444444"/>
          <w:sz w:val="21"/>
          <w:szCs w:val="21"/>
        </w:rPr>
        <w:t xml:space="preserve">Intégration d'un tableau de bord KPI avancé.</w:t>
      </w:r>
    </w:p>
    <w:p>
      <w:pPr>
        <w:pStyle w:val="ListParagraph"/>
        <w:numPr>
          <w:ilvl w:val="0"/>
          <w:numId w:val="2"/>
        </w:numPr>
        <w:spacing w:after="60"/>
      </w:pPr>
      <w:r>
        <w:rPr>
          <w:color w:val="444444"/>
          <w:sz w:val="21"/>
          <w:szCs w:val="21"/>
        </w:rPr>
        <w:t xml:space="preserve">Suivi des révisions et amélioration continue (PDCA).</w:t>
      </w:r>
    </w:p>
    <w:p>
      <w:pPr>
        <w:pStyle w:val="ListParagraph"/>
        <w:numPr>
          <w:ilvl w:val="0"/>
          <w:numId w:val="2"/>
        </w:numPr>
        <w:spacing w:after="60"/>
      </w:pPr>
      <w:r>
        <w:rPr>
          <w:color w:val="444444"/>
          <w:sz w:val="21"/>
          <w:szCs w:val="21"/>
        </w:rPr>
        <w:t xml:space="preserve">Extension vers une démarche EBIOS RM complète.</w:t>
      </w:r>
    </w:p>
    <w:p>
      <w:pPr>
        <w:pStyle w:val="ListParagraph"/>
        <w:numPr>
          <w:ilvl w:val="0"/>
          <w:numId w:val="2"/>
        </w:numPr>
        <w:spacing w:after="60"/>
      </w:pPr>
      <w:r>
        <w:rPr>
          <w:color w:val="444444"/>
          <w:sz w:val="21"/>
          <w:szCs w:val="21"/>
        </w:rPr>
        <w:t xml:space="preserve">Gestion multi-utilisateurs avec rôles différenciés.</w:t>
      </w:r>
    </w:p>
    <w:p>
      <w:r>
        <w:br w:type="page"/>
      </w:r>
    </w:p>
    <w:p>
      <w:pPr>
        <w:pStyle w:val="Heading1"/>
        <w:pBdr>
          <w:bottom w:val="single" w:color="0F766E" w:sz="6" w:space="4"/>
        </w:pBdr>
        <w:spacing w:after="200" w:before="400"/>
      </w:pPr>
      <w:r>
        <w:rPr>
          <w:b/>
          <w:bCs/>
          <w:color w:val="0F766E"/>
          <w:sz w:val="30"/>
          <w:szCs w:val="30"/>
        </w:rPr>
        <w:t xml:space="preserve">Conclusion générale</w:t>
      </w:r>
    </w:p>
    <w:p>
      <w:pPr>
        <w:spacing w:after="140"/>
      </w:pPr>
      <w:r>
        <w:rPr>
          <w:color w:val="444444"/>
          <w:sz w:val="21"/>
          <w:szCs w:val="21"/>
        </w:rPr>
        <w:t xml:space="preserve">[À rédiger en fin de stage : rappel de la démarche, des résultats obtenus, et de la valeur ajoutée de la plateforme pour une organisation cherchant à structurer sa gestion des risques informatiques.]</w:t>
      </w:r>
    </w:p>
    <w:p>
      <w:pPr>
        <w:pStyle w:val="Heading2"/>
        <w:spacing w:after="120" w:before="280"/>
      </w:pPr>
      <w:r>
        <w:rPr>
          <w:b/>
          <w:bCs/>
          <w:color w:val="1F2937"/>
          <w:sz w:val="24"/>
          <w:szCs w:val="24"/>
        </w:rPr>
        <w:t xml:space="preserve">Bibliographie / Webographie</w:t>
      </w:r>
    </w:p>
    <w:p>
      <w:pPr>
        <w:spacing w:after="140"/>
      </w:pPr>
      <w:r>
        <w:rPr>
          <w:color w:val="444444"/>
          <w:sz w:val="21"/>
          <w:szCs w:val="21"/>
        </w:rPr>
        <w:t xml:space="preserve">[À compléter : norme ISO/IEC 27005, documentation Supabase, documentation Google Gemini API, ressources APSI-NE / Force N.]</w:t>
      </w:r>
    </w:p>
    <w:p>
      <w:pPr>
        <w:pStyle w:val="Heading2"/>
        <w:spacing w:after="120" w:before="280"/>
      </w:pPr>
      <w:r>
        <w:rPr>
          <w:b/>
          <w:bCs/>
          <w:color w:val="1F2937"/>
          <w:sz w:val="24"/>
          <w:szCs w:val="24"/>
        </w:rPr>
        <w:t xml:space="preserve">Annexes</w:t>
      </w:r>
    </w:p>
    <w:p>
      <w:pPr>
        <w:pStyle w:val="ListParagraph"/>
        <w:numPr>
          <w:ilvl w:val="0"/>
          <w:numId w:val="2"/>
        </w:numPr>
        <w:spacing w:after="60"/>
      </w:pPr>
      <w:r>
        <w:rPr>
          <w:color w:val="444444"/>
          <w:sz w:val="21"/>
          <w:szCs w:val="21"/>
        </w:rPr>
        <w:t xml:space="preserve">Extraits de code source</w:t>
      </w:r>
    </w:p>
    <w:p>
      <w:pPr>
        <w:pStyle w:val="ListParagraph"/>
        <w:numPr>
          <w:ilvl w:val="0"/>
          <w:numId w:val="2"/>
        </w:numPr>
        <w:spacing w:after="60"/>
      </w:pPr>
      <w:r>
        <w:rPr>
          <w:color w:val="444444"/>
          <w:sz w:val="21"/>
          <w:szCs w:val="21"/>
        </w:rPr>
        <w:t xml:space="preserve">Captures d'écran Packet Tracer</w:t>
      </w:r>
    </w:p>
    <w:p>
      <w:pPr>
        <w:pStyle w:val="ListParagraph"/>
        <w:numPr>
          <w:ilvl w:val="0"/>
          <w:numId w:val="2"/>
        </w:numPr>
        <w:spacing w:after="60"/>
      </w:pPr>
      <w:r>
        <w:rPr>
          <w:color w:val="444444"/>
          <w:sz w:val="21"/>
          <w:szCs w:val="21"/>
        </w:rPr>
        <w:t xml:space="preserve">Fichier de référence ISO27005_Analyse_Risques_Template.xlsx</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2026-07-14T22:30:24.912Z</dcterms:created>
  <dcterms:modified xsi:type="dcterms:W3CDTF">2026-07-14T22:30:24.928Z</dcterms:modified>
</cp:coreProperties>
</file>

<file path=docProps/custom.xml><?xml version="1.0" encoding="utf-8"?>
<Properties xmlns="http://schemas.openxmlformats.org/officeDocument/2006/custom-properties" xmlns:vt="http://schemas.openxmlformats.org/officeDocument/2006/docPropsVTypes"/>
</file>