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  <w:shd w:fill="1F3864" w:val="clear"/>
        </w:rPr>
        <w:t xml:space="preserve">CATALOGUE COMPLET DES KPIs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Vues Sage Ligne 100 — Base Bijou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C55A11"/>
          <w:sz w:val="24"/>
          <w:szCs w:val="24"/>
        </w:rPr>
        <w:t xml:space="preserve">Profil DAF · CFO · Comptable | BI · ML · NLQ Ready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Mars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 Total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Sections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Vues Sources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 de Risque Max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6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6 Vues Flat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Élevé (ML/Risque)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Légende des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1560"/>
        <w:gridCol w:w="2600"/>
        <w:gridCol w:w="1040"/>
      </w:tblGrid>
      <w:tr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Financier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KPIs de revenus, marges, résultats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Risque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Indicateurs de risque crédit/supply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6"/>
                <w:szCs w:val="16"/>
              </w:rPr>
              <w:t xml:space="preserve">🔴 Élevé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6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6"/>
                <w:szCs w:val="16"/>
              </w:rPr>
              <w:t xml:space="preserve">Trésorerie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Cash, BFR, flux financiers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Analytique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Axes analytiques, centres de coût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🟡 Moyen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Stock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Valorisation et rotation des stocks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ML / IA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Modèles prédictifs, scoring, forecast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Faible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FINANCE &amp; TRÉSORERIE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Vue principale : VW_Finances_Clients_Flat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KPI-F01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Chiffre d'Affaires (CA) HT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[Finance]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G_ECRITUREC, F_PIECE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Total des ventes nettes hors taxes sur une période donnée.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Mesurer la performance commerciale globale. Comparer par période (mensuel, trimestriel, annuel). Base de tous les KPIs de rentabilité.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SUM(Montant_HT) WHERE Type_Piece IN ('FA','FD') AND Exercice = @Annee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principale pour prévision de revenus (time-series forecasting). Détection d'anomalies de CA.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/ Annuel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KPI-F02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Chiffre d'Affaires TTC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[Finance]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F_PIECE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Total des ventes toutes taxes comprises.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Analyse de trésorerie réelle encaissée. Comparaison avec soldes bancaires.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SUM(Montant_TTC) WHERE Type_Piece IN ('FA','FD') AND Exercice = @Annee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modèles de prévision de flux de trésorerie.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KPI-F03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Marge Brute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[Rentabilité]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 / VW_Stock_Articles_Flat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F_ARTICLE, G_ECRITUREC, F_ARTSTOCK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Différence entre le CA HT et le coût d'achat des marchandises vendues (CAMV).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Évaluer la rentabilité intrinsèque des ventes. Identifier les produits/clients les plus profitables.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SUM(Montant_HT) - SUM(PUMP * Quantite_Vendue)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classification client (high-value vs low-value). Optimisation pricing.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KPI-F04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Taux de Marge Brute (%)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[Rentabilité]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F_ARTICLE,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Pourcentage de marge brute par rapport au CA HT.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Benchmark sectoriel. Suivi de l'érosion de marge. Alertes sur produits déficitaires.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(Marge_Brute / CA_HT)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clustering produits. Détection d'anomalies de pricing.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KPI-F05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DSO — Days Sales Outstanding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[Trésorerie / Risque]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G_ECRITUREC, F_REGLECH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Nombre moyen de jours nécessaires pour encaisser les créances clients après facturation.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Mesurer l'efficacité du recouvrement. Identifier les clients à risque. Piloter le BFR.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AVG(DATEDIFF(day, Date_Facture, Date_Reglement)) ou (Encours_Client / CA_HT) * 365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critique pour modèles de risque crédit et prédiction d'impayés.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Hebdomadaire / Mensuel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KPI-F06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Encours Clients Total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[Trésorerie]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Montant total des créances clients non encore encaissées à date.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Pilotage du BFR. Suivi des relances. Base de calcul du DSO.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SUM(Montant_TTC) WHERE Statut_Reglement = 'Non Soldé' AND Type_Compte = 'C'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scoring de risque client. Modèles de prévision de cash.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KPI-F07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Taux d'Impayés (%)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[Risque]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G_ECRITUREC, F_REGLECH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Pourcentage des factures non réglées après leur date d'échéance.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Évaluer le risque de crédit global. Déclencher des relances automatiques. Provisionner les créances douteuses.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(COUNT(Factures_Non_Soldées_Echues) / COUNT(Total_Factures))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Variable cible (target) pour modèles de prédiction d'impayés (classification binaire).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Hebdomadaire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KPI-F08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Solde de Trésorerie Net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[Trésorerie]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VW_Tresorerie_Flux_Flat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F_COMPTE (banques)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Disponibilités nettes en banque et caisse à une date donnée.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Pilotage de la liquidité. Anticipation des besoins de financement. Tableau de bord DAF.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SUM(Montant_Debit) - SUM(Montant_Credit) WHERE Classe_Compte = '5'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prévision de trésorerie à 30/60/90 jours (time-series).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KPI-F09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BFR — Besoin en Fonds de Roulement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[Finance]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 + VW_Fournisseurs_Achats_Flat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G_ECRITUREC, F_ARTSTOCK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Besoin de financement généré par le cycle d'exploitation (stocks + créances - dettes fournisseurs).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Mesurer l'efficience du cycle d'exploitation. Anticiper les tensions de trésorerie.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Stocks + Créances_Clients - Dettes_Fournisseurs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modèles de prévision financière long terme.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KPI-F10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Variation de CA vs N-1 (%)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[Finance / Performance]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F_PIECE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Évolution du chiffre d'affaires par rapport à la même période de l'année précédente.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Mesurer la croissance. Benchmark performance commerciale. Déclencher des alertes.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((CA_N - CA_N1) / CA_N1)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détection de tendances (trend analysis). Modèles de prévision.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CLIENTS &amp; RECOUVREMENT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4F72"/>
          <w:sz w:val="18"/>
          <w:szCs w:val="18"/>
        </w:rPr>
        <w:t xml:space="preserve">Vue principale : VW_Finances_Clients_Flat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KPI-C01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Nombre de Clients Actifs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[Client]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Nombre de clients ayant généré au moins une facture sur la période.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Mesurer la base client active. Segmentation RFM (Récence, Fréquence, Montant).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COUNT(DISTINCT Client_ID) WHERE CA_Periode &gt; 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churn prediction et segmentation client.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KPI-C02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CA Moyen par Client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[Client]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Chiffre d'affaires moyen généré par client actif sur la période.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Identifier la valeur moyenne d'un client. Base pour stratégie upsell/cross-sell.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SUM(CA_HT) / COUNT(DISTINCT Client_ID)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scoring client. Recommandation commerciale.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KPI-C03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Top 10 Clients par CA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[Client / Risque]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Classement des 10 premiers clients par chiffre d'affaires généré.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Identifier la concentration client (risque Pareto). Prioriser les actions commerciales.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RANK() OVER (ORDER BY SUM(Montant_HT) DESC) — TOP 10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analyse de concentration et risque de dépendance.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KPI-C04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Taux de Concentration Client (Pareto)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[Risque]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Part du CA total générée par les 20% des meilleurs clients.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Mesurer le risque de dépendance. Un taux &gt; 80% signale une vulnérabilité.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(CA_Top20pct_Clients / CA_Total)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évaluation du risque de portefeuille client.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Trimestriel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KPI-C05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Délai Moyen de Paiement Client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[Trésorerie / Risque]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F_REGLECH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Nombre moyen de jours entre la date de facture et la date de règlement effectif.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Identifier les retards de paiement systématiques. Optimiser la politique de crédit.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AVG(DATEDIFF(day, Date_Facture, Date_Reglement))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prédiction de comportement de paiement.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KPI-C06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Factures Échues Non Soldées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[Recouvrement]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F_REGLECH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Montant total des factures dont la date d'échéance est dépassée et non encore réglées.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Piloter les relances. Évaluer le risque de créances irrécouvrables. Calcul de provisions.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SUM(Montant_TTC) WHERE Date_Echeance &lt; GETDATE() AND Statut = 'Non Soldé'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Variable cible pour modèles de recouvrement. Score de risque par client.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KPI-C07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Score de Risque Client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[Risque / ML]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G_ECRITUREC, F_REGLECH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Score composite évaluant la solvabilité et le comportement de paiement d'un client.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Automatiser la décision de crédit. Prioriser le recouvrement. Alertes proactives.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Modèle composite: f(DSO, Taux_Impayés, Historique_Retards, Encours/CA_Ratio, Ancienneté)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Output d'un modèle de scoring ML (régression logistique, Random Forest). Feature engineering depuis l'historique.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Hebdomadaire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KPI-C08  </w:t>
            </w: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Taux de Fidélisation Client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[Client]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Pourcentage de clients actifs sur la période N également actifs sur la période N-1.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Mesurer la rétention client. Détecter le churn. Évaluer l'efficacité CRM.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(COUNT(Clients_N ∩ Clients_N1) / COUNT(Clients_N1))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Variable cible pour modèles de churn prediction.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Trimestriel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FOURNISSEURS &amp; ACHATS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Vue principale : VW_Fournisseurs_Achats_Flat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KPI-A01  </w:t>
            </w:r>
            <w:r>
              <w:rPr>
                <w:rFonts w:ascii="Arial" w:cs="Arial" w:eastAsia="Arial" w:hAnsi="Arial"/>
                <w:b/>
                <w:bCs/>
                <w:color w:val="7F6000"/>
                <w:sz w:val="26"/>
                <w:szCs w:val="26"/>
              </w:rPr>
              <w:t xml:space="preserve">Total Achats HT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[Achats]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VW_Fournisseurs_Achats_Flat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G_ECRITUREC, F_PIECE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Total des achats fournisseurs hors taxes sur la période.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Suivre les dépenses d'approvisionnement. Comparer avec budget achats. Analyser par fournisseur.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SUM(Montant_HT) WHERE Type_Piece IN ('FA','FD') AND Type_Compte = 'F'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optimisation des achats et prévision de dépenses.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KPI-A02  </w:t>
            </w:r>
            <w:r>
              <w:rPr>
                <w:rFonts w:ascii="Arial" w:cs="Arial" w:eastAsia="Arial" w:hAnsi="Arial"/>
                <w:b/>
                <w:bCs/>
                <w:color w:val="7F6000"/>
                <w:sz w:val="26"/>
                <w:szCs w:val="26"/>
              </w:rPr>
              <w:t xml:space="preserve">DPO — Days Payable Outstanding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[Trésorerie / Achats]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VW_Fournisseurs_Achats_Flat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G_ECRITUREC, F_REGLEF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Nombre moyen de jours mis pour régler les factures fournisseurs.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Optimiser la gestion du BFR côté fournisseurs. Évaluer le respect des délais légaux (LME).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AVG(DATEDIFF(day, Date_Facture_F, Date_Reglement_F)) ou (Dettes_Fournisseurs / Achats_HT) * 365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optimisation du cash management.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KPI-A03  </w:t>
            </w:r>
            <w:r>
              <w:rPr>
                <w:rFonts w:ascii="Arial" w:cs="Arial" w:eastAsia="Arial" w:hAnsi="Arial"/>
                <w:b/>
                <w:bCs/>
                <w:color w:val="7F6000"/>
                <w:sz w:val="26"/>
                <w:szCs w:val="26"/>
              </w:rPr>
              <w:t xml:space="preserve">Dettes Fournisseurs Échues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[Trésorerie]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VW_Fournisseurs_Achats_Flat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Montant total des factures fournisseurs échues non encore réglées.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Anticiper les tensions de trésorerie. Éviter les pénalités de retard. Prioriser les paiements.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SUM(Montant_TTC) WHERE Date_Echeance_F &lt; GETDATE() AND Statut = 'Non Soldé'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prévision de cash outflow.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KPI-A04  </w:t>
            </w:r>
            <w:r>
              <w:rPr>
                <w:rFonts w:ascii="Arial" w:cs="Arial" w:eastAsia="Arial" w:hAnsi="Arial"/>
                <w:b/>
                <w:bCs/>
                <w:color w:val="7F6000"/>
                <w:sz w:val="26"/>
                <w:szCs w:val="26"/>
              </w:rPr>
              <w:t xml:space="preserve">Top 10 Fournisseurs par Achats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[Achats / Risque]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VW_Fournisseurs_Achats_Flat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Classement des 10 principaux fournisseurs par volume d'achats.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Identifier les dépendances fournisseurs (risque de concentration). Négociation tarifaire.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RANK() OVER (ORDER BY SUM(Montant_HT) DESC) — TOP 10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analyse de risque supply chain.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STOCKS &amp; ARTICLES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18"/>
          <w:szCs w:val="18"/>
        </w:rPr>
        <w:t xml:space="preserve">Vue principale : VW_Stock_Articles_Flat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KPI-S01  </w:t>
            </w: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Valeur du Stock Total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[Stock]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VW_Stock_Articles_Flat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F_ARTSTOCK, F_ARTICLE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Valorisation totale du stock au Prix Unitaire Moyen Pondéré (PUMP).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Évaluation du patrimoine. Calcul du BFR. Base pour analyse de rotation.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SUM(Quantite_Stock * PUMP)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prévision de besoins en approvisionnement.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KPI-S02  </w:t>
            </w: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Taux de Rotation des Stocks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[Stock / Performance]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VW_Stock_Articles_Flat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F_ARTSTOCK, F_ARTICLE,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Nombre de fois où le stock est renouvelé sur la période (CAMV / Stock moyen).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Identifier les stocks dormants. Optimiser les niveaux de réapprovisionnement. Réduire le BFR.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CAMV_Periode / ((Stock_Debut + Stock_Fin) / 2)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modèles de gestion prédictive des stocks (reorder point).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KPI-S03  </w:t>
            </w: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Stocks Dormants / Obsolètes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[Stock / Risque]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VW_Stock_Articles_Flat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F_ARTSTOCK, F_ARTICLE, F_MOUVEMENT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Articles en stock sans mouvement depuis plus de N jours (paramétrable).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Déclencher des démarques. Éviter la dépréciation. Libérer du BFR.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Quantite_Stock &gt; 0 AND DATEDIFF(day, Date_Dernier_Mouvement, GETDATE()) &gt; 180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classification articles et optimisation assortiment.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KPI-S04  </w:t>
            </w: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Couverture de Stock (jours)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[Stock]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VW_Stock_Articles_Flat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F_ARTSTOCK, F_ARTICLE,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Nombre de jours de ventes que le stock actuel peut couvrir.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Prévenir les ruptures de stock. Optimiser les commandes fournisseurs.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(Stock_Actuel / Ventes_Moyennes_Journalieres)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prévision de rupture et modèles de réapprovisionnement automatique.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KPI-S05  </w:t>
            </w: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Taux de Rupture de Stock (%)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[Stock / Performance]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VW_Stock_Articles_Flat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F_ARTSTOCK, F_ARTICLE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Pourcentage de références avec un stock nul ou inférieur au stock minimum.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Mesurer la disponibilité produit. Évaluer l'impact commercial des ruptures.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(COUNT(Articles_Qte &lt;= StockMini) / COUNT(Total_Articles_Actifs))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Variable cible pour modèles de prédiction de rupture.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KPI-S06  </w:t>
            </w: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Marge par Article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[Rentabilité]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VW_Stock_Articles_Flat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F_ARTICLE, F_ARTSTOCK,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Marge brute unitaire et totale par référence article.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Identifier les articles les plus profitables. Optimiser l'assortiment. Politique de prix.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(Prix_Vente_HT - PUMP) et (Prix_Vente_HT - PUMP) / Prix_Vente_HT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recommandation de gamme et optimisation pricing dynamique.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COMPTABILITÉ &amp; ANALYTIQUE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B0082"/>
          <w:sz w:val="18"/>
          <w:szCs w:val="18"/>
        </w:rPr>
        <w:t xml:space="preserve">Vue principale : VW_Compta_Grand_Livre_Flat / VW_Analytique_Flat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KPI-K01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Résultat Net Comptable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[Comptabilité]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VW_Compta_Grand_Livre_Flat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F_COMPTE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Bénéfice ou perte net(te) après toutes charges et produits sur l'exercice.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Évaluer la performance financière globale de l'entreprise. Obligations légales (liasses fiscales).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SUM(Produits_Classe7) - SUM(Charges_Classe6)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prévision financière et évaluation de la santé de l'entreprise.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/ Annuel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KPI-K02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Balance Âgée Clients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[Recouvrement]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Répartition des créances clients par tranches d'ancienneté (0-30j, 30-60j, 60-90j, &gt;90j).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Piloter le recouvrement par priorité. Évaluer les provisions pour créances douteuses.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CASE WHEN DATEDIFF(day, Date_Echeance, GETDATE()) BETWEEN 0 AND 30 THEN '0-30j' … END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multi-classe pour scoring de recouvrement.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Hebdomadaire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KPI-K03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CA par Axe Analytique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[Analytique]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VW_Analytique_Flat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G_SECTION, G_AXE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Répartition du chiffre d'affaires par centres d'analyse (département, projet, région, commercial).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Analyse multidimensionnelle de la performance. Allocation des coûts. Reporting par centre de profit.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SUM(Montant_HT) GROUP BY Section_Analytique, Axe_Analytique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Features pour modèles de performance par segment/territoire.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KPI-K04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Taux de Lettrage des Comptes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[Comptabilité]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VW_Compta_Grand_Livre_Flat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Pourcentage d'écritures comptables correctement lettrées (rapprochées).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Évaluer la qualité comptable. Détecter les anomalies de saisie. Préparer la clôture.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(COUNT(Ecritures_Lettrées) / COUNT(Total_Ecritures_Lettrables))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détection d'anomalies comptables (anomaly detection).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KPI-K05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Charges par Nature et Centre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[Analytique]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VW_Analytique_Flat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G_SECTION, F_COMPTE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Décomposition des charges d'exploitation par nature (classe 6) et par axe analytique.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Contrôle budgétaire. Identification des dépassements. Reporting de gestion.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SUM(Montant_Debit) WHERE Classe_Compte = '6' GROUP BY Section, Nature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Features pour modèles de prévision budgétaire.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KPI-K06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Écart Budget / Réalisé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[Contrôle de Gestion]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VW_Analytique_Flat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G_SECTION (budgets)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Différence entre le montant budgété et le montant réellement comptabilisé.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Contrôle budgétaire en temps réel. Alertes sur dépassements. Reprévision.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Montant_Realise - Montant_Budget et (Ecart / Budget) * 100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Feature pour modèles de reprévision automatique (forecasting adaptatif).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KPIs ML / IA AVANCÉS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B0082"/>
          <w:sz w:val="18"/>
          <w:szCs w:val="18"/>
        </w:rPr>
        <w:t xml:space="preserve">Vue principale : Toutes les vues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KPI-ML01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Prévision CA à 3 mois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[ML / Prévision]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 (historique 24 mois)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F_PIECE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Projection du chiffre d'affaires sur les 3 prochains mois basée sur l'historique.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Anticipation des revenus. Planification de trésorerie. Objectifs commerciaux.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Modèle Time-Series (Prophet / SARIMA / LSTM) entraîné sur historique mensuel CA_HT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Modèle de forecasting. Input: 24 mois d'historique CA, saisonnalité, tendance.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Mensuel   |   Niveau de Risque : Faible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KPI-ML02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Score de Churn Client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[ML / Risque Client]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VW_Finances_Clients_Flat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F_COMPTET,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Probabilité qu'un client actif cesse ses achats dans les 90 prochains jours.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Actions de rétention proactives. Priorisation des visites commerciales. Alertes DAF.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Modèle binaire (0/1): f(Recence, Frequence, Montant, Variation_CA, Nb_Lignes_Commandes, DSO)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Classification binaire. Features: RFM + historique comportemental. Algo: XGBoost / RF.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Hebdomadaire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KPI-ML03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Prévision de Rupture de Stock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[ML / Stock]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VW_Stock_Articles_Flat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F_ARTSTOCK, F_ARTICLE, 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Probabilité de rupture pour chaque référence dans les 30 prochains jours.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Déclenchement automatique des commandes. Réduction des pertes de ventes.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Modèle: f(Stock_Actuel, Consommation_Historique, Lead_Time_F, Saisonnalité)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Régression / Classification. Features: historique mouvements, délais fournisseurs.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KPI-ML04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Détection d'Anomalies Comptables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[ML / Audit]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VW_Compta_Grand_Livre_Flat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Identification des écritures comptables statistiquement anormales (doublons, montants aberrants, imputations inhabituelles).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Contrôle interne automatisé. Prévention de la fraude. Qualité des données.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Isolation Forest / Autoencoder sur distribution historique des écritures par compte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Anomaly Detection non supervisé. Features: montant, compte, journal, utilisateur, heure.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Quotidien   |   Niveau de Risque : Élevé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4"/>
              <w:left w:val="single" w:color="4B0082" w:sz="4"/>
              <w:bottom w:val="single" w:color="4B0082" w:sz="4"/>
              <w:right w:val="single" w:color="4B0082" w:sz="4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KPI-ML05  </w:t>
            </w:r>
            <w:r>
              <w:rPr>
                <w:rFonts w:ascii="Arial" w:cs="Arial" w:eastAsia="Arial" w:hAnsi="Arial"/>
                <w:b/>
                <w:bCs/>
                <w:color w:val="4B0082"/>
                <w:sz w:val="26"/>
                <w:szCs w:val="26"/>
              </w:rPr>
              <w:t xml:space="preserve">Prévision de Trésorerie à 90 jours</w:t>
            </w: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   [ML / Trésorerie]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Vue SQL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VW_Tresorerie_Flux_Flat + VW_Finances_Clients_Flat + VW_Fournisseurs_Achats_Flat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Tables Sources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G_ECRITUREC, F_REGLECH, F_REGLEF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Projection du solde de trésorerie sur 90 jours en intégrant les flux entrants et sortants prévisionnels.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Permet de…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Anticipation des besoins de financement. Optimisation du placement des excédents.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6"/>
                <w:szCs w:val="16"/>
              </w:rPr>
              <w:t xml:space="preserve">Méthode de Calcul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F6000"/>
                <w:sz w:val="16"/>
                <w:szCs w:val="16"/>
              </w:rPr>
              <w:t xml:space="preserve">Solde_Initial + SUM(Encaissements_Prevus) - SUM(Decaissements_Prevus) par semaine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16"/>
                <w:szCs w:val="16"/>
              </w:rPr>
              <w:t xml:space="preserve">Usage ML / IA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Multi-step time-series forecasting. Features: échéanciers clients + fournisseurs + historique.</w:t>
            </w:r>
          </w:p>
        </w:tc>
      </w:tr>
      <w:t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Fréquence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Hebdomadaire   |   Niveau de Risque : Moyen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ANNEXE — Matrice KPIs × Vues SQL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1F1F"/>
          <w:sz w:val="18"/>
          <w:szCs w:val="18"/>
        </w:rPr>
        <w:t xml:space="preserve">Correspondance rapide entre chaque KPI et sa ou ses vue(s) source(s).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Vue SQL</w:t>
            </w:r>
          </w:p>
        </w:tc>
        <w:tc>
          <w:tcPr>
            <w:tcW w:type="dxa" w:w="5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 Associés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VW_Finances_Clients_Flat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F01, F02, F03, F04, F05, F06, F07, F08, F09, F10, C01–C08, K02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VW_Fournisseurs_Achats_Flat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A01, A02, A03, A04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VW_Stock_Articles_Flat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S01, S02, S03, S04, S05, S06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VW_Compta_Grand_Livre_Flat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K01, K04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VW_Analytique_Flat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K03, K05, K06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VW_Tresorerie_Flux_Flat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F08, ML05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Toutes les vues (ML)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6"/>
                <w:szCs w:val="16"/>
              </w:rPr>
              <w:t xml:space="preserve">ML01, ML02, ML03, ML04, ML05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SYNTHÈSE EXÉCUTIVE DAF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F1F1F"/>
          <w:sz w:val="18"/>
          <w:szCs w:val="18"/>
        </w:rPr>
        <w:t xml:space="preserve">Ce catalogue recense 39 KPIs répartis en 6 domaines fonctionnels, tous calculables depuis les 6 vues Flat SQL créées sur la base Bijou (Sage Ligne 100).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Financiers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 &amp; Recouvrement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&amp; Achats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ML / IA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6"/>
                <w:szCs w:val="16"/>
              </w:rPr>
              <w:t xml:space="preserve">CA, Marge, BFR, DSO, Trésorerie, Variation N-1…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6"/>
                <w:szCs w:val="16"/>
              </w:rPr>
              <w:t xml:space="preserve">Balance âgée, Taux impayés, Score risque, Concentration…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Rotation, Rupture, Couverture, Dormants, Marge article…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0082"/>
                <w:sz w:val="16"/>
                <w:szCs w:val="16"/>
              </w:rPr>
              <w:t xml:space="preserve">Prévision CA, Churn, Rupture prédictive, Anomalies, Cash 90j…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Confidentiel — Usage interne DAF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Catalogue KPIs — Sage Ligne 100 / Base Bijou</w:t>
    </w:r>
    <w:r>
      <w:rPr>
        <w:rFonts w:ascii="Arial" w:cs="Arial" w:eastAsia="Arial" w:hAnsi="Arial"/>
        <w:color w:val="888888"/>
        <w:sz w:val="16"/>
        <w:szCs w:val="16"/>
      </w:rPr>
      <w:t xml:space="preserve">  |  DAF · CFO · Comptable  |  BI · ML · NLQ 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2026-03-05T20:04:47.495Z</dcterms:created>
  <dcterms:modified xsi:type="dcterms:W3CDTF">2026-03-05T20:04:47.497Z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