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0B7A6F"/>
          <w:sz w:val="18"/>
          <w:szCs w:val="18"/>
        </w:rPr>
        <w:t xml:space="preserve">HACKATHON NATIONAL « DU SATELLITE À LA SOLUTION » – SENSAT / TRL</w:t>
      </w:r>
    </w:p>
    <w:p>
      <w:pPr>
        <w:spacing w:after="20"/>
      </w:pPr>
      <w:r>
        <w:rPr>
          <w:b/>
          <w:bCs/>
          <w:color w:val="0B7A6F"/>
          <w:sz w:val="48"/>
          <w:szCs w:val="48"/>
        </w:rPr>
        <w:t xml:space="preserve">Cahier des charges de l’équipe</w:t>
      </w:r>
    </w:p>
    <w:p>
      <w:pPr>
        <w:spacing w:after="140"/>
      </w:pPr>
      <w:r>
        <w:rPr>
          <w:b/>
          <w:bCs/>
          <w:sz w:val="25"/>
          <w:szCs w:val="25"/>
        </w:rPr>
        <w:t xml:space="preserve">TefesSat : qui fait quoi, et pour quand, du 19 au 22 octobre 2026</w:t>
      </w:r>
    </w:p>
    <w:tbl>
      <w:tblPr>
        <w:tblW w:type="dxa" w:w="100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192"/>
      </w:tblGrid>
      <w:tr>
        <w:tc>
          <w:tcPr>
            <w:tcW w:type="dxa" w:w="1900"/>
            <w:tcBorders>
              <w:top w:val="none" w:color="FFFFFF" w:sz="0"/>
              <w:left w:val="single" w:color="0B7A6F" w:sz="24"/>
              <w:bottom w:val="none" w:color="FFFFFF" w:sz="0"/>
              <w:right w:val="none" w:color="FFFFFF" w:sz="0"/>
            </w:tcBorders>
            <w:shd w:fill="E6F3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0B7A6F"/>
                <w:sz w:val="20"/>
                <w:szCs w:val="20"/>
              </w:rPr>
              <w:t xml:space="preserve">Équipe</w:t>
            </w:r>
          </w:p>
        </w:tc>
        <w:tc>
          <w:tcPr>
            <w:tcW w:type="dxa" w:w="81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F3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Ndèye Fatou SOW (référente), Abdoulaye DIOUF, Malick FALL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single" w:color="0B7A6F" w:sz="24"/>
              <w:bottom w:val="none" w:color="FFFFFF" w:sz="0"/>
              <w:right w:val="none" w:color="FFFFFF" w:sz="0"/>
            </w:tcBorders>
            <w:shd w:fill="E6F3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0B7A6F"/>
                <w:sz w:val="20"/>
                <w:szCs w:val="20"/>
              </w:rPr>
              <w:t xml:space="preserve">Objectif</w:t>
            </w:r>
          </w:p>
        </w:tc>
        <w:tc>
          <w:tcPr>
            <w:tcW w:type="dxa" w:w="81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F3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Faire partie des 4 meilleures équipes, invitées à Diamniadio le 26 octobre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single" w:color="0B7A6F" w:sz="24"/>
              <w:bottom w:val="none" w:color="FFFFFF" w:sz="0"/>
              <w:right w:val="none" w:color="FFFFFF" w:sz="0"/>
            </w:tcBorders>
            <w:shd w:fill="E6F3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0B7A6F"/>
                <w:sz w:val="20"/>
                <w:szCs w:val="20"/>
              </w:rPr>
              <w:t xml:space="preserve">Date limite</w:t>
            </w:r>
          </w:p>
        </w:tc>
        <w:tc>
          <w:tcPr>
            <w:tcW w:type="dxa" w:w="81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F3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Présentation à envoyer le 22 octobre à 23 h 59 (délai de rigueur). Objectif interne : 20 h.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single" w:color="0B7A6F" w:sz="24"/>
              <w:bottom w:val="none" w:color="FFFFFF" w:sz="0"/>
              <w:right w:val="none" w:color="FFFFFF" w:sz="0"/>
            </w:tcBorders>
            <w:shd w:fill="E6F3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0B7A6F"/>
                <w:sz w:val="20"/>
                <w:szCs w:val="20"/>
              </w:rPr>
              <w:t xml:space="preserve">Jury</w:t>
            </w:r>
          </w:p>
        </w:tc>
        <w:tc>
          <w:tcPr>
            <w:tcW w:type="dxa" w:w="81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F3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Présentation en ligne les 23 et 24 octobre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single" w:color="0B7A6F" w:sz="24"/>
              <w:bottom w:val="none" w:color="FFFFFF" w:sz="0"/>
              <w:right w:val="none" w:color="FFFFFF" w:sz="0"/>
            </w:tcBorders>
            <w:shd w:fill="E6F3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0B7A6F"/>
                <w:sz w:val="20"/>
                <w:szCs w:val="20"/>
              </w:rPr>
              <w:t xml:space="preserve">Code</w:t>
            </w:r>
          </w:p>
        </w:tc>
        <w:tc>
          <w:tcPr>
            <w:tcW w:type="dxa" w:w="81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F3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Dépôt GitHub privé Ndeye-Fatou-SOW/TefesSat (dossier D:\Hackaton_Sensat)</w:t>
            </w:r>
          </w:p>
        </w:tc>
      </w:tr>
    </w:tbl>
    <w:p>
      <w:pPr>
        <w:pStyle w:val="Heading2"/>
      </w:pPr>
      <w:r>
        <w:t xml:space="preserve">1. Ce que le jury doit voir</w:t>
      </w:r>
    </w:p>
    <w:p>
      <w:pPr>
        <w:jc w:val="both"/>
      </w:pPr>
      <w:r>
        <w:t xml:space="preserve">SENSAT a donné la logique attendue : </w:t>
      </w:r>
      <w:r>
        <w:rPr>
          <w:b/>
          <w:bCs/>
        </w:rPr>
        <w:t xml:space="preserve">le problème → les données → l’analyse → la solution → le résultat → l’impact</w:t>
      </w:r>
      <w:r>
        <w:t xml:space="preserve">. Le jury veut une solution concrète, un cas local et </w:t>
      </w:r>
      <w:r>
        <w:rPr>
          <w:b/>
          <w:bCs/>
        </w:rPr>
        <w:t xml:space="preserve">un résultat visible, obtenu avec des données réelles</w:t>
      </w:r>
      <w:r>
        <w:t xml:space="preserve">. Tout ce que nous produisons doit servir l’un de ces six points.</w:t>
      </w:r>
    </w:p>
    <w:tbl>
      <w:tblPr>
        <w:tblW w:type="dxa" w:w="100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2"/>
        <w:gridCol w:w="5508"/>
        <w:gridCol w:w="2012"/>
      </w:tblGrid>
      <w:tr>
        <w:trPr>
          <w:tblHeader/>
        </w:trPr>
        <w:tc>
          <w:tcPr>
            <w:tcW w:type="dxa" w:w="257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Livrable final</w:t>
            </w:r>
          </w:p>
        </w:tc>
        <w:tc>
          <w:tcPr>
            <w:tcW w:type="dxa" w:w="5508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201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Responsable</w:t>
            </w:r>
          </w:p>
        </w:tc>
      </w:tr>
      <w:tr>
        <w:trPr>
          <w:cantSplit/>
        </w:trPr>
        <w:tc>
          <w:tcPr>
            <w:tcW w:type="dxa" w:w="257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Carte avant / après</w:t>
            </w:r>
          </w:p>
        </w:tc>
        <w:tc>
          <w:tcPr>
            <w:tcW w:type="dxa" w:w="5508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Trait de côte 2015 et 2025 superposés, zones perdues en rouge</w:t>
            </w:r>
          </w:p>
        </w:tc>
        <w:tc>
          <w:tcPr>
            <w:tcW w:type="dxa" w:w="201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Abdoulaye</w:t>
            </w:r>
          </w:p>
        </w:tc>
      </w:tr>
      <w:tr>
        <w:trPr>
          <w:cantSplit/>
        </w:trPr>
        <w:tc>
          <w:tcPr>
            <w:tcW w:type="dxa" w:w="257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Carte des vitesses de recul</w:t>
            </w:r>
          </w:p>
        </w:tc>
        <w:tc>
          <w:tcPr>
            <w:tcW w:type="dxa" w:w="5508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Recul en m/an par tronçon de 50 m, avec le niveau de risque</w:t>
            </w:r>
          </w:p>
        </w:tc>
        <w:tc>
          <w:tcPr>
            <w:tcW w:type="dxa" w:w="201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Ndèye Fatou</w:t>
            </w:r>
          </w:p>
        </w:tc>
      </w:tr>
      <w:tr>
        <w:trPr>
          <w:cantSplit/>
        </w:trPr>
        <w:tc>
          <w:tcPr>
            <w:tcW w:type="dxa" w:w="257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Chiffres clés</w:t>
            </w:r>
          </w:p>
        </w:tc>
        <w:tc>
          <w:tcPr>
            <w:tcW w:type="dxa" w:w="5508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Recul moyen et maximum, bâtiments et équipements menacés d’ici 2030, par quartier</w:t>
            </w:r>
          </w:p>
        </w:tc>
        <w:tc>
          <w:tcPr>
            <w:tcW w:type="dxa" w:w="201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Ndèye Fatou</w:t>
            </w:r>
          </w:p>
        </w:tc>
      </w:tr>
      <w:tr>
        <w:trPr>
          <w:cantSplit/>
        </w:trPr>
        <w:tc>
          <w:tcPr>
            <w:tcW w:type="dxa" w:w="257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Tableau de bord web</w:t>
            </w:r>
          </w:p>
        </w:tc>
        <w:tc>
          <w:tcPr>
            <w:tcW w:type="dxa" w:w="5508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Carte interactive : on clique sur un tronçon pour voir son historique et son risque</w:t>
            </w:r>
          </w:p>
        </w:tc>
        <w:tc>
          <w:tcPr>
            <w:tcW w:type="dxa" w:w="201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Malick</w:t>
            </w:r>
          </w:p>
        </w:tc>
      </w:tr>
      <w:tr>
        <w:trPr>
          <w:cantSplit/>
        </w:trPr>
        <w:tc>
          <w:tcPr>
            <w:tcW w:type="dxa" w:w="257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Vidéo de démonstration</w:t>
            </w:r>
          </w:p>
        </w:tc>
        <w:tc>
          <w:tcPr>
            <w:tcW w:type="dxa" w:w="5508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2 à 3 minutes, au cas où la connexion lâche pendant l’oral</w:t>
            </w:r>
          </w:p>
        </w:tc>
        <w:tc>
          <w:tcPr>
            <w:tcW w:type="dxa" w:w="201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Malick</w:t>
            </w:r>
          </w:p>
        </w:tc>
      </w:tr>
      <w:tr>
        <w:trPr>
          <w:cantSplit/>
        </w:trPr>
        <w:tc>
          <w:tcPr>
            <w:tcW w:type="dxa" w:w="257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Présentation</w:t>
            </w:r>
          </w:p>
        </w:tc>
        <w:tc>
          <w:tcPr>
            <w:tcW w:type="dxa" w:w="5508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10 à 12 diapositives, envoyée avant le 22 octobre à 23 h 59</w:t>
            </w:r>
          </w:p>
        </w:tc>
        <w:tc>
          <w:tcPr>
            <w:tcW w:type="dxa" w:w="201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Les trois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2. Rôles</w:t>
      </w:r>
    </w:p>
    <w:tbl>
      <w:tblPr>
        <w:tblW w:type="dxa" w:w="100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4"/>
        <w:gridCol w:w="3984"/>
        <w:gridCol w:w="3984"/>
      </w:tblGrid>
      <w:tr>
        <w:trPr>
          <w:tblHeader/>
        </w:trPr>
        <w:tc>
          <w:tcPr>
            <w:tcW w:type="dxa" w:w="2124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Membre</w:t>
            </w:r>
          </w:p>
        </w:tc>
        <w:tc>
          <w:tcPr>
            <w:tcW w:type="dxa" w:w="3984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Rôle principal</w:t>
            </w:r>
          </w:p>
        </w:tc>
        <w:tc>
          <w:tcPr>
            <w:tcW w:type="dxa" w:w="3984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Il ou elle livre</w:t>
            </w:r>
          </w:p>
        </w:tc>
      </w:tr>
      <w:tr>
        <w:trPr>
          <w:cantSplit/>
        </w:trPr>
        <w:tc>
          <w:tcPr>
            <w:tcW w:type="dxa" w:w="2124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Abdoulaye DIOUF</w:t>
            </w:r>
          </w:p>
        </w:tc>
        <w:tc>
          <w:tcPr>
            <w:tcW w:type="dxa" w:w="3984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Images satellites et extraction du trait de côte (Google Earth Engine, CoastSat)</w:t>
            </w:r>
          </w:p>
        </w:tc>
        <w:tc>
          <w:tcPr>
            <w:tcW w:type="dxa" w:w="3984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traits_de_cote.geojson : une ligne par date, côté océan uniquement, colonne « date »</w:t>
            </w:r>
          </w:p>
        </w:tc>
      </w:tr>
      <w:tr>
        <w:trPr>
          <w:cantSplit/>
        </w:trPr>
        <w:tc>
          <w:tcPr>
            <w:tcW w:type="dxa" w:w="2124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Ndèye Fatou SOW</w:t>
            </w:r>
          </w:p>
        </w:tc>
        <w:tc>
          <w:tcPr>
            <w:tcW w:type="dxa" w:w="3984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Coordination, analyse (transects, vitesses de recul, projections, exposition), relations avec SENSAT</w:t>
            </w:r>
          </w:p>
        </w:tc>
        <w:tc>
          <w:tcPr>
            <w:tcW w:type="dxa" w:w="3984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Les fichiers du dossier resultats/ (GeoJSON et CSV) et les chiffres clés</w:t>
            </w:r>
          </w:p>
        </w:tc>
      </w:tr>
      <w:tr>
        <w:trPr>
          <w:cantSplit/>
        </w:trPr>
        <w:tc>
          <w:tcPr>
            <w:tcW w:type="dxa" w:w="2124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Malick FALL</w:t>
            </w:r>
          </w:p>
        </w:tc>
        <w:tc>
          <w:tcPr>
            <w:tcW w:type="dxa" w:w="3984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Tableau de bord web (React, Leaflet), vidéo de démonstration, mise en forme de la présentation</w:t>
            </w:r>
          </w:p>
        </w:tc>
        <w:tc>
          <w:tcPr>
            <w:tcW w:type="dxa" w:w="3984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Le lien du tableau de bord et la vidéo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 Planning jour par jour</w:t>
      </w:r>
    </w:p>
    <w:p>
      <w:pPr>
        <w:jc w:val="both"/>
      </w:pPr>
      <w:r>
        <w:rPr>
          <w:b/>
          <w:bCs/>
        </w:rPr>
        <w:t xml:space="preserve">Lundi 19 octobre (ce soir) : mise en route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Tous :</w:t>
      </w:r>
      <w:r>
        <w:t xml:space="preserve"> rejoindre le dépôt GitHub (envoyer son nom d’utilisateur à Ndèye Fatou), lire le README.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Abdoulaye :</w:t>
      </w:r>
      <w:r>
        <w:t xml:space="preserve"> activer son compte Google Earth Engine et installer CoastSat.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Malick :</w:t>
      </w:r>
      <w:r>
        <w:t xml:space="preserve"> créer le projet React avec une carte Leaflet centrée sur Saint-Louis.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Ndèye Fatou :</w:t>
      </w:r>
      <w:r>
        <w:t xml:space="preserve"> télécharger les bâtiments OpenStreetMap ; surveiller l’arrivée de la note d’orientation et des données de TRL.</w:t>
      </w:r>
    </w:p>
    <w:p>
      <w:pPr>
        <w:jc w:val="both"/>
      </w:pPr>
      <w:r>
        <w:rPr>
          <w:b/>
          <w:bCs/>
        </w:rPr>
        <w:t xml:space="preserve">Mardi 20 octobre (jour 1) : les données</w:t>
      </w:r>
    </w:p>
    <w:tbl>
      <w:tblPr>
        <w:tblW w:type="dxa" w:w="100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1"/>
        <w:gridCol w:w="6290"/>
        <w:gridCol w:w="1901"/>
      </w:tblGrid>
      <w:tr>
        <w:trPr>
          <w:tblHeader/>
        </w:trPr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Qui</w:t>
            </w:r>
          </w:p>
        </w:tc>
        <w:tc>
          <w:tcPr>
            <w:tcW w:type="dxa" w:w="629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Tâche</w:t>
            </w:r>
          </w:p>
        </w:tc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À livrer avant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Abdoulaye</w:t>
            </w:r>
          </w:p>
        </w:tc>
        <w:tc>
          <w:tcPr>
            <w:tcW w:type="dxa" w:w="629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Extraire les traits de côte (au moins une date par an, 2015 à 2025) et retirer la rive du fleuve</w:t>
            </w:r>
          </w:p>
        </w:tc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20 h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Ndèye Fatou</w:t>
            </w:r>
          </w:p>
        </w:tc>
        <w:tc>
          <w:tcPr>
            <w:tcW w:type="dxa" w:w="629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Lire la note d’orientation et adapter le plan ; lancer l’analyse dès réception des traits de côte</w:t>
            </w:r>
          </w:p>
        </w:tc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22 h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Malick</w:t>
            </w:r>
          </w:p>
        </w:tc>
        <w:tc>
          <w:tcPr>
            <w:tcW w:type="dxa" w:w="629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Afficher sur la carte les fichiers de test (transects colorés selon le risque, bande menacée)</w:t>
            </w:r>
          </w:p>
        </w:tc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20 h</w:t>
            </w:r>
          </w:p>
        </w:tc>
      </w:tr>
    </w:tbl>
    <w:p>
      <w:pPr>
        <w:spacing w:after="60"/>
      </w:pPr>
    </w:p>
    <w:p>
      <w:pPr>
        <w:jc w:val="both"/>
      </w:pPr>
      <w:r>
        <w:rPr>
          <w:b/>
          <w:bCs/>
        </w:rPr>
        <w:t xml:space="preserve">Mercredi 21 octobre (jour 2) : l’analyse et le tableau de bord</w:t>
      </w:r>
    </w:p>
    <w:tbl>
      <w:tblPr>
        <w:tblW w:type="dxa" w:w="100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1"/>
        <w:gridCol w:w="6290"/>
        <w:gridCol w:w="1901"/>
      </w:tblGrid>
      <w:tr>
        <w:trPr>
          <w:tblHeader/>
        </w:trPr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Qui</w:t>
            </w:r>
          </w:p>
        </w:tc>
        <w:tc>
          <w:tcPr>
            <w:tcW w:type="dxa" w:w="629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Tâche</w:t>
            </w:r>
          </w:p>
        </w:tc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À livrer avant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Ndèye Fatou</w:t>
            </w:r>
          </w:p>
        </w:tc>
        <w:tc>
          <w:tcPr>
            <w:tcW w:type="dxa" w:w="629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Vérifier les résultats (valeurs aberrantes, R²), ajuster les seuils de risque, produire les chiffres clés par quartier</w:t>
            </w:r>
          </w:p>
        </w:tc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14 h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Abdoulaye</w:t>
            </w:r>
          </w:p>
        </w:tc>
        <w:tc>
          <w:tcPr>
            <w:tcW w:type="dxa" w:w="629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Carte avant / après et animation de la brèche depuis 2003 (Landsat)</w:t>
            </w:r>
          </w:p>
        </w:tc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18 h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Malick</w:t>
            </w:r>
          </w:p>
        </w:tc>
        <w:tc>
          <w:tcPr>
            <w:tcW w:type="dxa" w:w="629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Brancher les vrais résultats sur le tableau de bord, fiche détaillée de chaque tronçon</w:t>
            </w:r>
          </w:p>
        </w:tc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20 h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Les trois</w:t>
            </w:r>
          </w:p>
        </w:tc>
        <w:tc>
          <w:tcPr>
            <w:tcW w:type="dxa" w:w="629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Premier brouillon de la présentation</w:t>
            </w:r>
          </w:p>
        </w:tc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22 h</w:t>
            </w:r>
          </w:p>
        </w:tc>
      </w:tr>
    </w:tbl>
    <w:p>
      <w:pPr>
        <w:spacing w:after="60"/>
      </w:pPr>
    </w:p>
    <w:p>
      <w:pPr>
        <w:jc w:val="both"/>
      </w:pPr>
      <w:r>
        <w:rPr>
          <w:b/>
          <w:bCs/>
        </w:rPr>
        <w:t xml:space="preserve">Jeudi 22 octobre (jour 3) : la présentation</w:t>
      </w:r>
    </w:p>
    <w:tbl>
      <w:tblPr>
        <w:tblW w:type="dxa" w:w="100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1"/>
        <w:gridCol w:w="6290"/>
        <w:gridCol w:w="1901"/>
      </w:tblGrid>
      <w:tr>
        <w:trPr>
          <w:tblHeader/>
        </w:trPr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Qui</w:t>
            </w:r>
          </w:p>
        </w:tc>
        <w:tc>
          <w:tcPr>
            <w:tcW w:type="dxa" w:w="629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Tâche</w:t>
            </w:r>
          </w:p>
        </w:tc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À livrer avant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Malick</w:t>
            </w:r>
          </w:p>
        </w:tc>
        <w:tc>
          <w:tcPr>
            <w:tcW w:type="dxa" w:w="629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Finaliser le tableau de bord, enregistrer la vidéo de démonstration</w:t>
            </w:r>
          </w:p>
        </w:tc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14 h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Ndèye Fatou</w:t>
            </w:r>
          </w:p>
        </w:tc>
        <w:tc>
          <w:tcPr>
            <w:tcW w:type="dxa" w:w="629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Finaliser les diapositives et relire tous les chiffres</w:t>
            </w:r>
          </w:p>
        </w:tc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17 h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Les trois</w:t>
            </w:r>
          </w:p>
        </w:tc>
        <w:tc>
          <w:tcPr>
            <w:tcW w:type="dxa" w:w="629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Répétition complète avec un minuteur</w:t>
            </w:r>
          </w:p>
        </w:tc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19 h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Ndèye Fatou</w:t>
            </w:r>
          </w:p>
        </w:tc>
        <w:tc>
          <w:tcPr>
            <w:tcW w:type="dxa" w:w="629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Envoi de la présentation à SENSAT</w:t>
            </w:r>
          </w:p>
        </w:tc>
        <w:tc>
          <w:tcPr>
            <w:tcW w:type="dxa" w:w="1901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20 h</w:t>
            </w:r>
            <w:r>
              <w:rPr>
                <w:sz w:val="19"/>
                <w:szCs w:val="19"/>
              </w:rPr>
              <w:t xml:space="preserve"> (limite officielle : 23 h 59)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4. Échanges entre nous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Deux points rapides par jour</w:t>
      </w:r>
      <w:r>
        <w:t xml:space="preserve"> sur WhatsApp (15 minutes) : 9 h et 21 h. Chacun dit ce qu’il a fini, ce qu’il fait ensuite et ce qui le bloque.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blocage de plus d’une heure se signale tout de suite</w:t>
      </w:r>
      <w:r>
        <w:t xml:space="preserve"> dans le groupe, sans attendre le point suivant.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Tout le code va sur GitHub</w:t>
      </w:r>
      <w:r>
        <w:t xml:space="preserve">, et les fichiers lourds (images, vidéo) sur le Google Drive partagé.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Les fichiers échangés suivent les formats du README</w:t>
      </w:r>
      <w:r>
        <w:t xml:space="preserve"> : GeoJSON en WGS84, dates au format AAAA-MM-JJ.</w:t>
      </w:r>
    </w:p>
    <w:p>
      <w:pPr>
        <w:pStyle w:val="Heading2"/>
      </w:pPr>
      <w:r>
        <w:t xml:space="preserve">5. Plan de secours</w:t>
      </w:r>
    </w:p>
    <w:tbl>
      <w:tblPr>
        <w:tblW w:type="dxa" w:w="100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25"/>
        <w:gridCol w:w="6067"/>
      </w:tblGrid>
      <w:tr>
        <w:trPr>
          <w:tblHeader/>
        </w:trPr>
        <w:tc>
          <w:tcPr>
            <w:tcW w:type="dxa" w:w="4025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Si…</w:t>
            </w:r>
          </w:p>
        </w:tc>
        <w:tc>
          <w:tcPr>
            <w:tcW w:type="dxa" w:w="6067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Alors…</w:t>
            </w:r>
          </w:p>
        </w:tc>
      </w:tr>
      <w:tr>
        <w:trPr>
          <w:cantSplit/>
        </w:trPr>
        <w:tc>
          <w:tcPr>
            <w:tcW w:type="dxa" w:w="4025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Les données de TRL arrivent tard</w:t>
            </w:r>
          </w:p>
        </w:tc>
        <w:tc>
          <w:tcPr>
            <w:tcW w:type="dxa" w:w="6067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Abdoulaye télécharge lui-même les images Sentinel-2 dans Google Earth Engine</w:t>
            </w:r>
          </w:p>
        </w:tc>
      </w:tr>
      <w:tr>
        <w:trPr>
          <w:cantSplit/>
        </w:trPr>
        <w:tc>
          <w:tcPr>
            <w:tcW w:type="dxa" w:w="4025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L’extraction automatique du trait de côte échoue</w:t>
            </w:r>
          </w:p>
        </w:tc>
        <w:tc>
          <w:tcPr>
            <w:tcW w:type="dxa" w:w="6067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Tracer à la main dans QGIS le trait de côte de 4 dates (2015, 2018, 2021, 2025) : l’analyse fonctionne avec 3 dates minimum</w:t>
            </w:r>
          </w:p>
        </w:tc>
      </w:tr>
      <w:tr>
        <w:trPr>
          <w:cantSplit/>
        </w:trPr>
        <w:tc>
          <w:tcPr>
            <w:tcW w:type="dxa" w:w="4025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Le tableau de bord n’est pas prêt</w:t>
            </w:r>
          </w:p>
        </w:tc>
        <w:tc>
          <w:tcPr>
            <w:tcW w:type="dxa" w:w="6067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Présenter les cartes en images et la vidéo ; le tableau de bord devient une perspective</w:t>
            </w:r>
          </w:p>
        </w:tc>
      </w:tr>
      <w:tr>
        <w:trPr>
          <w:cantSplit/>
        </w:trPr>
        <w:tc>
          <w:tcPr>
            <w:tcW w:type="dxa" w:w="4025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Un membre est indisponible</w:t>
            </w:r>
          </w:p>
        </w:tc>
        <w:tc>
          <w:tcPr>
            <w:tcW w:type="dxa" w:w="6067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Sa tâche passe au membre le plus proche : Ndèye Fatou reprend les images, Abdoulaye reprend l’analyse</w:t>
            </w:r>
          </w:p>
        </w:tc>
      </w:tr>
      <w:tr>
        <w:trPr>
          <w:cantSplit/>
        </w:trPr>
        <w:tc>
          <w:tcPr>
            <w:tcW w:type="dxa" w:w="4025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La connexion coupe pendant l’oral</w:t>
            </w:r>
          </w:p>
        </w:tc>
        <w:tc>
          <w:tcPr>
            <w:tcW w:type="dxa" w:w="6067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Lancer la vidéo de démonstration ; un deuxième membre est prêt à reprendre la parole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6. Structure de la présentation (10 à 12 diapositives)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Titre</w:t>
      </w:r>
      <w:r>
        <w:t xml:space="preserve"> : TefesSat, l’équipe, une photo de la Langue de Barbarie.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Le problème</w:t>
      </w:r>
      <w:r>
        <w:t xml:space="preserve"> : maisons détruites à Guet Ndar, la brèche de 2003, les familles relogées.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Pourquoi le satellite</w:t>
      </w:r>
      <w:r>
        <w:t xml:space="preserve"> : voir toute la côte, depuis 2000, gratuitement.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Les données</w:t>
      </w:r>
      <w:r>
        <w:t xml:space="preserve"> : Sentinel-2, Landsat, OpenStreetMap, zone et période d’étude.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La méthode</w:t>
      </w:r>
      <w:r>
        <w:t xml:space="preserve"> : schéma en 4 étapes (trait de côte → transects → recul → exposition).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Résultat 1</w:t>
      </w:r>
      <w:r>
        <w:t xml:space="preserve"> : la carte avant / après.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Résultat 2</w:t>
      </w:r>
      <w:r>
        <w:t xml:space="preserve"> : la carte des vitesses de recul et les chiffres clés.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Résultat 3</w:t>
      </w:r>
      <w:r>
        <w:t xml:space="preserve"> : les bâtiments et équipements menacés d’ici 2030.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La solution</w:t>
      </w:r>
      <w:r>
        <w:t xml:space="preserve"> : démonstration du tableau de bord.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Qui l’utilise et pour quelle décision</w:t>
      </w:r>
      <w:r>
        <w:t xml:space="preserve"> : mairie, ADM, DEEC, protection civile.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Impact et ODD</w:t>
      </w:r>
      <w:r>
        <w:t xml:space="preserve"> : 13, 11, 14 et 1.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Limites et suite</w:t>
      </w:r>
      <w:r>
        <w:t xml:space="preserve"> : extension à Rufisque, Mbour, Joal ; mises à jour plusieurs fois par an.</w:t>
      </w:r>
    </w:p>
    <w:p>
      <w:pPr>
        <w:jc w:val="both"/>
      </w:pPr>
      <w:r>
        <w:rPr>
          <w:b/>
          <w:bCs/>
        </w:rPr>
        <w:t xml:space="preserve">À l’oral :</w:t>
      </w:r>
      <w:r>
        <w:t xml:space="preserve"> Ndèye Fatou présente le problème, l’impact et la conclusion ; Abdoulaye présente les données et la méthode ; Malick fait la démonstration. Chacun doit pouvoir répondre aux questions sur sa partie.</w:t>
      </w:r>
    </w:p>
    <w:p>
      <w:pPr>
        <w:pStyle w:val="Heading2"/>
      </w:pPr>
      <w:r>
        <w:t xml:space="preserve">7. Ce qui fera la différence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Des résultats sur données réelles</w:t>
      </w:r>
      <w:r>
        <w:t xml:space="preserve">, jamais sur les données de test.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Des chiffres précis et vérifiés</w:t>
      </w:r>
      <w:r>
        <w:t xml:space="preserve"> : « X bâtiments menacés à Guet Ndar d’ici 2030 » marque plus qu’un long discours.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utilisateur réel nommé</w:t>
      </w:r>
      <w:r>
        <w:t xml:space="preserve"> et une décision concrète qu’il pourra prendre grâce à nous.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Une démonstration qui fonctionne</w:t>
      </w:r>
      <w:r>
        <w:t xml:space="preserve">, avec la vidéo en secours.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L’honnêteté sur les limites</w:t>
      </w:r>
      <w:r>
        <w:t xml:space="preserve"> (précision des images, marée, projection linéaire) : le jury est composé de spécialistes.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Le respect strict des délais</w:t>
      </w:r>
      <w:r>
        <w:t xml:space="preserve"> : envoi à 20 h, pas à 23 h 58.</w:t>
      </w:r>
    </w:p>
    <w:sectPr>
      <w:pgSz w:w="11906" w:h="16838" w:orient="portrait"/>
      <w:pgMar w:top="850" w:right="907" w:bottom="850" w:left="90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after="50"/>
        <w:ind w:left="3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spacing w:after="50"/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2E"/>
        <w:sz w:val="21"/>
        <w:szCs w:val="21"/>
      </w:rPr>
    </w:rPrDefault>
    <w:pPrDefault>
      <w:pPr>
        <w:spacing w:after="90"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0B7A6F" w:sz="10" w:space="2"/>
      </w:pBdr>
      <w:spacing w:before="220" w:after="80"/>
      <w:outlineLvl w:val="1"/>
    </w:pPr>
    <w:rPr>
      <w:rFonts w:ascii="Calibri" w:cs="Calibri" w:eastAsia="Calibri" w:hAnsi="Calibri"/>
      <w:b/>
      <w:bCs/>
      <w:color w:val="0B7A6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TefesSat – Cahier des charges</dc:title>
  <dc:creator>Ndèye Fatou SOW</dc:creator>
  <cp:lastModifiedBy>Un-named</cp:lastModifiedBy>
  <cp:revision>1</cp:revision>
  <dcterms:created xsi:type="dcterms:W3CDTF">2026-10-19T19:22:41.089Z</dcterms:created>
  <dcterms:modified xsi:type="dcterms:W3CDTF">2026-10-19T19:22:41.100Z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