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B7A6F"/>
          <w:sz w:val="18"/>
          <w:szCs w:val="18"/>
        </w:rPr>
        <w:t xml:space="preserve">HACKATHON « DU SATELLITE À LA SOLUTION » – SENSAT / TRL SPACE – INVENTAIRE DES SOURCES</w:t>
      </w:r>
    </w:p>
    <w:p>
      <w:pPr>
        <w:spacing w:after="20"/>
      </w:pPr>
      <w:r>
        <w:rPr>
          <w:b/>
          <w:bCs/>
          <w:color w:val="0B7A6F"/>
          <w:sz w:val="48"/>
          <w:szCs w:val="48"/>
        </w:rPr>
        <w:t xml:space="preserve">Inventaire des sources</w:t>
      </w:r>
    </w:p>
    <w:p>
      <w:pPr>
        <w:spacing w:after="140"/>
      </w:pPr>
      <w:r>
        <w:rPr>
          <w:b/>
          <w:bCs/>
          <w:sz w:val="25"/>
          <w:szCs w:val="25"/>
        </w:rPr>
        <w:t xml:space="preserve">TefesSat – données, outils, intelligence artificielle et contributions des membres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92"/>
      </w:tblGrid>
      <w:tr>
        <w:tc>
          <w:tcPr>
            <w:tcW w:type="dxa" w:w="1900"/>
            <w:tcBorders>
              <w:top w:val="none" w:color="FFFFFF" w:sz="0"/>
              <w:left w:val="single" w:color="0B7A6F" w:sz="24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B7A6F"/>
                <w:sz w:val="20"/>
                <w:szCs w:val="20"/>
              </w:rPr>
              <w:t xml:space="preserve">Équipe</w:t>
            </w:r>
          </w:p>
        </w:tc>
        <w:tc>
          <w:tcPr>
            <w:tcW w:type="dxa" w:w="8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Ndèye Fatou SOW (référente), Abdoulaye DIOUF, Malick FALL – Master 2, UCAD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0B7A6F" w:sz="24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B7A6F"/>
                <w:sz w:val="20"/>
                <w:szCs w:val="20"/>
              </w:rPr>
              <w:t xml:space="preserve">Zone</w:t>
            </w:r>
          </w:p>
        </w:tc>
        <w:tc>
          <w:tcPr>
            <w:tcW w:type="dxa" w:w="8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Langue de Barbarie, Saint-Louis : 15,75–16,08° N ; 16,45–16,58° O (WGS84)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0B7A6F" w:sz="24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B7A6F"/>
                <w:sz w:val="20"/>
                <w:szCs w:val="20"/>
              </w:rPr>
              <w:t xml:space="preserve">Consultation</w:t>
            </w:r>
          </w:p>
        </w:tc>
        <w:tc>
          <w:tcPr>
            <w:tcW w:type="dxa" w:w="8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Données téléchargées les 19 et 20 octobre 2026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0B7A6F" w:sz="24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B7A6F"/>
                <w:sz w:val="20"/>
                <w:szCs w:val="20"/>
              </w:rPr>
              <w:t xml:space="preserve">Reproduction</w:t>
            </w:r>
          </w:p>
        </w:tc>
        <w:tc>
          <w:tcPr>
            <w:tcW w:type="dxa" w:w="8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Scripts Python et instructions pas à pas : dossier « scripts » (README)</w:t>
            </w:r>
          </w:p>
        </w:tc>
      </w:tr>
    </w:tbl>
    <w:p>
      <w:pPr>
        <w:pStyle w:val="Heading2"/>
      </w:pPr>
      <w:r>
        <w:t xml:space="preserve">1. Données satellitaires et géographiques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1000"/>
        <w:gridCol w:w="2500"/>
        <w:gridCol w:w="1992"/>
      </w:tblGrid>
      <w:tr>
        <w:trPr>
          <w:tblHeader/>
        </w:trPr>
        <w:tc>
          <w:tcPr>
            <w:tcW w:type="dxa" w:w="17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Jeu de données</w:t>
            </w:r>
          </w:p>
        </w:tc>
        <w:tc>
          <w:tcPr>
            <w:tcW w:type="dxa" w:w="29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Produit et dates utilisés</w:t>
            </w:r>
          </w:p>
        </w:tc>
        <w:tc>
          <w:tcPr>
            <w:tcW w:type="dxa" w:w="10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Résolution</w:t>
            </w:r>
          </w:p>
        </w:tc>
        <w:tc>
          <w:tcPr>
            <w:tcW w:type="dxa" w:w="25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Licence et attribution</w:t>
            </w:r>
          </w:p>
        </w:tc>
        <w:tc>
          <w:tcPr>
            <w:tcW w:type="dxa" w:w="19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Accès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Sentinel-2 L2A (Copernicus, ESA)</w:t>
            </w:r>
          </w:p>
        </w:tc>
        <w:tc>
          <w:tcPr>
            <w:tcW w:type="dxa" w:w="29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 images de saison sèche, nuages &lt; 5 % : 14/01/2016, 27/02/2017, 19/11/2017, 22/02/2019, 27/02/2020, 02/01/2021, 28/12/2021, 22/01/2023, 08/12/2023, 06/01/2025. Bandes B03, B11 et image couleur</w:t>
            </w:r>
          </w:p>
        </w:tc>
        <w:tc>
          <w:tcPr>
            <w:tcW w:type="dxa" w:w="10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 m (B11 : 20 m)</w:t>
            </w:r>
          </w:p>
        </w:tc>
        <w:tc>
          <w:tcPr>
            <w:tcW w:type="dxa" w:w="25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Données Copernicus libres et gratuites. « Contient des données Copernicus Sentinel modifiées (2016–2025) »</w:t>
            </w:r>
          </w:p>
        </w:tc>
        <w:tc>
          <w:tcPr>
            <w:tcW w:type="dxa" w:w="19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Microsoft Planetary Computer, collection sentinel-2-l2a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Sentinel-2 via CoastSat (traitement : Abdoulaye DIOUF)</w:t>
            </w:r>
          </w:p>
        </w:tc>
        <w:tc>
          <w:tcPr>
            <w:tcW w:type="dxa" w:w="29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Nord : 372 traits de côte, 27/08/2015 – 2025 (15,97–16,06° N, Hydrobase – Goxu Mbacc), notebook extraction_saint_louis.ipynb. Sud : 265 traits de côte, 2016 – 2025 (15,87–15,98° N, brèche, Guéthie), notebook extraction_saint_louis_sud.ipynb</w:t>
            </w:r>
          </w:p>
        </w:tc>
        <w:tc>
          <w:tcPr>
            <w:tcW w:type="dxa" w:w="10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 m</w:t>
            </w:r>
          </w:p>
        </w:tc>
        <w:tc>
          <w:tcPr>
            <w:tcW w:type="dxa" w:w="25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Données Copernicus ; outil CoastSat (Vos et al., 2019, licence libre)</w:t>
            </w:r>
          </w:p>
        </w:tc>
        <w:tc>
          <w:tcPr>
            <w:tcW w:type="dxa" w:w="19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Dépôt de l’équipe : donnees/traits_de_cote_coastsat.geojson et donnees/traits_de_cote_coastsat_sud.geojson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Sentinel-1 RTC (Copernicus, ESA)</w:t>
            </w:r>
          </w:p>
        </w:tc>
        <w:tc>
          <w:tcPr>
            <w:tcW w:type="dxa" w:w="29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 images : 26/02/2019, 24/01/2023, 01/01/2025. Polarisation VV</w:t>
            </w:r>
          </w:p>
        </w:tc>
        <w:tc>
          <w:tcPr>
            <w:tcW w:type="dxa" w:w="10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 m</w:t>
            </w:r>
          </w:p>
        </w:tc>
        <w:tc>
          <w:tcPr>
            <w:tcW w:type="dxa" w:w="25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Données Copernicus ; traitement RTC publié par Microsoft Planetary Computer (licence indiquée sur la fiche de la collection)</w:t>
            </w:r>
          </w:p>
        </w:tc>
        <w:tc>
          <w:tcPr>
            <w:tcW w:type="dxa" w:w="19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Microsoft Planetary Computer, collection sentinel-1-rtc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Copernicus DEM GLO-30</w:t>
            </w:r>
          </w:p>
        </w:tc>
        <w:tc>
          <w:tcPr>
            <w:tcW w:type="dxa" w:w="29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Modèle numérique de surface, acquisitions 2011–2015</w:t>
            </w:r>
          </w:p>
        </w:tc>
        <w:tc>
          <w:tcPr>
            <w:tcW w:type="dxa" w:w="10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30 m</w:t>
            </w:r>
          </w:p>
        </w:tc>
        <w:tc>
          <w:tcPr>
            <w:tcW w:type="dxa" w:w="25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Licence Copernicus DEM, gratuite avec attribution : © DLR e.V. 2010-2014 et © Airbus Defence and Space GmbH 2014-2018, fournis dans le cadre de COPERNICUS par l’Union européenne et l’ESA</w:t>
            </w:r>
          </w:p>
        </w:tc>
        <w:tc>
          <w:tcPr>
            <w:tcW w:type="dxa" w:w="19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Microsoft Planetary Computer, collection cop-dem-glo-30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WorldPop 2025, version contrainte (R2024B)</w:t>
            </w:r>
          </w:p>
        </w:tc>
        <w:tc>
          <w:tcPr>
            <w:tcW w:type="dxa" w:w="29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Nombre d’habitants par carré, Sénégal, 2025</w:t>
            </w:r>
          </w:p>
        </w:tc>
        <w:tc>
          <w:tcPr>
            <w:tcW w:type="dxa" w:w="10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100 m</w:t>
            </w:r>
          </w:p>
        </w:tc>
        <w:tc>
          <w:tcPr>
            <w:tcW w:type="dxa" w:w="25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CC BY 4.0, © WorldPop (University of Southampton)</w:t>
            </w:r>
          </w:p>
        </w:tc>
        <w:tc>
          <w:tcPr>
            <w:tcW w:type="dxa" w:w="19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data.worldpop.org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OpenStreetMap</w:t>
            </w:r>
          </w:p>
        </w:tc>
        <w:tc>
          <w:tcPr>
            <w:tcW w:type="dxa" w:w="29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Bâtiments (44 052), écoles, lieux de culte, structures de santé (409), lieux nommés (59), extraits le 19/10/2026</w:t>
            </w:r>
          </w:p>
        </w:tc>
        <w:tc>
          <w:tcPr>
            <w:tcW w:type="dxa" w:w="10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25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ODbL, © les contributeurs d’OpenStreetMap</w:t>
            </w:r>
          </w:p>
        </w:tc>
        <w:tc>
          <w:tcPr>
            <w:tcW w:type="dxa" w:w="19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API Overpass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Google Open Buildings et Microsoft Building Footprints</w:t>
            </w:r>
          </w:p>
        </w:tc>
        <w:tc>
          <w:tcPr>
            <w:tcW w:type="dxa" w:w="29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Bâtiments absents d’OSM, confiance ≥ 70 % : 25 451 (Google) et 978 (Microsoft) ajoutés</w:t>
            </w:r>
          </w:p>
        </w:tc>
        <w:tc>
          <w:tcPr>
            <w:tcW w:type="dxa" w:w="10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25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Google Open Buildings : CC BY 4.0 ou ODbL ; Microsoft : ODbL. Jeu combiné publié par VIDA</w:t>
            </w:r>
          </w:p>
        </w:tc>
        <w:tc>
          <w:tcPr>
            <w:tcW w:type="dxa" w:w="19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Source Cooperative (VIDA, google-microsoft-open-buildings)</w:t>
            </w:r>
          </w:p>
        </w:tc>
      </w:tr>
    </w:tbl>
    <w:p>
      <w:pPr>
        <w:spacing w:after="60"/>
      </w:pPr>
    </w:p>
    <w:p>
      <w:pPr>
        <w:jc w:val="both"/>
      </w:pPr>
      <w:r>
        <w:t xml:space="preserve">Toutes les données sont ouvertes : aucun achat, abonnement ni donnée propriétaire n’a été utilisé. Les images Sentinel ont été lues via Microsoft Planetary Computer, qui redistribue les produits Copernicus ; elles sont aussi disponibles sur Copernicus Data Space Ecosystem.</w:t>
      </w:r>
    </w:p>
    <w:p>
      <w:pPr>
        <w:pStyle w:val="Heading2"/>
      </w:pPr>
      <w:r>
        <w:t xml:space="preserve">2. Informations de contexte (textes)</w:t>
      </w:r>
    </w:p>
    <w:p>
      <w:pPr>
        <w:pStyle w:val="ListParagraph"/>
        <w:numPr>
          <w:ilvl w:val="0"/>
          <w:numId w:val="2"/>
        </w:numPr>
      </w:pPr>
      <w:r>
        <w:t xml:space="preserve">Digue de protection côtière (Projet de Protection Côtière de Saint-Louis, maître d’ouvrage ADM, financement État du Sénégal et AFD) : 2 150 m d’enrochements, travaux lancés en janvier 2021. Ndarinfo, « Digue de protection côtière de Saint-Louis : le démarrage des travaux effectif » : https://www.ndarinfo.com/DIGUE-DE-PROTECTION-COTIERE-DE-SAINT-LOUIS-Le-demarrage-des-travaux-effectif--selon-Gerard-SENAC_a30427.html</w:t>
      </w:r>
    </w:p>
    <w:p>
      <w:pPr>
        <w:pStyle w:val="ListParagraph"/>
        <w:numPr>
          <w:ilvl w:val="0"/>
          <w:numId w:val="2"/>
        </w:numPr>
      </w:pPr>
      <w:r>
        <w:t xml:space="preserve">Avancement de la digue (53 % en octobre 2021, fin visée en avril 2022). Ndarinfo : https://www.ndarinfo.com/Saint-Louis-La-digue-de-protection-cotiere-realisee-a-53-video_a32599.html</w:t>
      </w:r>
    </w:p>
    <w:p>
      <w:pPr>
        <w:pStyle w:val="ListParagraph"/>
        <w:numPr>
          <w:ilvl w:val="0"/>
          <w:numId w:val="2"/>
        </w:numPr>
      </w:pPr>
      <w:r>
        <w:t xml:space="preserve">Évaluation du projet par l’AFD (2025) : https://www.afd.fr/sites/default/files/2026-01/2025_csn1561_evaluationprojet_resume_fr.pdf</w:t>
      </w:r>
    </w:p>
    <w:p>
      <w:pPr>
        <w:pStyle w:val="ListParagraph"/>
        <w:numPr>
          <w:ilvl w:val="0"/>
          <w:numId w:val="2"/>
        </w:numPr>
      </w:pPr>
      <w:r>
        <w:t xml:space="preserve">Relogement des familles de la bande des 20 m (projet SERRP, Banque mondiale) : Plan d’action de réinstallation de la Langue de Barbarie, rapport final, avril 2020 : https://documents1.worldbank.org/curated/en/563401588360092073/pdf/Plan-dAction-de-R%C3%A9installation-de-la-Langue-Barbarie.pdf</w:t>
      </w:r>
    </w:p>
    <w:p>
      <w:pPr>
        <w:pStyle w:val="ListParagraph"/>
        <w:numPr>
          <w:ilvl w:val="0"/>
          <w:numId w:val="2"/>
        </w:numPr>
      </w:pPr>
      <w:r>
        <w:t xml:space="preserve">Ouverture de la brèche en 2003. Ndarinfo, « Comment la première brèche a été ouverte sur la Langue de Barbarie en 2003 » : https://www.ndarinfo.com/EXCLUSIF-Saint-Louis-Comment-la-premiere-breche-a-ete-ouverte-sur-la-langue-de-barbarie-en-2003_a4505.html</w:t>
      </w:r>
    </w:p>
    <w:p>
      <w:pPr>
        <w:pStyle w:val="ListParagraph"/>
        <w:numPr>
          <w:ilvl w:val="0"/>
          <w:numId w:val="2"/>
        </w:numPr>
      </w:pPr>
      <w:r>
        <w:t xml:space="preserve">Disparition du village de Doun Baba Dièye. Ndarinfo, « Doune Baba Dièye n’existe plus » : https://www.ndarinfo.com/Saint-Louis-Doune-Baba-Dieye-n-existe-plus_a4597.html</w:t>
      </w:r>
    </w:p>
    <w:p>
      <w:pPr>
        <w:pStyle w:val="ListParagraph"/>
        <w:numPr>
          <w:ilvl w:val="0"/>
          <w:numId w:val="2"/>
        </w:numPr>
      </w:pPr>
      <w:r>
        <w:t xml:space="preserve">Sites consultés le 20 octobre 2026.</w:t>
      </w:r>
    </w:p>
    <w:p>
      <w:pPr>
        <w:pStyle w:val="Heading2"/>
      </w:pPr>
      <w:r>
        <w:t xml:space="preserve">3. Méthodes de référence</w:t>
      </w:r>
    </w:p>
    <w:p>
      <w:pPr>
        <w:pStyle w:val="ListParagraph"/>
        <w:numPr>
          <w:ilvl w:val="0"/>
          <w:numId w:val="2"/>
        </w:numPr>
      </w:pPr>
      <w:r>
        <w:t xml:space="preserve">Indice MNDWI : Xu, H. (2006). Modification of normalised difference water index (NDWI) to enhance open water features in remotely sensed imagery. International Journal of Remote Sensing, 27(14).</w:t>
      </w:r>
    </w:p>
    <w:p>
      <w:pPr>
        <w:pStyle w:val="ListParagraph"/>
        <w:numPr>
          <w:ilvl w:val="0"/>
          <w:numId w:val="2"/>
        </w:numPr>
      </w:pPr>
      <w:r>
        <w:t xml:space="preserve">Seuil automatique : Otsu, N. (1979). A threshold selection method from gray-level histograms. IEEE Transactions on Systems, Man, and Cybernetics, 9(1).</w:t>
      </w:r>
    </w:p>
    <w:p>
      <w:pPr>
        <w:pStyle w:val="ListParagraph"/>
        <w:numPr>
          <w:ilvl w:val="0"/>
          <w:numId w:val="2"/>
        </w:numPr>
      </w:pPr>
      <w:r>
        <w:t xml:space="preserve">Indicateurs de recul par transects (NSM, EPR, LRR) : Himmelstoss, E. A. et al. (2018). Digital Shoreline Analysis System (DSAS) version 5.0 user guide. U.S. Geological Survey.</w:t>
      </w:r>
    </w:p>
    <w:p>
      <w:pPr>
        <w:pStyle w:val="ListParagraph"/>
        <w:numPr>
          <w:ilvl w:val="0"/>
          <w:numId w:val="2"/>
        </w:numPr>
      </w:pPr>
      <w:r>
        <w:t xml:space="preserve">Pente robuste : Sen, P. K. (1968). Estimates of the regression coefficient based on Kendall’s tau. Journal of the American Statistical Association, 63(324).</w:t>
      </w:r>
    </w:p>
    <w:p>
      <w:pPr>
        <w:pStyle w:val="ListParagraph"/>
        <w:numPr>
          <w:ilvl w:val="0"/>
          <w:numId w:val="2"/>
        </w:numPr>
      </w:pPr>
      <w:r>
        <w:t xml:space="preserve">Extraction du trait de côte (comparaison) : Vos, K. et al. (2019). CoastSat: A Google Earth Engine-enabled Python toolkit to extract shorelines from publicly available satellite imagery. Environmental Modelling &amp; Software, 122.</w:t>
      </w:r>
    </w:p>
    <w:p>
      <w:pPr>
        <w:pStyle w:val="Heading2"/>
      </w:pPr>
      <w:r>
        <w:t xml:space="preserve">4. Outils et logiciels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92"/>
      </w:tblGrid>
      <w:tr>
        <w:trPr>
          <w:tblHeader/>
        </w:trPr>
        <w:tc>
          <w:tcPr>
            <w:tcW w:type="dxa" w:w="32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  <w:tc>
          <w:tcPr>
            <w:tcW w:type="dxa" w:w="68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Python 3.14</w:t>
            </w:r>
          </w:p>
        </w:tc>
        <w:tc>
          <w:tcPr>
            <w:tcW w:type="dxa" w:w="68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Toute la chaîne de traitement (scripts du dossier « scripts »)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geopandas, shapely, pyproj, pyogrio</w:t>
            </w:r>
          </w:p>
        </w:tc>
        <w:tc>
          <w:tcPr>
            <w:tcW w:type="dxa" w:w="68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Géométries, transects, projections (UTM 28N, EPSG:32628), lecture et écriture GeoJSON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rasterio, numpy, scipy, scikit-image</w:t>
            </w:r>
          </w:p>
        </w:tc>
        <w:tc>
          <w:tcPr>
            <w:tcW w:type="dxa" w:w="68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Lecture des images, indice MNDWI, seuil d’Otsu, filtre médian, pente de Theil-Sen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pandas, matplotlib</w:t>
            </w:r>
          </w:p>
        </w:tc>
        <w:tc>
          <w:tcPr>
            <w:tcW w:type="dxa" w:w="68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Tableaux de résultats et graphiques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pystac-client, planetary-computer, requests, duckdb</w:t>
            </w:r>
          </w:p>
        </w:tc>
        <w:tc>
          <w:tcPr>
            <w:tcW w:type="dxa" w:w="68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Recherche et téléchargement des images et des données ouvertes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Git et GitHub</w:t>
            </w:r>
          </w:p>
        </w:tc>
        <w:tc>
          <w:tcPr>
            <w:tcW w:type="dxa" w:w="68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Partage et versionnement du code dans l’équipe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[À compléter par Abdoulaye : CoastSat, Google Earth Engine, QGIS…]</w:t>
            </w:r>
          </w:p>
        </w:tc>
        <w:tc>
          <w:tcPr>
            <w:tcW w:type="dxa" w:w="68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[Usage]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[À compléter par Malick : React, Leaflet, FastAPI…]</w:t>
            </w:r>
          </w:p>
        </w:tc>
        <w:tc>
          <w:tcPr>
            <w:tcW w:type="dxa" w:w="68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[Usage : prototype de tableau de bord]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 Outils d’intelligence artificielle (déclaration)</w:t>
      </w:r>
    </w:p>
    <w:p>
      <w:pPr>
        <w:jc w:val="both"/>
      </w:pPr>
      <w:r>
        <w:t xml:space="preserve">Comme le demandent les règles du défi, nous déclarons les outils d’intelligence artificielle utilisés :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492"/>
      </w:tblGrid>
      <w:tr>
        <w:trPr>
          <w:tblHeader/>
        </w:trPr>
        <w:tc>
          <w:tcPr>
            <w:tcW w:type="dxa" w:w="26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  <w:tc>
          <w:tcPr>
            <w:tcW w:type="dxa" w:w="20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Utilisé par</w:t>
            </w:r>
          </w:p>
        </w:tc>
        <w:tc>
          <w:tcPr>
            <w:tcW w:type="dxa" w:w="54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Pour quoi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Claude (Anthropic), assistant d’IA générative</w:t>
            </w:r>
          </w:p>
        </w:tc>
        <w:tc>
          <w:tcPr>
            <w:tcW w:type="dxa" w:w="20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 SOW</w:t>
            </w:r>
          </w:p>
        </w:tc>
        <w:tc>
          <w:tcPr>
            <w:tcW w:type="dxa" w:w="54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Aide à la programmation (scripts Python) et à la rédaction des documents ; résultats vérifiés par l’équipe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[À compléter par chaque membre, ou « aucun »]</w:t>
            </w:r>
          </w:p>
        </w:tc>
        <w:tc>
          <w:tcPr>
            <w:tcW w:type="dxa" w:w="20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[Nom]</w:t>
            </w:r>
          </w:p>
        </w:tc>
        <w:tc>
          <w:tcPr>
            <w:tcW w:type="dxa" w:w="54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[Usage]</w:t>
            </w:r>
          </w:p>
        </w:tc>
      </w:tr>
    </w:tbl>
    <w:p>
      <w:pPr>
        <w:spacing w:after="60"/>
      </w:pPr>
    </w:p>
    <w:p>
      <w:pPr>
        <w:jc w:val="both"/>
      </w:pPr>
      <w:r>
        <w:t xml:space="preserve">L’équipe a vérifié elle-même les résultats (contrôle visuel sur les images en couleurs réelles, comparaison avec le radar Sentinel-1, zone témoin pour la digue, analyse de sensibilité) et peut expliquer chaque étape de la méthode. Aucun résultat n’a été inventé ou complété par l’IA : tous les chiffres viennent des scripts appliqués aux données listées ci-dessus.</w:t>
      </w:r>
    </w:p>
    <w:p>
      <w:pPr>
        <w:pStyle w:val="Heading2"/>
      </w:pPr>
      <w:r>
        <w:t xml:space="preserve">6. Contributions des membres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92"/>
      </w:tblGrid>
      <w:tr>
        <w:trPr>
          <w:tblHeader/>
        </w:trPr>
        <w:tc>
          <w:tcPr>
            <w:tcW w:type="dxa" w:w="24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Membre</w:t>
            </w:r>
          </w:p>
        </w:tc>
        <w:tc>
          <w:tcPr>
            <w:tcW w:type="dxa" w:w="76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Contribution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 SOW (référente)</w:t>
            </w:r>
          </w:p>
        </w:tc>
        <w:tc>
          <w:tcPr>
            <w:tcW w:type="dxa" w:w="76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Coordination de l’équipe et relations avec SENSAT ; chaîne d’analyse (extraction Sentinel-2, transects, vitesses de recul, projections 2030–2035, exposition, niveau de risque) ; effet de la digue ; vérification Sentinel-1 ; analyse de sensibilité ; note de concept et inventaire des sources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Abdoulaye DIOUF</w:t>
            </w:r>
          </w:p>
        </w:tc>
        <w:tc>
          <w:tcPr>
            <w:tcW w:type="dxa" w:w="76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[À compléter : traits de côte CoastSat, carte avant / après, classification eau / sable par apprentissage automatique, vérification des bâtiments sur image…]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Malick FALL</w:t>
            </w:r>
          </w:p>
        </w:tc>
        <w:tc>
          <w:tcPr>
            <w:tcW w:type="dxa" w:w="769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[À compléter : prototype de tableau de bord, version français / wolof, mise en forme de la présentation…]</w:t>
            </w:r>
          </w:p>
        </w:tc>
      </w:tr>
    </w:tbl>
    <w:p>
      <w:pPr>
        <w:spacing w:after="60"/>
      </w:pPr>
    </w:p>
    <w:sectPr>
      <w:pgSz w:w="11906" w:h="16838" w:orient="portrait"/>
      <w:pgMar w:top="850" w:right="907" w:bottom="85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0"/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1"/>
        <w:szCs w:val="21"/>
      </w:rPr>
    </w:rPrDefault>
    <w:pPrDefault>
      <w:pPr>
        <w:spacing w:after="9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0B7A6F" w:sz="10" w:space="2"/>
      </w:pBdr>
      <w:spacing w:before="220" w:after="80"/>
      <w:outlineLvl w:val="1"/>
    </w:pPr>
    <w:rPr>
      <w:rFonts w:ascii="Calibri" w:cs="Calibri" w:eastAsia="Calibri" w:hAnsi="Calibri"/>
      <w:b/>
      <w:bCs/>
      <w:color w:val="0B7A6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Inventaire des sources TefesSat</dc:title>
  <dc:creator>Ndèye Fatou SOW</dc:creator>
  <cp:lastModifiedBy>Un-named</cp:lastModifiedBy>
  <cp:revision>1</cp:revision>
  <dcterms:created xsi:type="dcterms:W3CDTF">2026-10-21T15:48:42.800Z</dcterms:created>
  <dcterms:modified xsi:type="dcterms:W3CDTF">2026-10-21T15:48:42.804Z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