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2016 – 2025 : une image Sentinel-2 de saison sèche par an (10 dates, du 14 janvier 2016 au 6 janvier 2025)</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français et en wolof) permet de cliquer sur un tronçon pour voir sa fiche ; les écrans de prototype présentés seront signalés comme tels, et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(indice MNDWI)</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w:t>
      </w:r>
      <w:r>
        <w:rPr>
          <w:b/>
          <w:bCs/>
        </w:rPr>
        <w:t xml:space="preserve">Zone de la digue :</w:t>
      </w:r>
      <w:r>
        <w:t xml:space="preserve"> de Goxu Mbacc au quai de pêche de Guet Ndar, la côte a brusquement avancé pendant les travaux de 2021–2022 ; la projection n’y utilise que les dates postérieures aux travaux.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00"/>
        <w:gridCol w:w="2192"/>
      </w:tblGrid>
      <w:tr>
        <w:trPr>
          <w:tblHeader/>
        </w:trPr>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0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21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6 à 7,5 m/an</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75 m (pire cas : ≈ 18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50 m</w:t>
            </w:r>
            <w:r>
              <w:rPr>
                <w:sz w:val="19"/>
                <w:szCs w:val="19"/>
              </w:rPr>
              <w:t xml:space="preserve"> ; dans le pire cas, des maisons peuvent être atteintes</w:t>
            </w:r>
          </w:p>
        </w:tc>
      </w:tr>
      <w:tr>
        <w:trPr>
          <w:cantSplit/>
        </w:trPr>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0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 mais projection très incertaine : dans le pire cas, maisons atteintes dès 2030</w:t>
            </w:r>
          </w:p>
        </w:tc>
        <w:tc>
          <w:tcPr>
            <w:tcW w:type="dxa" w:w="21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 Goxu Mbacc (zone de la digue)</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Avancée de la plage pendant les travaux ; trop peu d’images depuis pour projeter</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Non projeté. Aujourd’hui (2025) : 70 à 90 m entre la mer et les premières maisons</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Non projeté</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50 m à Hydrobase en 2035. Le « pire cas » retire de la marge l’incertitude de la projection à 95 %.</w:t>
      </w:r>
    </w:p>
    <w:p>
      <w:pPr>
        <w:pBdr>
          <w:top w:val="dashed" w:color="0B7A6F" w:sz="12" w:space="8"/>
          <w:bottom w:val="dashed" w:color="0B7A6F" w:sz="12" w:space="8"/>
          <w:left w:val="dashed" w:color="0B7A6F" w:sz="12" w:space="8"/>
          <w:right w:val="dashed" w:color="0B7A6F" w:sz="12" w:space="8"/>
        </w:pBdr>
        <w:shd w:fill="E6F3F1" w:color="auto" w:val="clear"/>
        <w:spacing w:before="120" w:after="120"/>
        <w:jc w:val="center"/>
      </w:pPr>
      <w:r>
        <w:rPr>
          <w:b/>
          <w:bCs/>
          <w:color w:val="0B7A6F"/>
        </w:rPr>
        <w:t xml:space="preserve">Figure 2 – Carte avant / après (2016 et 2025) – à insérer : carte réalisée par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48 à 51 m à Hydrobase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Projection :</w:t>
      </w:r>
      <w:r>
        <w:t xml:space="preserve"> elle prolonge la tendance actuelle ; elle s’arrête à 2035 et ne prédit pas une tempête. Sa marge d’erreur est d’environ ± 35 m en 2030 sur la plupart des secteurs, mais de plusieurs centaines de mètres face à la brèche. 154 tronçons sur 712 sont « non évalués » plutôt que de donner un chiffre faux : 111 dans la zone influencée par la digue (pas assez d’images depuis les travaux) et 43 dont la série est trop courte.</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2026-10-20T17:35:08.146Z</dcterms:created>
  <dcterms:modified xsi:type="dcterms:W3CDTF">2026-10-20T17:35:08.162Z</dcterms:modified>
</cp:coreProperties>
</file>

<file path=docProps/custom.xml><?xml version="1.0" encoding="utf-8"?>
<Properties xmlns="http://schemas.openxmlformats.org/officeDocument/2006/custom-properties" xmlns:vt="http://schemas.openxmlformats.org/officeDocument/2006/docPropsVTypes"/>
</file>