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Doun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4,8 km (95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En moyenne, la côte avance de 2,1 m par an, mais elle recule jusqu’à 10 m par an par endroits.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188 m → en 2030 165 m → en 2035 136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12 (pas assez d’images pour prévoir)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