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Hydrobase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F8D3CF"/>
          </w:tcPr>
          <w:p>
            <w:r/>
            <w:r>
              <w:rPr>
                <w:b/>
                <w:sz w:val="28"/>
              </w:rPr>
              <w:t>1 – Agir avant 2030</w:t>
            </w:r>
          </w:p>
          <w:p>
            <w:r>
              <w:t>Première alerte vers 2030 : la mer arriverait à moins de 50 m des premiers bâtiments. Au total, 63 bâtiments et environ 301 habitants dans les 2 zones ci-dessous.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4,1 km (82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recule en moyenne de 1,7 m par an (jusqu’à 10 m par an par endroits).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85 m → en 2030 55 m → en 2035 17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aucun : la prévision couvre tout le quartier</w:t>
            </w:r>
          </w:p>
        </w:tc>
      </w:tr>
    </w:tbl>
    <w:p>
      <w:pPr>
        <w:spacing w:before="160"/>
      </w:pPr>
      <w:r>
        <w:rPr>
          <w:b/>
        </w:rPr>
        <w:t>Les zones où agir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47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Priorité</w:t>
            </w:r>
          </w:p>
        </w:tc>
        <w:tc>
          <w:tcPr>
            <w:tcW w:type="dxa" w:w="249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Zone (tronçons de 50 m)</w:t>
            </w:r>
          </w:p>
        </w:tc>
        <w:tc>
          <w:tcPr>
            <w:tcW w:type="dxa" w:w="907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Recul</w:t>
            </w:r>
          </w:p>
        </w:tc>
        <w:tc>
          <w:tcPr>
            <w:tcW w:type="dxa" w:w="215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Distance mer – bâtiments</w:t>
              <w:br/>
              <w:t>aujourd’hui → 2030 → 2035</w:t>
            </w:r>
          </w:p>
        </w:tc>
        <w:tc>
          <w:tcPr>
            <w:tcW w:type="dxa" w:w="113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Année d’alerte</w:t>
            </w:r>
          </w:p>
        </w:tc>
        <w:tc>
          <w:tcPr>
            <w:tcW w:type="dxa" w:w="1928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Bâtiments / habitants concernés</w:t>
            </w:r>
          </w:p>
        </w:tc>
      </w:tr>
      <w:tr>
        <w:tc>
          <w:tcPr>
            <w:tcW w:type="dxa" w:w="1474"/>
            <w:shd w:val="clear" w:color="auto" w:fill="F8D3CF"/>
          </w:tcPr>
          <w:p>
            <w:r>
              <w:rPr>
                <w:sz w:val="19"/>
              </w:rPr>
              <w:t>1 – Agir avant 2030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Hydrobase</w:t>
              <w:br/>
              <w:t>tronçons 224–233 (0,5 km)</w:t>
              <w:br/>
              <w:t>15,9765° N ; 16,5140°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7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86 m → 55 m → 17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15 bâtiments</w:t>
              <w:br/>
              <w:t>≈ 87 habitants</w:t>
            </w:r>
          </w:p>
        </w:tc>
      </w:tr>
      <w:tr>
        <w:tc>
          <w:tcPr>
            <w:tcW w:type="dxa" w:w="1474"/>
            <w:shd w:val="clear" w:color="auto" w:fill="FDE7C8"/>
          </w:tcPr>
          <w:p>
            <w:r>
              <w:rPr>
                <w:sz w:val="19"/>
              </w:rPr>
              <w:t>2 – Agir avant 2035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Hydrobase</w:t>
              <w:br/>
              <w:t>tronçons 203–216 (0,7 km)</w:t>
              <w:br/>
              <w:t>15,9851° N ; 16,5135°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9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93 m → 64 m → 27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48 bâtiments</w:t>
              <w:br/>
              <w:t>≈ 214 habitants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Priorité 1 : identifier sur le terrain les familles des bâtiments concernés et préparer leur relogement ou la protection de la zone avant l’année d’alerte.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