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Ndiébène Gandiol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FF6D6"/>
          </w:tcPr>
          <w:p>
            <w:r/>
            <w:r>
              <w:rPr>
                <w:b/>
                <w:sz w:val="28"/>
              </w:rPr>
              <w:t>3 – Surveiller chaque année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3,0 km (59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La côte avance : en moyenne de 13,0 m par an.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322 m → en 2030 340 m → en 2035 344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20 (pas assez d’images pour prévoir)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Surveiller : pas d’alerte avant 2035 dans la prévision centrale, mais le pire cas en donne une : refaire la mesure chaque année, après la saison des houles.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