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7A6F"/>
          <w:sz w:val="34"/>
        </w:rPr>
        <w:t>Fiche du quartier : Tassinère – Guéthie (face à la brèche)</w:t>
      </w:r>
    </w:p>
    <w:p>
      <w:r>
        <w:rPr>
          <w:i/>
          <w:color w:val="555F6D"/>
        </w:rPr>
        <w:t>Produite automatiquement par TefesSat à partir des images satellites Sentinel-2 (2016–2025). Mise à jour : 22/10/2026.</w:t>
      </w:r>
    </w:p>
    <w:p>
      <w:r>
        <w:rPr>
          <w:b/>
        </w:rPr>
        <w:t xml:space="preserve">Comment lire cette fiche : </w:t>
      </w:r>
      <w:r>
        <w:t>une zone est prioritaire quand la mer devrait arriver à moins de 50 m des premiers bâtiments, si la tendance actuelle continue. L’« année d’alerte » est l’année où cela arriverait : c’est la date avant laquelle reloger ou protéger.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FDE7C8"/>
          </w:tcPr>
          <w:p>
            <w:r/>
            <w:r>
              <w:rPr>
                <w:b/>
                <w:sz w:val="28"/>
              </w:rPr>
              <w:t>2 – Agir avant 2035</w:t>
            </w:r>
          </w:p>
          <w:p>
            <w:r>
              <w:t>La mer arriverait à moins de 50 m des premiers bâtiments vers 2033 : 36 bâtiments et environ 87 habitants concernés.</w:t>
            </w:r>
          </w:p>
        </w:tc>
      </w:tr>
    </w:tbl>
    <w:p>
      <w:pPr>
        <w:spacing w:before="160"/>
      </w:pPr>
      <w:r>
        <w:rPr>
          <w:b/>
        </w:rPr>
        <w:t>Les chiffres clés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18"/>
          </w:tcPr>
          <w:p>
            <w:r>
              <w:rPr>
                <w:b/>
              </w:rPr>
              <w:t>Côte suivie</w:t>
            </w:r>
          </w:p>
        </w:tc>
        <w:tc>
          <w:tcPr>
            <w:tcW w:type="dxa" w:w="6973"/>
          </w:tcPr>
          <w:p>
            <w:r>
              <w:t>3,5 km (70 tronçons de 50 m)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Évolution de la côte (2016–2025)</w:t>
            </w:r>
          </w:p>
        </w:tc>
        <w:tc>
          <w:tcPr>
            <w:tcW w:type="dxa" w:w="6973"/>
          </w:tcPr>
          <w:p>
            <w:r>
              <w:t>La côte recule en moyenne de 20,7 m par an (jusqu’à 67 m par an par endroits).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Distance la plus courte entre la mer et les bâtiments</w:t>
            </w:r>
          </w:p>
        </w:tc>
        <w:tc>
          <w:tcPr>
            <w:tcW w:type="dxa" w:w="6973"/>
          </w:tcPr>
          <w:p>
            <w:r>
              <w:t>aujourd’hui 485 m → en 2030 200 m → en 2035 9 m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Tronçons « non évalués »</w:t>
            </w:r>
          </w:p>
        </w:tc>
        <w:tc>
          <w:tcPr>
            <w:tcW w:type="dxa" w:w="6973"/>
          </w:tcPr>
          <w:p>
            <w:r>
              <w:t>16 (pas assez d’images pour prévoir)</w:t>
            </w:r>
          </w:p>
        </w:tc>
      </w:tr>
    </w:tbl>
    <w:p>
      <w:pPr>
        <w:spacing w:before="160"/>
      </w:pPr>
      <w:r>
        <w:rPr>
          <w:b/>
        </w:rPr>
        <w:t>Les zones où agir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474"/>
            <w:shd w:val="clear" w:color="auto" w:fill="0B7A6F"/>
          </w:tcPr>
          <w:p>
            <w:r/>
            <w:r>
              <w:rPr>
                <w:b/>
                <w:color w:val="FFFFFF"/>
                <w:sz w:val="19"/>
              </w:rPr>
              <w:t>Priorité</w:t>
            </w:r>
          </w:p>
        </w:tc>
        <w:tc>
          <w:tcPr>
            <w:tcW w:type="dxa" w:w="2494"/>
            <w:shd w:val="clear" w:color="auto" w:fill="0B7A6F"/>
          </w:tcPr>
          <w:p>
            <w:r/>
            <w:r>
              <w:rPr>
                <w:b/>
                <w:color w:val="FFFFFF"/>
                <w:sz w:val="19"/>
              </w:rPr>
              <w:t>Zone (tronçons de 50 m)</w:t>
            </w:r>
          </w:p>
        </w:tc>
        <w:tc>
          <w:tcPr>
            <w:tcW w:type="dxa" w:w="907"/>
            <w:shd w:val="clear" w:color="auto" w:fill="0B7A6F"/>
          </w:tcPr>
          <w:p>
            <w:r/>
            <w:r>
              <w:rPr>
                <w:b/>
                <w:color w:val="FFFFFF"/>
                <w:sz w:val="19"/>
              </w:rPr>
              <w:t>Recul</w:t>
            </w:r>
          </w:p>
        </w:tc>
        <w:tc>
          <w:tcPr>
            <w:tcW w:type="dxa" w:w="2154"/>
            <w:shd w:val="clear" w:color="auto" w:fill="0B7A6F"/>
          </w:tcPr>
          <w:p>
            <w:r/>
            <w:r>
              <w:rPr>
                <w:b/>
                <w:color w:val="FFFFFF"/>
                <w:sz w:val="19"/>
              </w:rPr>
              <w:t>Distance mer – bâtiments</w:t>
              <w:br/>
              <w:t>aujourd’hui → 2030 → 2035</w:t>
            </w:r>
          </w:p>
        </w:tc>
        <w:tc>
          <w:tcPr>
            <w:tcW w:type="dxa" w:w="1134"/>
            <w:shd w:val="clear" w:color="auto" w:fill="0B7A6F"/>
          </w:tcPr>
          <w:p>
            <w:r/>
            <w:r>
              <w:rPr>
                <w:b/>
                <w:color w:val="FFFFFF"/>
                <w:sz w:val="19"/>
              </w:rPr>
              <w:t>Année d’alerte</w:t>
            </w:r>
          </w:p>
        </w:tc>
        <w:tc>
          <w:tcPr>
            <w:tcW w:type="dxa" w:w="1928"/>
            <w:shd w:val="clear" w:color="auto" w:fill="0B7A6F"/>
          </w:tcPr>
          <w:p>
            <w:r/>
            <w:r>
              <w:rPr>
                <w:b/>
                <w:color w:val="FFFFFF"/>
                <w:sz w:val="19"/>
              </w:rPr>
              <w:t>Bâtiments / habitants concernés</w:t>
            </w:r>
          </w:p>
        </w:tc>
      </w:tr>
      <w:tr>
        <w:tc>
          <w:tcPr>
            <w:tcW w:type="dxa" w:w="1474"/>
            <w:shd w:val="clear" w:color="auto" w:fill="FDE7C8"/>
          </w:tcPr>
          <w:p>
            <w:r>
              <w:rPr>
                <w:sz w:val="19"/>
              </w:rPr>
              <w:t>2 – Agir avant 2035</w:t>
            </w:r>
          </w:p>
        </w:tc>
        <w:tc>
          <w:tcPr>
            <w:tcW w:type="dxa" w:w="2494"/>
          </w:tcPr>
          <w:p>
            <w:r>
              <w:rPr>
                <w:sz w:val="19"/>
              </w:rPr>
              <w:t>Tassinère – Guéthie (face à la brèche)</w:t>
              <w:br/>
              <w:t>tronçons 478–509 (1,6 km)</w:t>
              <w:br/>
              <w:t>15,8790° N ; 16,5157° O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22 m/an</w:t>
            </w:r>
          </w:p>
        </w:tc>
        <w:tc>
          <w:tcPr>
            <w:tcW w:type="dxa" w:w="2154"/>
          </w:tcPr>
          <w:p>
            <w:r>
              <w:rPr>
                <w:sz w:val="19"/>
              </w:rPr>
              <w:t>512 m → 200 m → 9 m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vers 2033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36 bâtiments</w:t>
              <w:br/>
              <w:t>≈ 87 habitants</w:t>
            </w:r>
          </w:p>
        </w:tc>
      </w:tr>
    </w:tbl>
    <w:p>
      <w:pPr>
        <w:spacing w:before="160"/>
      </w:pPr>
      <w:r>
        <w:rPr>
          <w:b/>
        </w:rPr>
        <w:t>Ce que la mairie peut faire</w:t>
      </w:r>
    </w:p>
    <w:p>
      <w:pPr>
        <w:pStyle w:val="ListBullet"/>
      </w:pPr>
      <w:r>
        <w:t>Priorité 2 : inscrire la zone dans le plan d’action de la commune et ne plus autoriser de nouvelles constructions entre la mer et les bâtiments existants.</w:t>
      </w:r>
    </w:p>
    <w:p>
      <w:pPr>
        <w:spacing w:before="160"/>
      </w:pPr>
      <w:r>
        <w:rPr>
          <w:b/>
        </w:rPr>
        <w:t>À savoir</w:t>
      </w:r>
    </w:p>
    <w:p>
      <w:pPr>
        <w:pStyle w:val="ListBullet"/>
      </w:pPr>
      <w:r>
        <w:t>Ce sont des prévisions : elles supposent que la côte continue d’évoluer comme entre 2016 et 2025. Une forte tempête peut accélérer les choses.</w:t>
      </w:r>
    </w:p>
    <w:p>
      <w:pPr>
        <w:pStyle w:val="ListBullet"/>
      </w:pPr>
      <w:r>
        <w:t>Face à la brèche (Tassinère, Guéthie), l’incertitude est grande (plusieurs centaines de mètres) : les bâtiments sont au bord de l’estuaire, et c’est la langue de sable qui avance vers eux.</w:t>
      </w:r>
    </w:p>
    <w:p>
      <w:pPr>
        <w:pStyle w:val="ListBullet"/>
      </w:pPr>
      <w:r>
        <w:t>Le nombre d’habitants est une estimation ; les familles concernées sont à identifier sur le terrain.</w:t>
      </w:r>
    </w:p>
    <w:p>
      <w:pPr>
        <w:pStyle w:val="ListBullet"/>
      </w:pPr>
      <w:r>
        <w:t>La distance de 50 m peut être changée à la demande de la mairie : la fiche est alors recalculée automatiquement.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