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7F75F" w14:textId="77777777" w:rsidR="00672C13" w:rsidRDefault="00672C13" w:rsidP="00672C13">
      <w:pPr>
        <w:spacing w:before="2400"/>
      </w:pPr>
    </w:p>
    <w:p w14:paraId="2739FB2A" w14:textId="77777777" w:rsidR="00672C13" w:rsidRDefault="00672C13" w:rsidP="00672C13">
      <w:pPr>
        <w:spacing w:after="160"/>
        <w:jc w:val="center"/>
      </w:pPr>
      <w:r>
        <w:rPr>
          <w:b/>
          <w:bCs/>
          <w:color w:val="1F4788"/>
          <w:sz w:val="28"/>
          <w:szCs w:val="28"/>
        </w:rPr>
        <w:t>CAISSE NATIONALE DE PRÉVOYANCE SOCIALE (CNPS)</w:t>
      </w:r>
    </w:p>
    <w:p w14:paraId="76653346" w14:textId="77777777" w:rsidR="00672C13" w:rsidRDefault="00672C13" w:rsidP="00672C13">
      <w:pPr>
        <w:spacing w:before="320" w:after="320"/>
      </w:pPr>
    </w:p>
    <w:p w14:paraId="236D0D67" w14:textId="77777777" w:rsidR="00672C13" w:rsidRDefault="00672C13" w:rsidP="00672C13">
      <w:pPr>
        <w:jc w:val="both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Tableau de suivi des modifications</w:t>
      </w:r>
    </w:p>
    <w:p w14:paraId="29A7DD65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9"/>
        <w:gridCol w:w="1247"/>
        <w:gridCol w:w="1134"/>
        <w:gridCol w:w="3118"/>
      </w:tblGrid>
      <w:tr w:rsidR="00672C13" w:rsidRPr="00DA01AD" w14:paraId="1E538A7E" w14:textId="77777777" w:rsidTr="001B63E1">
        <w:trPr>
          <w:trHeight w:val="361"/>
          <w:jc w:val="center"/>
        </w:trPr>
        <w:tc>
          <w:tcPr>
            <w:tcW w:w="10348" w:type="dxa"/>
            <w:gridSpan w:val="4"/>
            <w:shd w:val="clear" w:color="auto" w:fill="E7E6E6" w:themeFill="background2"/>
          </w:tcPr>
          <w:p w14:paraId="27E52F47" w14:textId="77777777" w:rsidR="00672C13" w:rsidRPr="00DA01AD" w:rsidRDefault="00672C13" w:rsidP="001B63E1">
            <w:pPr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Diffusion</w:t>
            </w:r>
          </w:p>
        </w:tc>
      </w:tr>
      <w:tr w:rsidR="00672C13" w:rsidRPr="00DA01AD" w14:paraId="57071B58" w14:textId="77777777" w:rsidTr="001B63E1">
        <w:trPr>
          <w:jc w:val="center"/>
        </w:trPr>
        <w:tc>
          <w:tcPr>
            <w:tcW w:w="4849" w:type="dxa"/>
            <w:vAlign w:val="center"/>
          </w:tcPr>
          <w:p w14:paraId="05F4B3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Destinataires</w:t>
            </w:r>
          </w:p>
        </w:tc>
        <w:tc>
          <w:tcPr>
            <w:tcW w:w="1247" w:type="dxa"/>
            <w:vAlign w:val="center"/>
          </w:tcPr>
          <w:p w14:paraId="1788CB0A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Original</w:t>
            </w:r>
          </w:p>
        </w:tc>
        <w:tc>
          <w:tcPr>
            <w:tcW w:w="1134" w:type="dxa"/>
            <w:vAlign w:val="center"/>
          </w:tcPr>
          <w:p w14:paraId="75E1EE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Copie</w:t>
            </w:r>
          </w:p>
        </w:tc>
        <w:tc>
          <w:tcPr>
            <w:tcW w:w="3118" w:type="dxa"/>
            <w:vAlign w:val="center"/>
          </w:tcPr>
          <w:p w14:paraId="777994B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Support (P = Papier,</w:t>
            </w:r>
          </w:p>
          <w:p w14:paraId="0E4A64BB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b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 xml:space="preserve">CD/E = </w:t>
            </w:r>
            <w:proofErr w:type="spellStart"/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Electronique</w:t>
            </w:r>
            <w:proofErr w:type="spellEnd"/>
            <w:r w:rsidRPr="00DA01AD">
              <w:rPr>
                <w:rFonts w:ascii="Maiandra GD" w:hAnsi="Maiandra GD" w:cstheme="majorHAnsi"/>
                <w:b/>
                <w:sz w:val="24"/>
                <w:szCs w:val="28"/>
              </w:rPr>
              <w:t>)</w:t>
            </w:r>
          </w:p>
        </w:tc>
      </w:tr>
      <w:tr w:rsidR="00672C13" w:rsidRPr="00DA01AD" w14:paraId="7D6717E2" w14:textId="77777777" w:rsidTr="001B63E1">
        <w:trPr>
          <w:jc w:val="center"/>
        </w:trPr>
        <w:tc>
          <w:tcPr>
            <w:tcW w:w="4849" w:type="dxa"/>
          </w:tcPr>
          <w:p w14:paraId="46B0EEC3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Direction du Recouvrement</w:t>
            </w:r>
          </w:p>
        </w:tc>
        <w:tc>
          <w:tcPr>
            <w:tcW w:w="1247" w:type="dxa"/>
          </w:tcPr>
          <w:p w14:paraId="0CC488FB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</w:p>
        </w:tc>
        <w:tc>
          <w:tcPr>
            <w:tcW w:w="1134" w:type="dxa"/>
          </w:tcPr>
          <w:p w14:paraId="6AC7CC5D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3118" w:type="dxa"/>
          </w:tcPr>
          <w:p w14:paraId="0DF7FB0F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E</w:t>
            </w:r>
          </w:p>
        </w:tc>
      </w:tr>
      <w:tr w:rsidR="00672C13" w:rsidRPr="00DA01AD" w14:paraId="7795CDD7" w14:textId="77777777" w:rsidTr="001B63E1">
        <w:trPr>
          <w:jc w:val="center"/>
        </w:trPr>
        <w:tc>
          <w:tcPr>
            <w:tcW w:w="4849" w:type="dxa"/>
          </w:tcPr>
          <w:p w14:paraId="770C2419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Direction du Système d’Information</w:t>
            </w:r>
          </w:p>
        </w:tc>
        <w:tc>
          <w:tcPr>
            <w:tcW w:w="1247" w:type="dxa"/>
          </w:tcPr>
          <w:p w14:paraId="27D1BB9C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1134" w:type="dxa"/>
          </w:tcPr>
          <w:p w14:paraId="34171222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X</w:t>
            </w:r>
          </w:p>
        </w:tc>
        <w:tc>
          <w:tcPr>
            <w:tcW w:w="3118" w:type="dxa"/>
          </w:tcPr>
          <w:p w14:paraId="741F809C" w14:textId="77777777" w:rsidR="00672C13" w:rsidRPr="00DA01AD" w:rsidRDefault="00672C13" w:rsidP="001B63E1">
            <w:pPr>
              <w:spacing w:before="60" w:after="60"/>
              <w:jc w:val="both"/>
              <w:rPr>
                <w:rFonts w:ascii="Maiandra GD" w:hAnsi="Maiandra GD" w:cstheme="majorHAnsi"/>
                <w:sz w:val="24"/>
                <w:szCs w:val="28"/>
              </w:rPr>
            </w:pPr>
            <w:r w:rsidRPr="00DA01AD">
              <w:rPr>
                <w:rFonts w:ascii="Maiandra GD" w:hAnsi="Maiandra GD" w:cstheme="majorHAnsi"/>
                <w:sz w:val="24"/>
                <w:szCs w:val="28"/>
              </w:rPr>
              <w:t>P ; E</w:t>
            </w:r>
          </w:p>
        </w:tc>
      </w:tr>
    </w:tbl>
    <w:p w14:paraId="4906A3F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1ECD4C7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44FB563C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79280FF0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10F869B8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p w14:paraId="24FC7151" w14:textId="77777777" w:rsidR="00672C13" w:rsidRDefault="00672C13" w:rsidP="00672C13">
      <w:pPr>
        <w:jc w:val="both"/>
        <w:rPr>
          <w:rFonts w:ascii="Maiandra GD" w:hAnsi="Maiandra GD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8"/>
        <w:gridCol w:w="1628"/>
        <w:gridCol w:w="1605"/>
        <w:gridCol w:w="1204"/>
        <w:gridCol w:w="2034"/>
        <w:gridCol w:w="1686"/>
      </w:tblGrid>
      <w:tr w:rsidR="00672C13" w14:paraId="3719382A" w14:textId="77777777" w:rsidTr="001B63E1">
        <w:tc>
          <w:tcPr>
            <w:tcW w:w="0" w:type="auto"/>
            <w:gridSpan w:val="2"/>
            <w:shd w:val="clear" w:color="auto" w:fill="DAEEF3"/>
            <w:vAlign w:val="center"/>
          </w:tcPr>
          <w:p w14:paraId="0393F01E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Rédacteur</w:t>
            </w:r>
          </w:p>
        </w:tc>
        <w:tc>
          <w:tcPr>
            <w:tcW w:w="2809" w:type="dxa"/>
            <w:gridSpan w:val="2"/>
            <w:shd w:val="clear" w:color="auto" w:fill="DAEEF3"/>
          </w:tcPr>
          <w:p w14:paraId="5D6F7182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Vérificateur</w:t>
            </w:r>
          </w:p>
        </w:tc>
        <w:tc>
          <w:tcPr>
            <w:tcW w:w="3636" w:type="dxa"/>
            <w:gridSpan w:val="2"/>
            <w:shd w:val="clear" w:color="auto" w:fill="DAEEF3"/>
            <w:vAlign w:val="center"/>
          </w:tcPr>
          <w:p w14:paraId="1762746D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>Approbateur</w:t>
            </w:r>
          </w:p>
        </w:tc>
      </w:tr>
      <w:tr w:rsidR="00672C13" w14:paraId="1D79B596" w14:textId="77777777" w:rsidTr="001B63E1">
        <w:tc>
          <w:tcPr>
            <w:tcW w:w="1555" w:type="dxa"/>
          </w:tcPr>
          <w:p w14:paraId="5D8C706F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1628" w:type="dxa"/>
          </w:tcPr>
          <w:p w14:paraId="6FC22F9B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  <w:tc>
          <w:tcPr>
            <w:tcW w:w="1605" w:type="dxa"/>
          </w:tcPr>
          <w:p w14:paraId="07A952FC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1204" w:type="dxa"/>
          </w:tcPr>
          <w:p w14:paraId="05E142D3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  <w:tc>
          <w:tcPr>
            <w:tcW w:w="2034" w:type="dxa"/>
          </w:tcPr>
          <w:p w14:paraId="2DCD51C0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Noms et Fonction</w:t>
            </w:r>
          </w:p>
        </w:tc>
        <w:tc>
          <w:tcPr>
            <w:tcW w:w="0" w:type="auto"/>
          </w:tcPr>
          <w:p w14:paraId="38C5F5F6" w14:textId="77777777" w:rsidR="00672C13" w:rsidRDefault="00672C13" w:rsidP="001B63E1">
            <w:pPr>
              <w:jc w:val="both"/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Date et signature</w:t>
            </w:r>
          </w:p>
        </w:tc>
      </w:tr>
      <w:tr w:rsidR="00672C13" w14:paraId="1F587606" w14:textId="77777777" w:rsidTr="001B63E1">
        <w:trPr>
          <w:trHeight w:val="1268"/>
        </w:trPr>
        <w:tc>
          <w:tcPr>
            <w:tcW w:w="1555" w:type="dxa"/>
          </w:tcPr>
          <w:p w14:paraId="6137FF73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rédacteur</w:t>
            </w:r>
          </w:p>
          <w:p w14:paraId="3C4FD550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5DB74589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5AF3930D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4D5D4458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0E13D005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SYSTEME D’INFORMATION</w:t>
            </w:r>
          </w:p>
          <w:p w14:paraId="29200072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1628" w:type="dxa"/>
            <w:vAlign w:val="center"/>
          </w:tcPr>
          <w:p w14:paraId="4BBDEAD5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1605" w:type="dxa"/>
          </w:tcPr>
          <w:p w14:paraId="4FE6C9EA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demandeur</w:t>
            </w:r>
          </w:p>
          <w:p w14:paraId="63DCFC5C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2FCA33E8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7B3626FD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demandeur.</w:t>
            </w:r>
          </w:p>
        </w:tc>
        <w:tc>
          <w:tcPr>
            <w:tcW w:w="1204" w:type="dxa"/>
          </w:tcPr>
          <w:p w14:paraId="6782C4B3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  <w:tc>
          <w:tcPr>
            <w:tcW w:w="2034" w:type="dxa"/>
          </w:tcPr>
          <w:p w14:paraId="1EC0EC8F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Nom prénom et fonction du Responsable</w:t>
            </w:r>
          </w:p>
          <w:p w14:paraId="6A3FE225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2FD38820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6119EF91" w14:textId="77777777" w:rsidR="00672C13" w:rsidRDefault="00672C13" w:rsidP="001B63E1">
            <w:pPr>
              <w:rPr>
                <w:rFonts w:ascii="Maiandra GD" w:hAnsi="Maiandra GD"/>
              </w:rPr>
            </w:pPr>
          </w:p>
          <w:p w14:paraId="3B087381" w14:textId="77777777" w:rsidR="00672C13" w:rsidRDefault="00672C13" w:rsidP="001B63E1">
            <w:pPr>
              <w:rPr>
                <w:rFonts w:ascii="Maiandra GD" w:hAnsi="Maiandra GD"/>
              </w:rPr>
            </w:pPr>
            <w:r>
              <w:rPr>
                <w:rFonts w:ascii="Maiandra GD" w:hAnsi="Maiandra GD"/>
              </w:rPr>
              <w:t>DIRECTION DU SYSTEME D’INFORMATION</w:t>
            </w:r>
          </w:p>
        </w:tc>
        <w:tc>
          <w:tcPr>
            <w:tcW w:w="0" w:type="auto"/>
            <w:vAlign w:val="center"/>
          </w:tcPr>
          <w:p w14:paraId="4E43EFEF" w14:textId="77777777" w:rsidR="00672C13" w:rsidRDefault="00672C13" w:rsidP="001B63E1">
            <w:pPr>
              <w:rPr>
                <w:rFonts w:ascii="Maiandra GD" w:hAnsi="Maiandra GD"/>
              </w:rPr>
            </w:pPr>
          </w:p>
        </w:tc>
      </w:tr>
      <w:tr w:rsidR="00672C13" w14:paraId="6ADD8880" w14:textId="77777777" w:rsidTr="001B63E1">
        <w:tc>
          <w:tcPr>
            <w:tcW w:w="0" w:type="auto"/>
            <w:gridSpan w:val="6"/>
          </w:tcPr>
          <w:p w14:paraId="1FB481A0" w14:textId="77777777" w:rsidR="00672C13" w:rsidRDefault="00672C13" w:rsidP="001B63E1">
            <w:pPr>
              <w:jc w:val="both"/>
              <w:rPr>
                <w:rFonts w:ascii="Maiandra GD" w:hAnsi="Maiandra GD"/>
                <w:b/>
                <w:sz w:val="24"/>
                <w:szCs w:val="24"/>
              </w:rPr>
            </w:pPr>
            <w:r>
              <w:rPr>
                <w:rFonts w:ascii="Maiandra GD" w:hAnsi="Maiandra GD"/>
                <w:b/>
                <w:sz w:val="24"/>
                <w:szCs w:val="24"/>
              </w:rPr>
              <w:t xml:space="preserve">STRUCTURE REDACTRICE : </w:t>
            </w:r>
            <w:r>
              <w:rPr>
                <w:rFonts w:ascii="Maiandra GD" w:hAnsi="Maiandra GD"/>
                <w:sz w:val="24"/>
                <w:szCs w:val="24"/>
              </w:rPr>
              <w:t>Direction du Système d’Information</w:t>
            </w:r>
          </w:p>
        </w:tc>
      </w:tr>
    </w:tbl>
    <w:p w14:paraId="4FCA8B3D" w14:textId="77777777" w:rsidR="00672C13" w:rsidRDefault="00672C13">
      <w:pPr>
        <w:spacing w:after="160" w:line="259" w:lineRule="auto"/>
      </w:pPr>
      <w:r>
        <w:br w:type="page"/>
      </w:r>
    </w:p>
    <w:p w14:paraId="284C7D00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>
        <w:rPr>
          <w:rFonts w:ascii="Maiandra GD" w:hAnsi="Maiandra GD"/>
          <w:lang w:val="fr-FR"/>
        </w:rPr>
        <w:lastRenderedPageBreak/>
        <w:t>Contexte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Module de démonstration public, sans rapport avec un système CNPS réel — utilisé pour valider le pipeline de l'agent QA-T-AG.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Ce rapport rend compte de la campagne de test de la SFD-TEST-001 v1.0 (module MODULE-TEST-LOGIN).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Environnement : Sandbox https://the-internet.herokuapp.com/login. Exécution automatisée par QA-T-AG (Playwright, Chromium), terminal en mode local par dérogation temporaire.</w:t>
      </w:r>
    </w:p>
    <w:p w14:paraId="19643AAD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A01AD">
        <w:rPr>
          <w:rFonts w:ascii="Maiandra GD" w:hAnsi="Maiandra GD"/>
          <w:lang w:val="fr-FR"/>
        </w:rPr>
        <w:t>Objectif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 w:rsidRPr="00CF4F26">
        <w:rPr>
          <w:rFonts w:ascii="Maiandra GD" w:hAnsi="Maiandra GD"/>
          <w:sz w:val="24"/>
        </w:rPr>
        <w:t>Les objectifs de cette séance sont les suivants :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–  Vérifier la conformité des 5 exigences fonctionnelles de la SFD-TEST-001.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–  Évaluer les attributs de qualité applicables : performance, accessibilité, sécurité.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–  Valider le fonctionnement de bout en bout de l'agent QA-T-AG.</w:t>
      </w:r>
    </w:p>
    <w:p w14:paraId="6853AC99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C526E">
        <w:rPr>
          <w:rFonts w:ascii="Maiandra GD" w:hAnsi="Maiandra GD"/>
          <w:lang w:val="fr-FR"/>
        </w:rPr>
        <w:t>Exécution des tests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Campagne exécutée le 23/09/2026. Couverture fonctionnelle : 100 % (5/5 exigences), calculée par script à partir de la matrice de traçabilité.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Cas de test : 10 fonctionnels, 5 non fonctionnels. Le détail de chaque cas figure ci-dessous.</w:t>
      </w:r>
    </w:p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TC-REQ-001-01 : Connexion réussie avec identifiants valides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qu'un utilisateur disposant d'identifiants valides accède à la zone sécurisée.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= tomsmith ; Mot de passe = ******** (compte de test documenté).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Saisir le nom d'utilisateur.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Saisir le mot de passe.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REQ-001 — Connexion réussie (SFD-TEST-001 v1.0)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L'utilisateur accède à la zone sécurisée et un message de confirmation s'affiche.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Redirection vers /secure. Message : « You logged into a secure area! ». Titre « Secure Area » affiché.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TC-REQ-001-02 : Accès direct à la zone sécurisée sans authentification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la zone sécurisée n'est pas accessible sans connexion préalable.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Aucune saisie. Accès direct à l'URL /secure dans un contexte navigateur neuf.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un contexte navigateur neuf.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Accéder directement à l'URL /secure.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REQ-001 — Connexion réussie (contrôle d'accès associé)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☒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L'accès est refusé et l'utilisateur est renvoyé vers la page de connexion.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Redirection vers /login. Message : « You must login to view the secure area! ». Zone sécurisée non affichée.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Une première exécution (exec-20260923T114027Z) a produit un faux FAIL causé par le harnais de test (contexte navigateur partagé). Corrigé par isolation ; première exécution conservée et tracée au journal QA (QA-2026-000011).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TC-REQ-002-01 : Nom d'utilisateur inconnu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qu'un nom d'utilisateur inconnu est refusé avec un message d'erreur explicite.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= utilisateur_inconnu ; mot de passe quelconque.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Saisir un nom d'utilisateur inconnu.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Saisir un mot de passe.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REQ-002 — Nom d'utilisateur invalide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Un message d'erreur explicite s'affiche et l'accès est refusé.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username is invalid!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TC-REQ-002-02 : Nom d'utilisateur vide avec mot de passe valide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le comportement avec un nom d'utilisateur vide (frontière).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vide ; mot de passe = ********.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Laisser le nom d'utilisateur vide.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Saisir un mot de passe valide.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REQ-002 — Nom d'utilisateur invalide (frontière : champ vide)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L'accès est refusé (REQ-002).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username is invalid! » (libellé exact observé, non précisé par la SFD).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TC-REQ-003-01 : Mot de passe incorrect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qu'un mot de passe incorrect est refusé avec un message d'erreur explicite.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= tomsmith ; mot de passe incorrect.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Saisir un nom d'utilisateur valide.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Saisir un mot de passe incorrect.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REQ-003 — Mot de passe invalide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Un message d'erreur explicite s'affiche et l'accès est refusé.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password is invalid!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TC-REQ-003-02 : Mot de passe vide avec nom d'utilisateur valide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le comportement avec un mot de passe vide (frontière).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= tomsmith ; mot de passe vide.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Saisir un nom d'utilisateur valide.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Laisser le mot de passe vide.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REQ-003 — Mot de passe invalide (frontière : champ vide)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L'accès est refusé et un message d'erreur s'affiche (mot de passe vide = incorrect).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password is invalid!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TC-REQ-003-03 : Mot de passe avec une casse différente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la sensibilité à la casse du mot de passe.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= tomsmith ; mot de passe valide saisi en minuscules (masqué).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Saisir un nom d'utilisateur valide.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Saisir le mot de passe en minuscules.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Cliquer sur le bouton Login.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REQ-003 — Mot de passe invalide (casse)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L'accès est refusé et un message d'erreur s'affiche (casse différente = incorrect).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password is invalid!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TC-REQ-004-01 : Déconnexion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la déconnexion ramène à la page de connexion avec confirmation.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Session ouverte avec le compte de test.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Se connecter avec des identifiants valides.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Cliquer sur le bouton Logout.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REQ-004 — Déconnexion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☒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Retour à la page de connexion et message de confirmation.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Redirection vers /login. Message : « You logged out of the secure area!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TC-REQ-004-02 : Accès refusé après déconnexion (même contexte)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la zone sécurisée redevient inaccessible après déconnexion.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Contexte où l'utilisateur s'est connecté puis déconnecté.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Se connecter.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Se déconnecter.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Accéder directement à /secure.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REQ-004 — Déconnexion (révocation d'accès)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☒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L'accès redevient impossible sans nouvelle connexion.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Redirection vers /login. Message : « You must login to view the secure area!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TC-REQ-005-01 : Formulaire vide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qu'un formulaire vide produit un message d'erreur cohérent.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Champs nom d'utilisateur et mot de passe vides.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Valider le formulaire sans rien saisir.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REQ-005 — Formulaire vide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☒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☒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Un message d'erreur s'affiche, cohérent avec REQ-002/REQ-003.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Reste sur /login. Message : « Your username is invalid!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NFT-PERF-01 : Temps d'affichage de la page de connexion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la page de connexion s'affiche en moins de 3 secondes.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Métrique : événement load. 5 mesures par exécution, verdict sur la médiane.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Ouvrir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Mesurer le délai jusqu'à l'événement load.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Répéter la mesure 5 fois.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Calculer la médiane.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Exigence non fonctionnelle — Performance (SFD-TEST-001)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☒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☒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Médiane inférieure à 3 000 ms.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3 exécutions divergentes : 3 024,9 ms (FAIL), 2 991,5 ms (PASS), 2 953,1 ms (PASS). Médianes situées sur le seuil.</w:t>
            </w:r>
          </w:p>
          <w:p>
            <w:r>
              <w:rPr>
                <w:b/>
              </w:rPr>
              <w:t xml:space="preserve">Confiance de preuve : </w:t>
            </w:r>
            <w:r>
              <w:t>BASSE (réseau non maîtrisé, Sandbox publique)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☐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☒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Résultats instables autour du seuil. Pas de nouvelle campagne sur cette Sandbox publique (arbitrage du référent). À mesurer en environnement maîtrisé.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NFT-A11Y-01 : Accessibilité — aucune violation critique WCAG (axe-core)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l'absence de violation critique WCAG sur la page de connexion.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Analyse axe-core du DOM de la page de connexion.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Charger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Injecter axe-core.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Exécuter axe.run().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Relever les violations critiques.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Exigence non fonctionnelle — Accessibilité (SFD-TEST-001)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☐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☒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☐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☒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Aucune violation de sévérité critique.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0 violation critique. 5 violations non critiques : color-contrast (serious, 2 nœuds), heading-order, landmark-one-main, page-has-heading-one, region.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NFT-SEC-01 : Champ mot de passe masqué (type=password)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le champ mot de passe masque la saisie.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Inspection de l'attribut type du champ mot de passe.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Charger la page de connexion.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Inspecter l'attribut type du champ mot de passe.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Exigence non fonctionnelle — Sécurité (SFD-TEST-001)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☒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Le champ mot de passe porte type=password.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Attribut type observé = « password ».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NFT-SEC-02 : Aucune donnée de connexion en clair dans les livrables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que les livrables QA ne contiennent pas le mot de passe en clair.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Recherche du mot de passe par grep + auto-contrôle du script d'exécution.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Générer les livrables.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Rechercher le mot de passe en clair.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Vérifier l'auto-contrôle du script.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Exigence non fonctionnelle — Sécurité (SFD-TEST-001)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☒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Aucune occurrence du mot de passe en clair.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0 occurrence du mot de passe en clair dans les livrables (grep + auto-contrôle).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☒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☐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—</w:t>
            </w:r>
          </w:p>
        </w:tc>
      </w:tr>
    </w:tbl>
    <w:p w14:paraId="413E25FA" w14:textId="77777777" w:rsidR="00672C13" w:rsidRDefault="00672C13" w:rsidP="00E457F9">
      <w:pPr>
        <w:pageBreakBefore/>
        <w:spacing w:before="400" w:after="100"/>
      </w:pPr>
      <w:r w:rsidRPr="00E457F9">
        <w:rPr>
          <w:b/>
          <w:bCs/>
          <w:color w:val="1F4788"/>
          <w:sz w:val="24"/>
          <w:szCs w:val="24"/>
        </w:rPr>
        <w:t>NFT-SEC-03 : Énumération de comptes par les messages d'erreur</w:t>
      </w:r>
      <w:r w:rsidRPr="00E457F9">
        <w:rPr>
          <w:b/>
          <w:bCs/>
          <w:color w:val="595959"/>
          <w:sz w:val="24"/>
          <w:szCs w:val="24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72C13" w14:paraId="27B1A15D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AF88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Cas de </w:t>
            </w:r>
            <w:proofErr w:type="gramStart"/>
            <w:r>
              <w:rPr>
                <w:b/>
                <w:bCs/>
                <w:color w:val="FFFFFF"/>
              </w:rPr>
              <w:t>test  |</w:t>
            </w:r>
            <w:proofErr w:type="gramEnd"/>
            <w:r>
              <w:rPr>
                <w:b/>
                <w:bCs/>
                <w:color w:val="FFFFFF"/>
              </w:rPr>
              <w:t xml:space="preserve">  DESCRIPTION</w:t>
            </w:r>
          </w:p>
        </w:tc>
      </w:tr>
      <w:tr w:rsidR="00672C13" w14:paraId="2520E3C1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381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4606" w14:textId="77777777" w:rsidR="00672C13" w:rsidRDefault="00672C13" w:rsidP="001B63E1">
            <w:pPr>
              <w:spacing w:before="40" w:after="20"/>
            </w:pPr>
          </w:p>
          <w:p w14:paraId="5AF33AD5" w14:textId="77777777" w:rsidR="00672C13" w:rsidRDefault="00672C13" w:rsidP="001B63E1">
            <w:pPr>
              <w:spacing w:before="40" w:after="20"/>
            </w:pP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4D160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Objectif : </w:t>
            </w:r>
            <w:r>
              <w:rPr>
                <w:i w:val="0"/>
                <w:color w:val="000000"/>
              </w:rPr>
              <w:t>Vérifier si les messages d'erreur permettent de distinguer un compte inexistant d'un mot de passe erroné (OWASP A07).</w:t>
            </w:r>
          </w:p>
          <w:p w14:paraId="5F811B1A" w14:textId="77777777" w:rsidR="00672C13" w:rsidRDefault="00672C13" w:rsidP="001B63E1">
            <w:pPr>
              <w:spacing w:before="40" w:after="60"/>
            </w:pPr>
            <w:r>
              <w:rPr>
                <w:b/>
                <w:bCs/>
              </w:rPr>
              <w:t xml:space="preserve">Données de test : </w:t>
            </w:r>
            <w:r>
              <w:rPr>
                <w:i w:val="0"/>
                <w:color w:val="000000"/>
              </w:rPr>
              <w:t>Nom d'utilisateur inconnu ; puis nom d'utilisateur valide avec mot de passe erroné (valeurs masquées).</w:t>
            </w:r>
          </w:p>
          <w:p w14:paraId="76F99C5E" w14:textId="77777777" w:rsidR="00672C13" w:rsidRDefault="00672C13" w:rsidP="001B63E1">
            <w:pPr>
              <w:spacing w:before="40" w:after="20"/>
            </w:pPr>
            <w:r>
              <w:rPr>
                <w:b/>
                <w:bCs/>
              </w:rPr>
              <w:t>Étapes :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1.  Tenter une connexion avec un nom d'utilisateur inconnu.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2.  Relever le message d'erreur.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3.  Tenter une connexion avec un mot de passe erroné.</w:t>
            </w:r>
          </w:p>
          <w:p w14:paraId="0EFDECCA" w14:textId="77777777" w:rsidR="00672C13" w:rsidRDefault="00672C13" w:rsidP="001B63E1">
            <w:pPr>
              <w:spacing w:before="40" w:after="20"/>
            </w:pPr>
            <w:r>
              <w:t>4.  Comparer les deux messages.</w:t>
            </w:r>
          </w:p>
        </w:tc>
      </w:tr>
      <w:tr w:rsidR="00672C13" w14:paraId="1D678F93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1AA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Règle / Exigence couverte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98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REQ-002 et REQ-003 — messages d'erreur explicites</w:t>
            </w:r>
          </w:p>
        </w:tc>
      </w:tr>
      <w:tr w:rsidR="00672C13" w14:paraId="0D6DC5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CEC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849A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C00000"/>
              </w:rPr>
              <w:t>☐  Critique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1F4788"/>
              </w:rPr>
              <w:t>☒  Haute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Moyenne</w:t>
            </w:r>
            <w:r>
              <w:t xml:space="preserve">        </w:t>
            </w:r>
            <w:r>
              <w:rPr>
                <w:b/>
                <w:bCs/>
                <w:color w:val="7F7F7F"/>
              </w:rPr>
              <w:t>☐  Basse</w:t>
            </w:r>
          </w:p>
        </w:tc>
      </w:tr>
      <w:tr w:rsidR="00672C13" w14:paraId="1957E63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F202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41D60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color w:val="000000"/>
              </w:rPr>
              <w:t>☐  Fonctionnel</w:t>
            </w:r>
            <w:proofErr w:type="gramEnd"/>
            <w:r>
              <w:t xml:space="preserve">        </w:t>
            </w:r>
            <w:r>
              <w:rPr>
                <w:color w:val="000000"/>
              </w:rPr>
              <w:t>☒  Sécurité / Habilitation</w:t>
            </w:r>
            <w:r>
              <w:t xml:space="preserve">        </w:t>
            </w:r>
            <w:r>
              <w:rPr>
                <w:color w:val="000000"/>
              </w:rPr>
              <w:t>☐  Interface utilisateur</w:t>
            </w:r>
            <w:r>
              <w:t xml:space="preserve">        </w:t>
            </w:r>
            <w:r>
              <w:rPr>
                <w:color w:val="000000"/>
              </w:rPr>
              <w:t>☐  Performance</w:t>
            </w:r>
            <w:r>
              <w:t xml:space="preserve">        </w:t>
            </w:r>
            <w:r>
              <w:rPr>
                <w:color w:val="000000"/>
              </w:rPr>
              <w:t>☐  Accessibilité</w:t>
            </w:r>
          </w:p>
        </w:tc>
      </w:tr>
      <w:tr w:rsidR="00672C13" w14:paraId="73B6CCCC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5719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attendu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248FB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Hypothèse à justifier : la SFD exige des messages explicites, la bonne pratique recommande un message unique.</w:t>
            </w:r>
          </w:p>
        </w:tc>
      </w:tr>
      <w:tr w:rsidR="00672C13" w14:paraId="21F4A91E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B9AF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Résultat observé &amp; Vérifications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662C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Messages distincts : « Your username is invalid! » et « Your password is invalid! ». Un attaquant peut identifier les comptes existants.</w:t>
            </w:r>
          </w:p>
          <w:p>
            <w:r>
              <w:rPr>
                <w:b/>
              </w:rPr>
              <w:t xml:space="preserve">Confiance de preuve : </w:t>
            </w:r>
            <w:r>
              <w:t>HAUTE</w:t>
            </w:r>
          </w:p>
          <w:p>
            <w:r>
              <w:rPr>
                <w:b/>
              </w:rPr>
              <w:t xml:space="preserve">Preuve d'exécution : </w:t>
            </w:r>
            <w:r>
              <w:t>executions/exec-20260923T114428Z/resultats.json</w:t>
            </w:r>
          </w:p>
        </w:tc>
      </w:tr>
      <w:tr w:rsidR="00672C13" w14:paraId="44CFD28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8A3F6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Statut d'exécution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C4E2" w14:textId="77777777" w:rsidR="00672C13" w:rsidRDefault="00672C13" w:rsidP="001B63E1">
            <w:pPr>
              <w:spacing w:before="60" w:after="60"/>
            </w:pPr>
            <w:proofErr w:type="gramStart"/>
            <w:r>
              <w:rPr>
                <w:b/>
                <w:bCs/>
                <w:color w:val="538135"/>
              </w:rPr>
              <w:t>☐  PASS</w:t>
            </w:r>
            <w:proofErr w:type="gramEnd"/>
            <w:r>
              <w:t xml:space="preserve">        </w:t>
            </w:r>
            <w:r>
              <w:rPr>
                <w:b/>
                <w:bCs/>
                <w:color w:val="C00000"/>
              </w:rPr>
              <w:t>☐  FAIL</w:t>
            </w:r>
            <w:r>
              <w:t xml:space="preserve">        </w:t>
            </w:r>
            <w:r>
              <w:rPr>
                <w:b/>
                <w:bCs/>
                <w:color w:val="ED7D31"/>
              </w:rPr>
              <w:t>☐  BLOQUÉ</w:t>
            </w:r>
            <w:r>
              <w:t xml:space="preserve">        </w:t>
            </w:r>
            <w:r>
              <w:rPr>
                <w:b/>
                <w:bCs/>
                <w:color w:val="595959"/>
              </w:rPr>
              <w:t>☐  NON EXÉCUTÉ</w:t>
            </w:r>
            <w:r>
              <w:t xml:space="preserve">        </w:t>
            </w:r>
            <w:r>
              <w:rPr>
                <w:b/>
                <w:bCs/>
                <w:color w:val="7030A0"/>
              </w:rPr>
              <w:t>☒  NON CONCLUANT</w:t>
            </w:r>
          </w:p>
        </w:tc>
      </w:tr>
      <w:tr w:rsidR="00672C13" w14:paraId="34FFCB3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CDA10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Capture d'écran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812A" w14:textId="77777777" w:rsidR="00672C13" w:rsidRDefault="00672C13" w:rsidP="001B63E1">
            <w:pPr>
              <w:spacing w:before="50" w:after="50"/>
            </w:pPr>
            <w:r>
              <w:t>Aucune capture (non requise pour ce statut).</w:t>
            </w:r>
          </w:p>
        </w:tc>
      </w:tr>
      <w:tr w:rsidR="00672C13" w14:paraId="1C6FD2EA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31DB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Testeur &amp; Date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98AD5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</w:rPr>
              <w:t xml:space="preserve">Nom du testeur : </w:t>
            </w:r>
            <w:r>
              <w:t xml:space="preserve">QA-T-AG (agent IA)          </w:t>
            </w:r>
            <w:r>
              <w:rPr>
                <w:b/>
                <w:bCs/>
              </w:rPr>
              <w:t xml:space="preserve">Date : </w:t>
            </w:r>
            <w:r>
              <w:t>23/09/2026</w:t>
            </w:r>
            <w:proofErr w:type="gramStart"/>
            <w:r/>
            <w:proofErr w:type="gramEnd"/>
            <w:r/>
          </w:p>
        </w:tc>
      </w:tr>
      <w:tr w:rsidR="00672C13" w14:paraId="53BEB2DB" w14:textId="77777777" w:rsidTr="001B63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B2411" w14:textId="77777777" w:rsidR="00672C13" w:rsidRDefault="00672C13" w:rsidP="001B63E1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Commentaires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3577A" w14:textId="77777777" w:rsidR="00672C13" w:rsidRDefault="00672C13" w:rsidP="001B63E1">
            <w:pPr>
              <w:spacing w:before="60" w:after="60"/>
            </w:pPr>
            <w:r>
              <w:rPr>
                <w:i w:val="0"/>
                <w:iCs/>
                <w:color w:val="000000"/>
                <w:sz w:val="18"/>
                <w:szCs w:val="18"/>
              </w:rPr>
              <w:t>Conforme à la SFD, mais en tension avec la bonne pratique OWASP A07. Non classé en défaut. Recommandation : message générique unique (ex. « Identifiants invalides »). Décision au Product Owner.</w:t>
            </w:r>
          </w:p>
        </w:tc>
      </w:tr>
    </w:tbl>
    <w:p w14:paraId="55E05ED6" w14:textId="77777777" w:rsidR="00672C13" w:rsidRDefault="00672C13" w:rsidP="00672C13">
      <w:pPr>
        <w:rPr>
          <w:lang w:eastAsia="en-US"/>
        </w:rPr>
      </w:pPr>
    </w:p>
    <w:p w14:paraId="1BA32B6F" w14:textId="77777777" w:rsidR="00E457F9" w:rsidRDefault="00E457F9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5DC6062F" w14:textId="77777777" w:rsidR="00E457F9" w:rsidRDefault="00E457F9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  <w:sectPr w:rsidR="00E457F9"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10E81025" w14:textId="77777777" w:rsidR="00672C13" w:rsidRP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0E5A05">
        <w:rPr>
          <w:rFonts w:ascii="Maiandra GD" w:hAnsi="Maiandra GD"/>
          <w:lang w:val="fr-FR"/>
        </w:rPr>
        <w:lastRenderedPageBreak/>
        <w:t>Récapitulatif du test et recommandations</w:t>
      </w:r>
    </w:p>
    <w:tbl>
      <w:tblPr>
        <w:tblStyle w:val="Grilledutableau"/>
        <w:tblW w:w="1573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0"/>
        <w:gridCol w:w="1990"/>
        <w:gridCol w:w="2694"/>
        <w:gridCol w:w="2551"/>
        <w:gridCol w:w="1418"/>
        <w:gridCol w:w="1276"/>
        <w:gridCol w:w="3969"/>
        <w:gridCol w:w="1417"/>
      </w:tblGrid>
      <w:tr w:rsidR="00672C13" w:rsidRPr="00CF4F26" w14:paraId="2573F37F" w14:textId="77777777" w:rsidTr="001B63E1">
        <w:tc>
          <w:tcPr>
            <w:tcW w:w="420" w:type="dxa"/>
            <w:shd w:val="clear" w:color="auto" w:fill="CBD3DE" w:themeFill="text2" w:themeFillTint="40"/>
          </w:tcPr>
          <w:p w14:paraId="31C0117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990" w:type="dxa"/>
            <w:shd w:val="clear" w:color="auto" w:fill="CBD3DE" w:themeFill="text2" w:themeFillTint="40"/>
          </w:tcPr>
          <w:p w14:paraId="306ADAA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TEST</w:t>
            </w:r>
          </w:p>
        </w:tc>
        <w:tc>
          <w:tcPr>
            <w:tcW w:w="2694" w:type="dxa"/>
            <w:shd w:val="clear" w:color="auto" w:fill="CBD3DE" w:themeFill="text2" w:themeFillTint="40"/>
          </w:tcPr>
          <w:p w14:paraId="0E52D2A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OBJECTIF DU TEST</w:t>
            </w:r>
          </w:p>
        </w:tc>
        <w:tc>
          <w:tcPr>
            <w:tcW w:w="2551" w:type="dxa"/>
            <w:shd w:val="clear" w:color="auto" w:fill="CBD3DE" w:themeFill="text2" w:themeFillTint="40"/>
          </w:tcPr>
          <w:p w14:paraId="1A68C51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RESULTAT ATTENDU</w:t>
            </w:r>
          </w:p>
        </w:tc>
        <w:tc>
          <w:tcPr>
            <w:tcW w:w="1418" w:type="dxa"/>
            <w:shd w:val="clear" w:color="auto" w:fill="CBD3DE" w:themeFill="text2" w:themeFillTint="40"/>
          </w:tcPr>
          <w:p w14:paraId="405DA419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RESULTAT OBTENU</w:t>
            </w:r>
          </w:p>
        </w:tc>
        <w:tc>
          <w:tcPr>
            <w:tcW w:w="1276" w:type="dxa"/>
            <w:shd w:val="clear" w:color="auto" w:fill="CBD3DE" w:themeFill="text2" w:themeFillTint="40"/>
          </w:tcPr>
          <w:p w14:paraId="636D3B61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IMPACT DU RESULTAT</w:t>
            </w:r>
          </w:p>
        </w:tc>
        <w:tc>
          <w:tcPr>
            <w:tcW w:w="3969" w:type="dxa"/>
            <w:shd w:val="clear" w:color="auto" w:fill="CBD3DE" w:themeFill="text2" w:themeFillTint="40"/>
          </w:tcPr>
          <w:p w14:paraId="708BF27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OBSERVATIONS OU RECOMMANDATIONS</w:t>
            </w:r>
          </w:p>
        </w:tc>
        <w:tc>
          <w:tcPr>
            <w:tcW w:w="1417" w:type="dxa"/>
            <w:shd w:val="clear" w:color="auto" w:fill="CBD3DE" w:themeFill="text2" w:themeFillTint="40"/>
          </w:tcPr>
          <w:p w14:paraId="43E0E3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 w:rsidRPr="00CF4F26">
              <w:rPr>
                <w:rFonts w:ascii="Maiandra GD" w:hAnsi="Maiandra GD"/>
                <w:sz w:val="24"/>
                <w:szCs w:val="24"/>
              </w:rPr>
              <w:t>PORTEUR DE L’ACTION</w:t>
            </w:r>
          </w:p>
        </w:tc>
      </w:tr>
      <w:tr w:rsidR="00672C13" w:rsidRPr="00CF4F26" w14:paraId="32264150" w14:textId="77777777" w:rsidTr="001B63E1">
        <w:tc>
          <w:tcPr>
            <w:tcW w:w="420" w:type="dxa"/>
            <w:shd w:val="clear" w:color="auto" w:fill="auto"/>
          </w:tcPr>
          <w:p w14:paraId="6C510D53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1</w:t>
            </w:r>
          </w:p>
        </w:tc>
        <w:tc>
          <w:tcPr>
            <w:tcW w:w="1990" w:type="dxa"/>
            <w:shd w:val="clear" w:color="auto" w:fill="auto"/>
          </w:tcPr>
          <w:p w14:paraId="7C79203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TC-REQ-001-01 à TC-REQ-005-01 (10 cas)</w:t>
            </w:r>
          </w:p>
        </w:tc>
        <w:tc>
          <w:tcPr>
            <w:tcW w:w="2694" w:type="dxa"/>
            <w:shd w:val="clear" w:color="auto" w:fill="auto"/>
          </w:tcPr>
          <w:p w14:paraId="4DD5A995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Conformité des 5 exigences fonctionnelles</w:t>
            </w:r>
          </w:p>
        </w:tc>
        <w:tc>
          <w:tcPr>
            <w:tcW w:w="2551" w:type="dxa"/>
            <w:shd w:val="clear" w:color="auto" w:fill="auto"/>
          </w:tcPr>
          <w:p w14:paraId="18D79D9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Comportements décrits par la SFD</w:t>
            </w:r>
          </w:p>
        </w:tc>
        <w:tc>
          <w:tcPr>
            <w:tcW w:w="1418" w:type="dxa"/>
            <w:shd w:val="clear" w:color="auto" w:fill="auto"/>
          </w:tcPr>
          <w:p w14:paraId="22C6336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10 PASS</w:t>
            </w:r>
          </w:p>
        </w:tc>
        <w:tc>
          <w:tcPr>
            <w:tcW w:w="1276" w:type="dxa"/>
            <w:shd w:val="clear" w:color="auto" w:fill="auto"/>
          </w:tcPr>
          <w:p w14:paraId="28AEC6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Aucun</w:t>
            </w:r>
          </w:p>
        </w:tc>
        <w:tc>
          <w:tcPr>
            <w:tcW w:w="3969" w:type="dxa"/>
            <w:shd w:val="clear" w:color="auto" w:fill="auto"/>
          </w:tcPr>
          <w:p w14:paraId="53F1573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Couverture fonctionnelle 100 %</w:t>
            </w:r>
          </w:p>
        </w:tc>
        <w:tc>
          <w:tcPr>
            <w:tcW w:w="1417" w:type="dxa"/>
            <w:shd w:val="clear" w:color="auto" w:fill="auto"/>
          </w:tcPr>
          <w:p w14:paraId="6CAC8990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—</w:t>
            </w:r>
          </w:p>
        </w:tc>
      </w:tr>
      <w:tr w:rsidR="00672C13" w:rsidRPr="00CF4F26" w14:paraId="32264150" w14:textId="77777777" w:rsidTr="001B63E1">
        <w:tc>
          <w:tcPr>
            <w:tcW w:w="420" w:type="dxa"/>
            <w:shd w:val="clear" w:color="auto" w:fill="auto"/>
          </w:tcPr>
          <w:p w14:paraId="6C510D53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2</w:t>
            </w:r>
          </w:p>
        </w:tc>
        <w:tc>
          <w:tcPr>
            <w:tcW w:w="1990" w:type="dxa"/>
            <w:shd w:val="clear" w:color="auto" w:fill="auto"/>
          </w:tcPr>
          <w:p w14:paraId="7C79203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NFT-PERF-01</w:t>
            </w:r>
          </w:p>
        </w:tc>
        <w:tc>
          <w:tcPr>
            <w:tcW w:w="2694" w:type="dxa"/>
            <w:shd w:val="clear" w:color="auto" w:fill="auto"/>
          </w:tcPr>
          <w:p w14:paraId="4DD5A995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Page de connexion &lt; 3 s</w:t>
            </w:r>
          </w:p>
        </w:tc>
        <w:tc>
          <w:tcPr>
            <w:tcW w:w="2551" w:type="dxa"/>
            <w:shd w:val="clear" w:color="auto" w:fill="auto"/>
          </w:tcPr>
          <w:p w14:paraId="18D79D9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Médiane &lt; 3 000 ms</w:t>
            </w:r>
          </w:p>
        </w:tc>
        <w:tc>
          <w:tcPr>
            <w:tcW w:w="1418" w:type="dxa"/>
            <w:shd w:val="clear" w:color="auto" w:fill="auto"/>
          </w:tcPr>
          <w:p w14:paraId="22C6336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NON CONCLUANT</w:t>
            </w:r>
          </w:p>
        </w:tc>
        <w:tc>
          <w:tcPr>
            <w:tcW w:w="1276" w:type="dxa"/>
            <w:shd w:val="clear" w:color="auto" w:fill="auto"/>
          </w:tcPr>
          <w:p w14:paraId="28AEC6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Faible</w:t>
            </w:r>
          </w:p>
        </w:tc>
        <w:tc>
          <w:tcPr>
            <w:tcW w:w="3969" w:type="dxa"/>
            <w:shd w:val="clear" w:color="auto" w:fill="auto"/>
          </w:tcPr>
          <w:p w14:paraId="53F1573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Mesurer en environnement maîtrisé</w:t>
            </w:r>
          </w:p>
        </w:tc>
        <w:tc>
          <w:tcPr>
            <w:tcW w:w="1417" w:type="dxa"/>
            <w:shd w:val="clear" w:color="auto" w:fill="auto"/>
          </w:tcPr>
          <w:p w14:paraId="6CAC8990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DSI</w:t>
            </w:r>
          </w:p>
        </w:tc>
      </w:tr>
      <w:tr w:rsidR="00672C13" w:rsidRPr="00CF4F26" w14:paraId="32264150" w14:textId="77777777" w:rsidTr="001B63E1">
        <w:tc>
          <w:tcPr>
            <w:tcW w:w="420" w:type="dxa"/>
            <w:shd w:val="clear" w:color="auto" w:fill="auto"/>
          </w:tcPr>
          <w:p w14:paraId="6C510D53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3</w:t>
            </w:r>
          </w:p>
        </w:tc>
        <w:tc>
          <w:tcPr>
            <w:tcW w:w="1990" w:type="dxa"/>
            <w:shd w:val="clear" w:color="auto" w:fill="auto"/>
          </w:tcPr>
          <w:p w14:paraId="7C79203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NFT-A11Y-01</w:t>
            </w:r>
          </w:p>
        </w:tc>
        <w:tc>
          <w:tcPr>
            <w:tcW w:w="2694" w:type="dxa"/>
            <w:shd w:val="clear" w:color="auto" w:fill="auto"/>
          </w:tcPr>
          <w:p w14:paraId="4DD5A995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Violation de contraste (color-contrast, sévérité serious, 2 éléments, WCAG 1.4.3)</w:t>
            </w:r>
          </w:p>
        </w:tc>
        <w:tc>
          <w:tcPr>
            <w:tcW w:w="2551" w:type="dxa"/>
            <w:shd w:val="clear" w:color="auto" w:fill="auto"/>
          </w:tcPr>
          <w:p w14:paraId="18D79D9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Aucune violation critique WCAG</w:t>
            </w:r>
          </w:p>
        </w:tc>
        <w:tc>
          <w:tcPr>
            <w:tcW w:w="1418" w:type="dxa"/>
            <w:shd w:val="clear" w:color="auto" w:fill="auto"/>
          </w:tcPr>
          <w:p w14:paraId="22C6336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PASS au critère zéro critique, 1 non-conformité serious</w:t>
            </w:r>
          </w:p>
        </w:tc>
        <w:tc>
          <w:tcPr>
            <w:tcW w:w="1276" w:type="dxa"/>
            <w:shd w:val="clear" w:color="auto" w:fill="auto"/>
          </w:tcPr>
          <w:p w14:paraId="28AEC6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Faible</w:t>
            </w:r>
          </w:p>
        </w:tc>
        <w:tc>
          <w:tcPr>
            <w:tcW w:w="3969" w:type="dxa"/>
            <w:shd w:val="clear" w:color="auto" w:fill="auto"/>
          </w:tcPr>
          <w:p w14:paraId="53F1573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Corriger les contrastes signalés</w:t>
            </w:r>
          </w:p>
        </w:tc>
        <w:tc>
          <w:tcPr>
            <w:tcW w:w="1417" w:type="dxa"/>
            <w:shd w:val="clear" w:color="auto" w:fill="auto"/>
          </w:tcPr>
          <w:p w14:paraId="6CAC8990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Équipe de développement</w:t>
            </w:r>
          </w:p>
        </w:tc>
      </w:tr>
      <w:tr w:rsidR="00672C13" w:rsidRPr="00CF4F26" w14:paraId="32264150" w14:textId="77777777" w:rsidTr="001B63E1">
        <w:tc>
          <w:tcPr>
            <w:tcW w:w="420" w:type="dxa"/>
            <w:shd w:val="clear" w:color="auto" w:fill="auto"/>
          </w:tcPr>
          <w:p w14:paraId="6C510D53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4</w:t>
            </w:r>
          </w:p>
        </w:tc>
        <w:tc>
          <w:tcPr>
            <w:tcW w:w="1990" w:type="dxa"/>
            <w:shd w:val="clear" w:color="auto" w:fill="auto"/>
          </w:tcPr>
          <w:p w14:paraId="7C792036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NFT-SEC-03</w:t>
            </w:r>
          </w:p>
        </w:tc>
        <w:tc>
          <w:tcPr>
            <w:tcW w:w="2694" w:type="dxa"/>
            <w:shd w:val="clear" w:color="auto" w:fill="auto"/>
          </w:tcPr>
          <w:p w14:paraId="4DD5A995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Absence d'énumération de comptes</w:t>
            </w:r>
          </w:p>
        </w:tc>
        <w:tc>
          <w:tcPr>
            <w:tcW w:w="2551" w:type="dxa"/>
            <w:shd w:val="clear" w:color="auto" w:fill="auto"/>
          </w:tcPr>
          <w:p w14:paraId="18D79D9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Message d'erreur unique (OWASP A07)</w:t>
            </w:r>
          </w:p>
        </w:tc>
        <w:tc>
          <w:tcPr>
            <w:tcW w:w="1418" w:type="dxa"/>
            <w:shd w:val="clear" w:color="auto" w:fill="auto"/>
          </w:tcPr>
          <w:p w14:paraId="22C63367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Messages distincts</w:t>
            </w:r>
          </w:p>
        </w:tc>
        <w:tc>
          <w:tcPr>
            <w:tcW w:w="1276" w:type="dxa"/>
            <w:shd w:val="clear" w:color="auto" w:fill="auto"/>
          </w:tcPr>
          <w:p w14:paraId="28AEC612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Moyen</w:t>
            </w:r>
          </w:p>
        </w:tc>
        <w:tc>
          <w:tcPr>
            <w:tcW w:w="3969" w:type="dxa"/>
            <w:shd w:val="clear" w:color="auto" w:fill="auto"/>
          </w:tcPr>
          <w:p w14:paraId="53F1573C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Réviser l'exigence REQ-002/REQ-003 : message générique unique</w:t>
            </w:r>
          </w:p>
        </w:tc>
        <w:tc>
          <w:tcPr>
            <w:tcW w:w="1417" w:type="dxa"/>
            <w:shd w:val="clear" w:color="auto" w:fill="auto"/>
          </w:tcPr>
          <w:p w14:paraId="6CAC8990" w14:textId="77777777" w:rsidR="00672C13" w:rsidRPr="00CF4F26" w:rsidRDefault="00672C13" w:rsidP="001B63E1">
            <w:pPr>
              <w:rPr>
                <w:rFonts w:ascii="Maiandra GD" w:hAnsi="Maiandra GD"/>
                <w:sz w:val="24"/>
                <w:szCs w:val="24"/>
              </w:rPr>
            </w:pPr>
            <w:r>
              <w:t>Product Owner / auteur de la SFD</w:t>
            </w:r>
          </w:p>
        </w:tc>
      </w:tr>
    </w:tbl>
    <w:p w14:paraId="00A47867" w14:textId="77777777" w:rsidR="00672C13" w:rsidRDefault="00672C13" w:rsidP="00672C13">
      <w:pPr>
        <w:rPr>
          <w:lang w:eastAsia="en-US"/>
        </w:rPr>
      </w:pPr>
    </w:p>
    <w:p w14:paraId="40ABAED5" w14:textId="77777777" w:rsidR="00E457F9" w:rsidRDefault="00E457F9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155EE9B0" w14:textId="77777777" w:rsidR="00E457F9" w:rsidRDefault="00E457F9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  <w:sectPr w:rsidR="00E457F9" w:rsidSect="00E457F9">
          <w:pgSz w:w="16838" w:h="11906" w:orient="landscape"/>
          <w:pgMar w:top="902" w:right="902" w:bottom="902" w:left="902" w:header="709" w:footer="709" w:gutter="0"/>
          <w:cols w:space="720"/>
          <w:docGrid w:linePitch="360"/>
        </w:sectPr>
      </w:pPr>
      <w:bookmarkStart w:id="0" w:name="_GoBack"/>
      <w:bookmarkEnd w:id="0"/>
    </w:p>
    <w:p w14:paraId="7537CEBD" w14:textId="77777777" w:rsidR="00672C13" w:rsidRDefault="00672C13" w:rsidP="00672C13">
      <w:pPr>
        <w:pStyle w:val="Titre1"/>
        <w:numPr>
          <w:ilvl w:val="0"/>
          <w:numId w:val="1"/>
        </w:numPr>
        <w:rPr>
          <w:rFonts w:ascii="Maiandra GD" w:hAnsi="Maiandra GD"/>
          <w:lang w:val="fr-FR"/>
        </w:rPr>
      </w:pPr>
      <w:r w:rsidRPr="00DA01AD">
        <w:rPr>
          <w:rFonts w:ascii="Maiandra GD" w:hAnsi="Maiandra GD"/>
          <w:lang w:val="fr-FR"/>
        </w:rPr>
        <w:lastRenderedPageBreak/>
        <w:t xml:space="preserve">Conclusion 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Verdict global : NON CONCLUANT. Le volet fonctionnel est conforme (10/10 PASS, confiance haute). Le volet non fonctionnel comporte un résultat non concluant (performance) et une observation de sécurité à arbitrer.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Aucune anomalie bloquante. Le module peut être considéré comme fonctionnellement conforme, sous réserve de la décision du Product Owner sur l'observation NFT-SEC-03.</w:t>
      </w:r>
    </w:p>
    <w:p w14:paraId="352BB1E0" w14:textId="77777777" w:rsidR="00672C13" w:rsidRPr="00CF4F26" w:rsidRDefault="00672C13" w:rsidP="00672C13">
      <w:pPr>
        <w:jc w:val="both"/>
        <w:rPr>
          <w:rFonts w:ascii="Maiandra GD" w:hAnsi="Maiandra GD"/>
          <w:sz w:val="24"/>
        </w:rPr>
      </w:pPr>
      <w:r>
        <w:rPr>
          <w:b w:val="0"/>
        </w:rPr>
        <w:t>Une non-conformité d'accessibilité non bloquante est relevée : violation de contraste (color-contrast, sévérité serious, 2 éléments, WCAG 1.4.3). Recommandation : corriger les contrastes signalés (porteur : équipe de développement).</w:t>
      </w:r>
    </w:p>
    <w:sectPr w:rsidR="00672C13" w:rsidSect="00E457F9">
      <w:pgSz w:w="11906" w:h="16838"/>
      <w:pgMar w:top="902" w:right="902" w:bottom="902" w:left="90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15EF9"/>
    <w:multiLevelType w:val="hybridMultilevel"/>
    <w:tmpl w:val="BB1C9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F6C2B"/>
    <w:multiLevelType w:val="hybridMultilevel"/>
    <w:tmpl w:val="BB1C9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13"/>
    <w:rsid w:val="002C357A"/>
    <w:rsid w:val="00672C13"/>
    <w:rsid w:val="00970518"/>
    <w:rsid w:val="00E4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3CDB"/>
  <w15:chartTrackingRefBased/>
  <w15:docId w15:val="{68AE336A-C649-4F35-8A4F-4369E093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2C13"/>
    <w:pPr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72C13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672C13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672C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Paragraphedeliste">
    <w:name w:val="List Paragraph"/>
    <w:basedOn w:val="Normal"/>
    <w:uiPriority w:val="34"/>
    <w:qFormat/>
    <w:rsid w:val="0067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E44FCF4039FF4786D2BF2C5D28EF1B" ma:contentTypeVersion="14" ma:contentTypeDescription="Crée un document." ma:contentTypeScope="" ma:versionID="a3e96f54e757602a3ef2ad773fd86fb2">
  <xsd:schema xmlns:xsd="http://www.w3.org/2001/XMLSchema" xmlns:xs="http://www.w3.org/2001/XMLSchema" xmlns:p="http://schemas.microsoft.com/office/2006/metadata/properties" xmlns:ns3="ad8a755a-5368-4a3f-92f2-9570a1572524" xmlns:ns4="5ea4cd15-be07-40da-891f-94dafd6efc20" targetNamespace="http://schemas.microsoft.com/office/2006/metadata/properties" ma:root="true" ma:fieldsID="8300a231f39b77fe41b45e2b8b9885b3" ns3:_="" ns4:_="">
    <xsd:import namespace="ad8a755a-5368-4a3f-92f2-9570a1572524"/>
    <xsd:import namespace="5ea4cd15-be07-40da-891f-94dafd6efc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a755a-5368-4a3f-92f2-9570a15725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a4cd15-be07-40da-891f-94dafd6ef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8a755a-5368-4a3f-92f2-9570a1572524" xsi:nil="true"/>
  </documentManagement>
</p:properties>
</file>

<file path=customXml/itemProps1.xml><?xml version="1.0" encoding="utf-8"?>
<ds:datastoreItem xmlns:ds="http://schemas.openxmlformats.org/officeDocument/2006/customXml" ds:itemID="{83971D83-538B-4930-9675-8C1AC3135B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a755a-5368-4a3f-92f2-9570a1572524"/>
    <ds:schemaRef ds:uri="5ea4cd15-be07-40da-891f-94dafd6efc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42A210-43A6-4AB4-91C1-E2980E50E5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9E8A55-F5CD-4147-A0B2-058C0413848E}">
  <ds:schemaRefs>
    <ds:schemaRef ds:uri="ad8a755a-5368-4a3f-92f2-9570a1572524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5ea4cd15-be07-40da-891f-94dafd6efc2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746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test — SFD-TEST-001 v1.0 — MODULE-TEST-LOGIN</dc:title>
  <dc:subject/>
  <dc:creator>Abdoul Kader  BAMBA</dc:creator>
  <cp:keywords/>
  <dc:description/>
  <cp:lastModifiedBy>Abdoul Kader  BAMBA</cp:lastModifiedBy>
  <cp:revision>1</cp:revision>
  <dcterms:created xsi:type="dcterms:W3CDTF">2026-09-23T12:00:00Z</dcterms:created>
  <dcterms:modified xsi:type="dcterms:W3CDTF">2026-09-23T12:16:00Z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0x0101005FE44FCF4039FF4786D2BF2C5D28EF1B</vt:lpwstr>
  </property>
</Properties>
</file>