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7F75F" w14:textId="77777777" w:rsidR="00672C13" w:rsidRDefault="00672C13" w:rsidP="00672C13">
      <w:pPr>
        <w:spacing w:before="2400"/>
      </w:pPr>
    </w:p>
    <w:p w14:paraId="2739FB2A" w14:textId="77777777" w:rsidR="00672C13" w:rsidRDefault="00672C13" w:rsidP="00672C13">
      <w:pPr>
        <w:spacing w:after="160"/>
        <w:jc w:val="center"/>
      </w:pPr>
      <w:r>
        <w:rPr>
          <w:b/>
          <w:bCs/>
          <w:color w:val="1F4788"/>
          <w:sz w:val="28"/>
          <w:szCs w:val="28"/>
        </w:rPr>
        <w:t>CAISSE NATIONALE DE PRÉVOYANCE SOCIALE (CNPS)</w:t>
      </w:r>
    </w:p>
    <w:p w14:paraId="76653346" w14:textId="77777777" w:rsidR="00672C13" w:rsidRDefault="00672C13" w:rsidP="00672C13">
      <w:pPr>
        <w:spacing w:before="320" w:after="320"/>
      </w:pPr>
    </w:p>
    <w:p w14:paraId="236D0D67" w14:textId="77777777" w:rsidR="00672C13" w:rsidRDefault="00672C13" w:rsidP="00672C13">
      <w:pPr>
        <w:jc w:val="both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Tableau de suivi des modifications</w:t>
      </w:r>
    </w:p>
    <w:p w14:paraId="29A7DD65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9"/>
        <w:gridCol w:w="1247"/>
        <w:gridCol w:w="1134"/>
        <w:gridCol w:w="3118"/>
      </w:tblGrid>
      <w:tr w:rsidR="00672C13" w:rsidRPr="00DA01AD" w14:paraId="1E538A7E" w14:textId="77777777" w:rsidTr="001B63E1">
        <w:trPr>
          <w:trHeight w:val="361"/>
          <w:jc w:val="center"/>
        </w:trPr>
        <w:tc>
          <w:tcPr>
            <w:tcW w:w="10348" w:type="dxa"/>
            <w:gridSpan w:val="4"/>
            <w:shd w:val="clear" w:color="auto" w:fill="E7E6E6" w:themeFill="background2"/>
          </w:tcPr>
          <w:p w14:paraId="27E52F47" w14:textId="77777777" w:rsidR="00672C13" w:rsidRPr="00DA01AD" w:rsidRDefault="00672C13" w:rsidP="001B63E1">
            <w:pPr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Diffusion</w:t>
            </w:r>
          </w:p>
        </w:tc>
      </w:tr>
      <w:tr w:rsidR="00672C13" w:rsidRPr="00DA01AD" w14:paraId="57071B58" w14:textId="77777777" w:rsidTr="001B63E1">
        <w:trPr>
          <w:jc w:val="center"/>
        </w:trPr>
        <w:tc>
          <w:tcPr>
            <w:tcW w:w="4849" w:type="dxa"/>
            <w:vAlign w:val="center"/>
          </w:tcPr>
          <w:p w14:paraId="05F4B3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Destinataires</w:t>
            </w:r>
          </w:p>
        </w:tc>
        <w:tc>
          <w:tcPr>
            <w:tcW w:w="1247" w:type="dxa"/>
            <w:vAlign w:val="center"/>
          </w:tcPr>
          <w:p w14:paraId="1788CB0A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Original</w:t>
            </w:r>
          </w:p>
        </w:tc>
        <w:tc>
          <w:tcPr>
            <w:tcW w:w="1134" w:type="dxa"/>
            <w:vAlign w:val="center"/>
          </w:tcPr>
          <w:p w14:paraId="75E1EE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Copie</w:t>
            </w:r>
          </w:p>
        </w:tc>
        <w:tc>
          <w:tcPr>
            <w:tcW w:w="3118" w:type="dxa"/>
            <w:vAlign w:val="center"/>
          </w:tcPr>
          <w:p w14:paraId="777994B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Support (P = Papier,</w:t>
            </w:r>
          </w:p>
          <w:p w14:paraId="0E4A64B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 xml:space="preserve">CD/E = </w:t>
            </w:r>
            <w:proofErr w:type="spellStart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Electronique</w:t>
            </w:r>
            <w:proofErr w:type="spellEnd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)</w:t>
            </w:r>
          </w:p>
        </w:tc>
      </w:tr>
      <w:tr w:rsidR="00672C13" w:rsidRPr="00DA01AD" w14:paraId="7D6717E2" w14:textId="77777777" w:rsidTr="001B63E1">
        <w:trPr>
          <w:jc w:val="center"/>
        </w:trPr>
        <w:tc>
          <w:tcPr>
            <w:tcW w:w="4849" w:type="dxa"/>
          </w:tcPr>
          <w:p w14:paraId="46B0EEC3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Recouvrement</w:t>
            </w:r>
          </w:p>
        </w:tc>
        <w:tc>
          <w:tcPr>
            <w:tcW w:w="1247" w:type="dxa"/>
          </w:tcPr>
          <w:p w14:paraId="0CC488F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</w:p>
        </w:tc>
        <w:tc>
          <w:tcPr>
            <w:tcW w:w="1134" w:type="dxa"/>
          </w:tcPr>
          <w:p w14:paraId="6AC7CC5D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0DF7FB0F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E</w:t>
            </w:r>
          </w:p>
        </w:tc>
      </w:tr>
      <w:tr w:rsidR="00672C13" w:rsidRPr="00DA01AD" w14:paraId="7795CDD7" w14:textId="77777777" w:rsidTr="001B63E1">
        <w:trPr>
          <w:jc w:val="center"/>
        </w:trPr>
        <w:tc>
          <w:tcPr>
            <w:tcW w:w="4849" w:type="dxa"/>
          </w:tcPr>
          <w:p w14:paraId="770C2419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Système d’Information</w:t>
            </w:r>
          </w:p>
        </w:tc>
        <w:tc>
          <w:tcPr>
            <w:tcW w:w="1247" w:type="dxa"/>
          </w:tcPr>
          <w:p w14:paraId="27D1BB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1134" w:type="dxa"/>
          </w:tcPr>
          <w:p w14:paraId="341712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741F80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P ; E</w:t>
            </w:r>
          </w:p>
        </w:tc>
      </w:tr>
    </w:tbl>
    <w:p w14:paraId="4906A3F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ECD4C7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44FB563C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79280FF0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0F869B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24FC7151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8"/>
        <w:gridCol w:w="1628"/>
        <w:gridCol w:w="1605"/>
        <w:gridCol w:w="1204"/>
        <w:gridCol w:w="2034"/>
        <w:gridCol w:w="1686"/>
      </w:tblGrid>
      <w:tr w:rsidR="00672C13" w14:paraId="3719382A" w14:textId="77777777" w:rsidTr="001B63E1">
        <w:tc>
          <w:tcPr>
            <w:tcW w:w="0" w:type="auto"/>
            <w:gridSpan w:val="2"/>
            <w:shd w:val="clear" w:color="auto" w:fill="DAEEF3"/>
            <w:vAlign w:val="center"/>
          </w:tcPr>
          <w:p w14:paraId="0393F01E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Rédacteur</w:t>
            </w:r>
          </w:p>
        </w:tc>
        <w:tc>
          <w:tcPr>
            <w:tcW w:w="2809" w:type="dxa"/>
            <w:gridSpan w:val="2"/>
            <w:shd w:val="clear" w:color="auto" w:fill="DAEEF3"/>
          </w:tcPr>
          <w:p w14:paraId="5D6F7182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Vérificateur</w:t>
            </w:r>
          </w:p>
        </w:tc>
        <w:tc>
          <w:tcPr>
            <w:tcW w:w="3636" w:type="dxa"/>
            <w:gridSpan w:val="2"/>
            <w:shd w:val="clear" w:color="auto" w:fill="DAEEF3"/>
            <w:vAlign w:val="center"/>
          </w:tcPr>
          <w:p w14:paraId="1762746D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Approbateur</w:t>
            </w:r>
          </w:p>
        </w:tc>
      </w:tr>
      <w:tr w:rsidR="00672C13" w14:paraId="1D79B596" w14:textId="77777777" w:rsidTr="001B63E1">
        <w:tc>
          <w:tcPr>
            <w:tcW w:w="1555" w:type="dxa"/>
          </w:tcPr>
          <w:p w14:paraId="5D8C706F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628" w:type="dxa"/>
          </w:tcPr>
          <w:p w14:paraId="6FC22F9B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1605" w:type="dxa"/>
          </w:tcPr>
          <w:p w14:paraId="07A952FC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204" w:type="dxa"/>
          </w:tcPr>
          <w:p w14:paraId="05E142D3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2034" w:type="dxa"/>
          </w:tcPr>
          <w:p w14:paraId="2DCD51C0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0" w:type="auto"/>
          </w:tcPr>
          <w:p w14:paraId="38C5F5F6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</w:tr>
      <w:tr w:rsidR="00672C13" w14:paraId="1F587606" w14:textId="77777777" w:rsidTr="001B63E1">
        <w:trPr>
          <w:trHeight w:val="1268"/>
        </w:trPr>
        <w:tc>
          <w:tcPr>
            <w:tcW w:w="1555" w:type="dxa"/>
          </w:tcPr>
          <w:p w14:paraId="6137FF73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rédacteur</w:t>
            </w:r>
          </w:p>
          <w:p w14:paraId="3C4FD55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DB74589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AF3930D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4D5D445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0E13D005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  <w:p w14:paraId="29200072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28" w:type="dxa"/>
            <w:vAlign w:val="center"/>
          </w:tcPr>
          <w:p w14:paraId="4BBDEAD5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05" w:type="dxa"/>
          </w:tcPr>
          <w:p w14:paraId="4FE6C9EA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demandeur</w:t>
            </w:r>
          </w:p>
          <w:p w14:paraId="63DCFC5C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CA33E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7B3626FD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demandeur.</w:t>
            </w:r>
          </w:p>
        </w:tc>
        <w:tc>
          <w:tcPr>
            <w:tcW w:w="1204" w:type="dxa"/>
          </w:tcPr>
          <w:p w14:paraId="6782C4B3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2034" w:type="dxa"/>
          </w:tcPr>
          <w:p w14:paraId="1EC0EC8F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Responsable</w:t>
            </w:r>
          </w:p>
          <w:p w14:paraId="6A3FE225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D3882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6119EF91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3B087381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</w:tc>
        <w:tc>
          <w:tcPr>
            <w:tcW w:w="0" w:type="auto"/>
            <w:vAlign w:val="center"/>
          </w:tcPr>
          <w:p w14:paraId="4E43EFEF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</w:tr>
      <w:tr w:rsidR="00672C13" w14:paraId="6ADD8880" w14:textId="77777777" w:rsidTr="001B63E1">
        <w:tc>
          <w:tcPr>
            <w:tcW w:w="0" w:type="auto"/>
            <w:gridSpan w:val="6"/>
          </w:tcPr>
          <w:p w14:paraId="1FB481A0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 xml:space="preserve">STRUCTURE REDACTRICE : </w:t>
            </w:r>
            <w:r>
              <w:rPr>
                <w:rFonts w:ascii="Maiandra GD" w:hAnsi="Maiandra GD"/>
                <w:sz w:val="24"/>
                <w:szCs w:val="24"/>
              </w:rPr>
              <w:t>Direction du Système d’Information</w:t>
            </w:r>
          </w:p>
        </w:tc>
      </w:tr>
    </w:tbl>
    <w:p w14:paraId="4FCA8B3D" w14:textId="77777777" w:rsidR="00672C13" w:rsidRDefault="00672C13">
      <w:pPr>
        <w:spacing w:after="160" w:line="259" w:lineRule="auto"/>
      </w:pPr>
      <w:r>
        <w:br w:type="page"/>
      </w:r>
    </w:p>
    <w:p w14:paraId="284C7D00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>
        <w:rPr>
          <w:rFonts w:ascii="Maiandra GD" w:hAnsi="Maiandra GD"/>
          <w:lang w:val="fr-FR"/>
        </w:rPr>
        <w:lastRenderedPageBreak/>
        <w:t>Contexte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Module de démonstration public, sans rapport avec un système CNPS réel — utilisé pour valider le pipeline de l'agent QA-T-AG.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Ce rapport rend compte de la campagne de NON-RÉGRESSION NR1 de la SFD-TEST-001 v1.0 (module MODULE-TEST-LOGIN). La SFD est inchangée par rapport au cycle 1 (empreinte SHA-256 b29f486b43cf2e64fd9115e5f8cdc753d89445bc03d433156b989e5aabb92e64) ; la même suite de tests (identifiants stables) est ré-exécutée pour détecter toute dérive.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Environnement : Sandbox https://the-internet.herokuapp.com/login. Exécution automatisée par QA-T-AG (Playwright 1.63.0, Chromium).</w:t>
      </w:r>
    </w:p>
    <w:p w14:paraId="19643AA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A01AD">
        <w:rPr>
          <w:rFonts w:ascii="Maiandra GD" w:hAnsi="Maiandra GD"/>
          <w:lang w:val="fr-FR"/>
        </w:rPr>
        <w:t>Objectif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 w:rsidRPr="00CF4F26">
        <w:rPr>
          <w:rFonts w:ascii="Maiandra GD" w:hAnsi="Maiandra GD"/>
          <w:sz w:val="24"/>
        </w:rPr>
        <w:t>Les objectifs de cette séance sont les suivants :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–  Vérifier l'absence de régression sur les 5 exigences fonctionnelles de la SFD-TEST-001.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–  Re-contrôler les attributs de qualité applicables : performance, accessibilité, sécurité.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–  Comparer les verdicts à la ligne de base du cycle 1 (exec-20260923T114428Z).</w:t>
      </w:r>
    </w:p>
    <w:p w14:paraId="6853AC99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C526E">
        <w:rPr>
          <w:rFonts w:ascii="Maiandra GD" w:hAnsi="Maiandra GD"/>
          <w:lang w:val="fr-FR"/>
        </w:rPr>
        <w:t>Exécution des tests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Campagne NR1 exécutée le 24/09/2026. Couverture fonctionnelle : 100 % (5/5 exigences), calculée par script (couverture-SFD-TEST-001-NR1.json).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Cas de test : 10 fonctionnels, 5 non fonctionnels. Comparaison à la ligne de base du cycle 1 : 0 régression sur 13 tests comparés (NFT-PERF-01 étant instable par nature, cf. son bloc).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Transparence d'exécution : une première tentative NR1 (exec-20260924T154401Z) a été interrompue par un timeout réseau au premier chargement de la page (Sandbox publique lente) ; reprise à la 2e tentative (plafond Sandbox = 2 tentatives, skill qa-t-ag-core §5), exécution complète. La première tentative est conservée dans executions/.</w:t>
      </w:r>
    </w:p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TC-REQ-001-01 : Connexion réussie avec identifiants valides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utilisateur disposant d'identifiants valides accède à la zone sécurisée.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= ******** (compte de test documenté).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le nom d'utilisateur.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le mot de passe.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REQ-001 — Connexion réussie (SFD-TEST-001 v1.0)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L'utilisateur accède à la zone sécurisée et un message de confirmation s'affiche.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/secure. Message : « You logged into a secure area! ». Titre « Secure Area » affiché.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TC-REQ-001-02 : Accès direct à la zone sécurisée sans authentification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zone sécurisée n'est pas accessible sans connexion préalable.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Aucune saisie. Accès direct à l'URL /secure dans un contexte navigateur neuf.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un contexte navigateur neuf.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Accéder directement à l'URL /secure.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REQ-001 — Connexion réussie (contrôle d'accès associé)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et l'utilisateur est renvoyé vers la page de connexion.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/login. Message : « You must login to view the secure area! ». Zone sécurisée non affichée.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TC-REQ-002-01 : Nom d'utilisateur inconnu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nom d'utilisateur inconnu est refusé avec un message d'erreur explicite.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utilisateur_inconnu ; mot de passe quelconque.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inconnu.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un mot de passe.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REQ-002 — Nom d'utilisateur invalide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Un message d'erreur explicite s'affiche et l'accès est refusé.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username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TC-REQ-002-02 : Nom d'utilisateur vide avec mot de passe valide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le comportement avec un nom d'utilisateur vide (frontière).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vide ; mot de passe = ********.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Laisser le nom d'utilisateur vide.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un mot de passe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REQ-002 — Nom d'utilisateur invalide (frontière : champ vide)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(REQ-002).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username is invalid! » (libellé exact observé, non précisé par la SFD).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TC-REQ-003-01 : Mot de passe incorrect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mot de passe incorrect est refusé avec un message d'erreur explicite.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incorrect.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un mot de passe incorrect.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REQ-003 — Mot de passe invalide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Un message d'erreur explicite s'affiche et l'accès est refusé.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password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TC-REQ-003-02 : Mot de passe vide avec nom d'utilisateur valide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le comportement avec un mot de passe vide (frontière).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vide.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Laisser le mot de passe vide.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REQ-003 — Mot de passe invalide (frontière : champ vide)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et un message d'erreur s'affiche (mot de passe vide = incorrect).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password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TC-REQ-003-03 : Mot de passe avec une casse différente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la sensibilité à la casse du mot de passe.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valide saisi en minuscules (masqué).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le mot de passe en minuscules.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REQ-003 — Mot de passe invalide (casse)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et un message d'erreur s'affiche (casse différente = incorrect).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password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TC-REQ-004-01 : Déconnexion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déconnexion ramène à la page de connexion avec confirmation.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Session ouverte avec le compte de test.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Se connecter avec des identifiants valides.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Cliquer sur le bouton Logout.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REQ-004 — Déconnexion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Retour à la page de connexion et message de confirmation.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/login. Message : « You logged out of the secure area!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TC-REQ-004-02 : Accès refusé après déconnexion (même contexte)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zone sécurisée redevient inaccessible après déconnexion.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Contexte où l'utilisateur s'est connecté puis déconnecté.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Se connecter.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Se déconnecter.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Accéder directement à /secure.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REQ-004 — Déconnexion (révocation d'accès)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redevient impossible sans nouvelle connexion.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/login. Message : « You must login to view the secure area!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TC-REQ-005-01 : Formulaire vide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formulaire vide produit un message d'erreur cohérent.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Champs nom d'utilisateur et mot de passe vides.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Valider le formulaire sans rien saisir.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REQ-005 — Formulaire vide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☒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Un message d'erreur s'affiche, cohérent avec REQ-002/REQ-003.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username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NFT-PERF-01 : Temps d'affichage de la page de connexion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page de connexion s'affiche en moins de 3 secondes.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Métrique : événement load. 5 mesures par exécution, verdict sur la médiane.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Mesurer le délai jusqu'à l'événement load.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Répéter la mesure 5 fois.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Calculer la médiane.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Performance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☒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Médiane inférieure à 3 000 ms.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4 exécutions divergentes (instable/flaky) : 3 024,9 ms (FAIL), 2 991,5 ms (PASS), 2 953,1 ms (PASS), 3 012,2 ms (FAIL). Médianes oscillant autour du seuil de 3 000 ms (réseau non maîtrisé, Sandbox publique).</w:t>
            </w:r>
          </w:p>
          <w:p>
            <w:r>
              <w:rPr>
                <w:b/>
              </w:rPr>
              <w:t xml:space="preserve">Confiance de preuve : </w:t>
            </w:r>
            <w:r>
              <w:t>BASSE (réseau non maîtrisé, Sandbox publique)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☐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☒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Résultat instable/flaky confirmé sur 4 exécutions (FAIL/PASS/PASS/FAIL). Ce n'est pas une régression : le cycle 1 présentait déjà cette instabilité. Pas de fiche d'anomalie ouverte (classement instable requiert une décision humaine). À mesurer en environnement maîtrisé pour conclure.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NFT-A11Y-01 : Accessibilité — aucune violation critique WCAG (axe-core)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l'absence de violation critique WCAG sur la page de connexion.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Analyse axe-core du DOM de la page de connexion.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Charger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Injecter axe-core.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Exécuter axe.run().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Relever les violations critiques.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Accessibilité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☒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Aucune violation de sévérité critique.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0 violation critique. 5 violations non critiques : color-contrast (serious, 2 nœuds), heading-order, landmark-one-main, page-has-heading-one, region.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NFT-SEC-01 : Champ mot de passe masqué (type=password)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le champ mot de passe masque la saisie.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Inspection de l'attribut type du champ mot de passe.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Charger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Inspecter l'attribut type du champ mot de passe.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Sécurité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Le champ mot de passe porte type=password.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Attribut type observé = « password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NFT-SEC-02 : Aucune donnée de connexion en clair dans les livrables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les livrables QA ne contiennent pas le mot de passe en clair.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Recherche du mot de passe par grep + auto-contrôle du script d'exécution.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Générer les livrables.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Rechercher le mot de passe en clair.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Vérifier l'auto-contrôle du script.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Sécurité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Aucune occurrence du mot de passe en clair.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0 occurrence du mot de passe de test ou de toute valeur interdite dans les livrables (grep programmatique sur features/, reports/, executions/, matrice, journal + auto-contrôle du script).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NFT-SEC-03 : Énumération de comptes par les messages d'erreur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si les messages d'erreur permettent de distinguer un compte inexistant d'un mot de passe erroné (OWASP A07).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inconnu ; puis nom d'utilisateur valide avec mot de passe erroné (valeurs masquées).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Tenter une connexion avec un nom d'utilisateur inconnu.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Relever le message d'erreur.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Tenter une connexion avec un mot de passe erroné.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Comparer les deux messages.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REQ-002 et REQ-003 — messages d'erreur explicites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Hypothèse à justifier : la SFD exige des messages explicites, la bonne pratique recommande un message unique.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Messages toujours distincts : « Your username is invalid! » et « Your password is invalid! ». Un tiers peut distinguer un compte inexistant d'un mot de passe erroné.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executions/exec-20260924T154529Z/resultats.json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☐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☒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24/09/2026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Observation re-confirmée à l'identique en non-régression (aucun changement). Conforme à la SFD, en tension avec OWASP A07. Recommandation : message générique unique. Décision Product Owner toujours ouverte.</w:t>
            </w:r>
          </w:p>
        </w:tc>
      </w:tr>
    </w:tbl>
    <w:p w14:paraId="55E05ED6" w14:textId="77777777" w:rsidR="00672C13" w:rsidRDefault="00672C13" w:rsidP="00672C13">
      <w:pPr>
        <w:rPr>
          <w:lang w:eastAsia="en-US"/>
        </w:rPr>
      </w:pPr>
    </w:p>
    <w:p w14:paraId="1BA32B6F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DC6062F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10E81025" w14:textId="77777777" w:rsidR="00672C13" w:rsidRP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0E5A05">
        <w:rPr>
          <w:rFonts w:ascii="Maiandra GD" w:hAnsi="Maiandra GD"/>
          <w:lang w:val="fr-FR"/>
        </w:rPr>
        <w:lastRenderedPageBreak/>
        <w:t>Récapitulatif du test et recommandations</w:t>
      </w:r>
    </w:p>
    <w:tbl>
      <w:tblPr>
        <w:tblStyle w:val="Grilledutableau"/>
        <w:tblW w:w="1573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0"/>
        <w:gridCol w:w="1990"/>
        <w:gridCol w:w="2694"/>
        <w:gridCol w:w="2551"/>
        <w:gridCol w:w="1418"/>
        <w:gridCol w:w="1276"/>
        <w:gridCol w:w="3969"/>
        <w:gridCol w:w="1417"/>
      </w:tblGrid>
      <w:tr w:rsidR="00672C13" w:rsidRPr="00CF4F26" w14:paraId="2573F37F" w14:textId="77777777" w:rsidTr="001B63E1">
        <w:tc>
          <w:tcPr>
            <w:tcW w:w="420" w:type="dxa"/>
            <w:shd w:val="clear" w:color="auto" w:fill="CBD3DE" w:themeFill="text2" w:themeFillTint="40"/>
          </w:tcPr>
          <w:p w14:paraId="31C0117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CBD3DE" w:themeFill="text2" w:themeFillTint="40"/>
          </w:tcPr>
          <w:p w14:paraId="306ADAA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TEST</w:t>
            </w:r>
          </w:p>
        </w:tc>
        <w:tc>
          <w:tcPr>
            <w:tcW w:w="2694" w:type="dxa"/>
            <w:shd w:val="clear" w:color="auto" w:fill="CBD3DE" w:themeFill="text2" w:themeFillTint="40"/>
          </w:tcPr>
          <w:p w14:paraId="0E52D2A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OBJECTIF DU TEST</w:t>
            </w:r>
          </w:p>
        </w:tc>
        <w:tc>
          <w:tcPr>
            <w:tcW w:w="2551" w:type="dxa"/>
            <w:shd w:val="clear" w:color="auto" w:fill="CBD3DE" w:themeFill="text2" w:themeFillTint="40"/>
          </w:tcPr>
          <w:p w14:paraId="1A68C51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ATTENDU</w:t>
            </w:r>
          </w:p>
        </w:tc>
        <w:tc>
          <w:tcPr>
            <w:tcW w:w="1418" w:type="dxa"/>
            <w:shd w:val="clear" w:color="auto" w:fill="CBD3DE" w:themeFill="text2" w:themeFillTint="40"/>
          </w:tcPr>
          <w:p w14:paraId="405DA419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OBTENU</w:t>
            </w:r>
          </w:p>
        </w:tc>
        <w:tc>
          <w:tcPr>
            <w:tcW w:w="1276" w:type="dxa"/>
            <w:shd w:val="clear" w:color="auto" w:fill="CBD3DE" w:themeFill="text2" w:themeFillTint="40"/>
          </w:tcPr>
          <w:p w14:paraId="636D3B61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IMPACT DU RESULTAT</w:t>
            </w:r>
          </w:p>
        </w:tc>
        <w:tc>
          <w:tcPr>
            <w:tcW w:w="3969" w:type="dxa"/>
            <w:shd w:val="clear" w:color="auto" w:fill="CBD3DE" w:themeFill="text2" w:themeFillTint="40"/>
          </w:tcPr>
          <w:p w14:paraId="708BF27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OBSERVATIONS OU RECOMMANDATIONS</w:t>
            </w:r>
          </w:p>
        </w:tc>
        <w:tc>
          <w:tcPr>
            <w:tcW w:w="1417" w:type="dxa"/>
            <w:shd w:val="clear" w:color="auto" w:fill="CBD3DE" w:themeFill="text2" w:themeFillTint="40"/>
          </w:tcPr>
          <w:p w14:paraId="43E0E3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PORTEUR DE L’ACTION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1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TC-REQ-001-01 à TC-REQ-005-01 (10 cas)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Conformité des 5 exigences fonctionnelles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Comportements décrits par la SFD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10 PASS (identiques au cycle 1)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Aucun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Couverture fonctionnelle 100 %, aucune régression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—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2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NFT-PERF-01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Page de connexion &lt; 3 s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Médiane &lt; 3 000 ms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NON CONCLUANT (instable)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Faible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Instabilité confirmée sur 4 exécutions ; mesurer en environnement maîtrisé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DSI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3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NFT-A11Y-01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Violation de contraste (color-contrast, sévérité serious, WCAG 1.4.3)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Aucune violation critique WCAG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PASS au critère zéro critique (5 violations non critiques)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Faible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Corriger les contrastes signalés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Équipe de développement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4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NFT-SEC-03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Absence d'énumération de comptes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Message d'erreur unique (OWASP A07)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Messages distincts (inchangé)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Moyen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Réviser REQ-002/REQ-003 : message générique unique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Product Owner / auteur de la SFD</w:t>
            </w:r>
          </w:p>
        </w:tc>
      </w:tr>
    </w:tbl>
    <w:p w14:paraId="00A47867" w14:textId="77777777" w:rsidR="00672C13" w:rsidRDefault="00672C13" w:rsidP="00672C13">
      <w:pPr>
        <w:rPr>
          <w:lang w:eastAsia="en-US"/>
        </w:rPr>
      </w:pPr>
    </w:p>
    <w:p w14:paraId="40ABAED5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155EE9B0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 w:rsidSect="00E457F9">
          <w:pgSz w:w="16838" w:h="11906" w:orient="landscape"/>
          <w:pgMar w:top="902" w:right="902" w:bottom="902" w:left="902" w:header="709" w:footer="709" w:gutter="0"/>
          <w:cols w:space="720"/>
          <w:docGrid w:linePitch="360"/>
        </w:sectPr>
      </w:pPr>
      <w:bookmarkStart w:id="0" w:name="_GoBack"/>
      <w:bookmarkEnd w:id="0"/>
    </w:p>
    <w:p w14:paraId="7537CEB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A01AD">
        <w:rPr>
          <w:rFonts w:ascii="Maiandra GD" w:hAnsi="Maiandra GD"/>
          <w:lang w:val="fr-FR"/>
        </w:rPr>
        <w:lastRenderedPageBreak/>
        <w:t xml:space="preserve">Conclusion 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Verdict global : NON CONCLUANT (non-régression sans régression). Le volet fonctionnel est conforme (10/10 PASS, confiance haute) et strictement identique au cycle 1 : aucune régression détectée (0/13 tests comparés).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Le volet non fonctionnel reste non concluant sur la performance : NFT-PERF-01 est instable/flaky (4 exécutions divergentes autour du seuil de 3 s), résultat inhérent à la Sandbox publique non maîtrisée — pas une régression du module.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Observation de sécurité NFT-SEC-03 (énumération de comptes par messages distincts) re-confirmée à l'identique : décision Product Owner toujours ouverte. Une non-conformité d'accessibilité non bloquante (contraste, sévérité serious) est relevée.</w:t>
      </w:r>
    </w:p>
    <w:sectPr w:rsidR="00672C13" w:rsidSect="00E457F9">
      <w:pgSz w:w="11906" w:h="16838"/>
      <w:pgMar w:top="902" w:right="902" w:bottom="902" w:left="90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15EF9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F6C2B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3"/>
    <w:rsid w:val="002C357A"/>
    <w:rsid w:val="00672C13"/>
    <w:rsid w:val="00970518"/>
    <w:rsid w:val="00E4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3CDB"/>
  <w15:chartTrackingRefBased/>
  <w15:docId w15:val="{68AE336A-C649-4F35-8A4F-4369E093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2C13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72C13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72C13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72C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aragraphedeliste">
    <w:name w:val="List Paragraph"/>
    <w:basedOn w:val="Normal"/>
    <w:uiPriority w:val="34"/>
    <w:qFormat/>
    <w:rsid w:val="0067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44FCF4039FF4786D2BF2C5D28EF1B" ma:contentTypeVersion="14" ma:contentTypeDescription="Crée un document." ma:contentTypeScope="" ma:versionID="a3e96f54e757602a3ef2ad773fd86fb2">
  <xsd:schema xmlns:xsd="http://www.w3.org/2001/XMLSchema" xmlns:xs="http://www.w3.org/2001/XMLSchema" xmlns:p="http://schemas.microsoft.com/office/2006/metadata/properties" xmlns:ns3="ad8a755a-5368-4a3f-92f2-9570a1572524" xmlns:ns4="5ea4cd15-be07-40da-891f-94dafd6efc20" targetNamespace="http://schemas.microsoft.com/office/2006/metadata/properties" ma:root="true" ma:fieldsID="8300a231f39b77fe41b45e2b8b9885b3" ns3:_="" ns4:_="">
    <xsd:import namespace="ad8a755a-5368-4a3f-92f2-9570a1572524"/>
    <xsd:import namespace="5ea4cd15-be07-40da-891f-94dafd6efc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755a-5368-4a3f-92f2-9570a15725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4cd15-be07-40da-891f-94dafd6ef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8a755a-5368-4a3f-92f2-9570a1572524" xsi:nil="true"/>
  </documentManagement>
</p:properties>
</file>

<file path=customXml/itemProps1.xml><?xml version="1.0" encoding="utf-8"?>
<ds:datastoreItem xmlns:ds="http://schemas.openxmlformats.org/officeDocument/2006/customXml" ds:itemID="{83971D83-538B-4930-9675-8C1AC3135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755a-5368-4a3f-92f2-9570a1572524"/>
    <ds:schemaRef ds:uri="5ea4cd15-be07-40da-891f-94dafd6efc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42A210-43A6-4AB4-91C1-E2980E50E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9E8A55-F5CD-4147-A0B2-058C0413848E}">
  <ds:schemaRefs>
    <ds:schemaRef ds:uri="ad8a755a-5368-4a3f-92f2-9570a1572524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5ea4cd15-be07-40da-891f-94dafd6efc2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test — SFD-TEST-001 v1.0 — MODULE-TEST-LOGIN (non-régression NR1)</dc:title>
  <dc:subject/>
  <dc:creator>Abdoul Kader  BAMBA</dc:creator>
  <cp:keywords/>
  <dc:description/>
  <cp:lastModifiedBy>Abdoul Kader  BAMBA</cp:lastModifiedBy>
  <cp:revision>1</cp:revision>
  <dcterms:created xsi:type="dcterms:W3CDTF">2026-09-23T12:00:00Z</dcterms:created>
  <dcterms:modified xsi:type="dcterms:W3CDTF">2026-09-23T12:16:00Z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0x0101005FE44FCF4039FF4786D2BF2C5D28EF1B</vt:lpwstr>
  </property>
</Properties>
</file>